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1728"/>
        <w:gridCol w:w="1728"/>
        <w:gridCol w:w="1728"/>
      </w:tblGrid>
      <w:tr>
        <w:trPr>
          <w:trHeight w:val="841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3.9 ( 0.73)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4.0 ( 0.72)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4.1 ( 0.75)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4.0 (  2; 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4.0 (  2; 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4.0 (  2; 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p-value(Dose Response) [1][2]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0.167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- Placebo)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0.754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0.128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0.0 (0.12)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0.2 (0.12)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(-0.2;0.3)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(-0.1;0.4)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High - Xan Low)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0.218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0.1 (0.12)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(-0.1;0.4)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[1] Based on Analysis of covariance (ANCOVA) model with treatment and site group as factors.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[2] Test for a non-zero coefficient for treatment (dose) as a continuous variable.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[3] Pairwise comparison with treatment as a categorical variable: p-values without adjustment for multiple comparisons.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programs/t-14-3-04.R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19:26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Efficacy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14-3.04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CIBIC+ - Summary at Week 8 - LOCF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2026-07-25T15:23:27Z</dcterms:modified>
  <cp:category/>
</cp:coreProperties>
</file>