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84"/>
        <w:gridCol w:w="1728"/>
        <w:gridCol w:w="1728"/>
        <w:gridCol w:w="1728"/>
      </w:tblGrid>
      <w:tr>
        <w:trPr>
          <w:trHeight w:val="841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(N=79)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(N=74)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9.5 (12.10)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8.7 ( 9.82)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11.9 (13.70)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5.0 (  0;66)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4.0 (  0;32)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8.0 (  0;61)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of Weeks 4-24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9.1 (11.82)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7.7 (10.09)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7.8 (10.54)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4.2 (  0;67)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3.2 (  0;49)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2.8 (  0;42)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p-value(Dose Response) [1][2]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0.142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- Placebo)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0.594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0.119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 (1.14)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 (1.16)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(-2.9;1.6)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(-4.1;0.5)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High - Xan Low)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0.311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 (1.19)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(-3.5;1.1)</w:t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[1] Based on Analysis of covariance (ANCOVA) model with treatment and site group as factors and baseline value as a covariate.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[2] Test for a non-zero coefficient for treatment (dose) as a continuous variable.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[3] Pairwise comparison with treatment as a categorical variable: p-values without adjustment for multiple comparisons.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programs/t-14-3-12.R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19:28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Efficacy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14-3.12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Mean NPI-X Total Score from Week 4 through Week 24 - Windowed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2026-07-25T15:23:46Z</dcterms:modified>
  <cp:category/>
</cp:coreProperties>
</file>