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3888"/>
        <w:gridCol w:w="1296"/>
        <w:gridCol w:w="1296"/>
        <w:gridCol w:w="1296"/>
        <w:gridCol w:w="1296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Assessment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0.2727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Marked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Minimal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( 25%)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( 20%)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( 18%)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( 58%)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( 59%)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( 52%)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Minimal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( 13%)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( 17%)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( 27%)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Marked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Marked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Minimal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( 15%)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( 15%)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( 18%)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( 52%)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( 57%)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( 53%)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Minimal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( 32%)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( 23%)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( 27%)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Marked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Marked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Minimal improvement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 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( 17%)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( 15%)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( 48%)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( 46%)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( 45%)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Minimal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( 35%)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( 33%)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( 34%)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Marked worsening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Overall comparison of treatments using CMH test (Pearson Chi-Square), controlling for site group.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programs/t-14-3-13.R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13:57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14-3.13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CIBIC+ - Categorical Analysis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2026-07-25T15:23:49Z</dcterms:modified>
  <cp:category/>
</cp:coreProperties>
</file>