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66"/>
        <w:gridCol w:w="907"/>
        <w:gridCol w:w="1296"/>
        <w:gridCol w:w="1426"/>
        <w:gridCol w:w="1426"/>
        <w:gridCol w:w="1296"/>
        <w:gridCol w:w="1426"/>
        <w:gridCol w:w="1426"/>
      </w:tblGrid>
      <w:tr>
        <w:trPr>
          <w:trHeight w:val="476" w:hRule="auto"/>
          <w:tblHeader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18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18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Completers at Week 24</w:t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18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Safety Population [1]</w:t>
            </w:r>
          </w:p>
        </w:tc>
      </w:tr>
      <w:tr>
        <w:trPr>
          <w:trHeight w:val="841" w:hRule="auto"/>
          <w:tblHeader/>
        </w:trPr>
        <w:tc>
          <w:tcPr>
            <w:gridSpan w:val="2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18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18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(N=60)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18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18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18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18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18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Average daily dose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84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71.6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8.11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76.9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75.1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76.1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54.0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78.6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78.6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Cumulative dose at end of study 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84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9918.6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14089.5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5347.3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7551.0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603.84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481.01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3680.35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5531.04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9936.0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14080.5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4455.0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5778.0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54.0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15417.0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Includes completers and early terminators.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End of Study refers to week 26/Early Termination.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programs/t-14-4-01.R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19:29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Safety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14-4.01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Summary of Planned Exposure to Study Drug, as of End of Study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2026-07-25T15:23:51Z</dcterms:modified>
  <cp:category/>
</cp:coreProperties>
</file>