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8"/>
        <w:gridCol w:w="1296"/>
        <w:gridCol w:w="907"/>
        <w:gridCol w:w="1296"/>
        <w:gridCol w:w="907"/>
        <w:gridCol w:w="1296"/>
        <w:gridCol w:w="907"/>
        <w:gridCol w:w="1166"/>
        <w:gridCol w:w="1296"/>
      </w:tblGrid>
      <w:tr>
        <w:trPr>
          <w:trHeight w:val="841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Fisher's Exact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p-values</w:t>
            </w:r>
          </w:p>
        </w:tc>
      </w:tr>
      <w:tr>
        <w:trPr>
          <w:trHeight w:val="759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System Organ Class/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Preferred Term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[AEs]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[AEs]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[AEs]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vs.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vs.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BODY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PARTIAL SEIZURES WITH SECONDARY GENERALISATION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Treatment emergent events are defined as events which start on or after the start of treatment.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Adverse events are coded using MedDRA.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Percentages are based on the number of subjects in the safety population within each treatment group.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P-values are based on Fisher's Exact test for the comparison of placebo versus each active treatment group. An asterisk is appended to p-values that are less than 0.15.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The column [AE] represents the total number of times an event was recorded.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programs/t-14-5-02.R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19:30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14-5.02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Incidence of Treatment Emergent Serious Adverse Events by Treatment Group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2026-07-25T15:23:58Z</dcterms:modified>
  <cp:category/>
</cp:coreProperties>
</file>