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749"/>
      </w:tblGrid>
      <w:tr>
        <w:trPr>
          <w:trHeight w:val="476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 (N=86)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 Low (N=84)</w:t>
            </w:r>
          </w:p>
        </w:tc>
        <w:tc>
          <w:tcPr>
            <w:gridSpan w:val="3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 High (N=84)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73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----------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ALBUMIN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16( 19%)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15( 18%)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66( 80%)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ALKALINE PHOSPHATASE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ALANINE AMINOTRANSFERASE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ASPARTATE AMINOTRANSFERASE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BILIRUBIN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UREA NITROGEN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60( 73%)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22( 27%)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12( 15%)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CALCIUM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CREATINE KINASE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66( 79%)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17( 20%)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13( 16%)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67( 84%)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13( 16%)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 GLUTAMYL 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69( 84%)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GLUCOSE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POTASSIUM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62( 78%)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11( 14%)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PHOSPHATE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69( 86%)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----------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11( 13%)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HEMOGLOBIN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14( 17%)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LYMPHOCYTES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69( 84%)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HEMOGLOBIN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HB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15( 18%)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17( 21%)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72( 89%)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VOLUME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53( 64%)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29( 35%)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64( 78%)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18( 22%)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64( 79%)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16( 20%)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PLATELET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13( 15%)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18( 22%)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64( 78%)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11( 14%)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0.238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LEUKOCYTES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7(  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Percentages are based on the number of subjects with non-missing assessments (i.e., the total of the subjects in the low, normal, and high categories) within each treatment group.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programs/t-14-6.02.R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19:30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14-6.02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Frequency of Normal and Abnormal (Beyond Normal Range) Laboratory Values During Treatment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2026-07-25T15:24:08Z</dcterms:modified>
  <cp:category/>
</cp:coreProperties>
</file>