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2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749"/>
      </w:tblGrid>
      <w:tr>
        <w:trPr>
          <w:trHeight w:val="476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 (N=86)</w:t>
            </w:r>
          </w:p>
        </w:tc>
        <w:tc>
          <w:tcPr>
            <w:gridSpan w:val="3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 Low (N=84)</w:t>
            </w:r>
          </w:p>
        </w:tc>
        <w:tc>
          <w:tcPr>
            <w:gridSpan w:val="3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 High (N=84)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73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----------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ALBUMIN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10( 12%)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71( 85%)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72( 88%)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66( 82%)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9( 11%)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0.235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ALKALINE PHOSPHATASE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78( 93%)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ALANINE AMINOTRANSFERASE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75( 89%)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69( 84%)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7(  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7(  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68( 85%)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ASPARTATE AMINOTRANSFERASE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73( 87%)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9( 11%)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8( 10%)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71( 87%)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75( 94%)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0.045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BILIRUBIN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79( 94%)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75( 94%)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0.296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UREA NITROGEN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0.796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CALCIUM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76( 90%)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76( 93%)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CHOLESTEROL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CREATINE KINASE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8( 10%)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64( 76%)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12( 14%)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71( 87%)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7(  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65( 81%)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8( 10%)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78( 93%)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0.496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CREATININE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0.775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 GLUTAMYL TRANSFERASE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72( 88%)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0.378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GLUCOSE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0.317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POTASSIUM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10( 12%)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60( 71%)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14( 17%)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7(  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62( 76%)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13( 16%)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12( 15%)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58( 72%)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10( 12%)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0.728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PHOSPHATE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76( 95%)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73( 87%)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HEMATOLOGY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----------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0.948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EOSINOPHILS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80( 95%)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70( 85%)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9( 11%)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68( 85%)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8( 10%)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HEMATOCRIT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79( 95%)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77( 95%)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76( 95%)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HEMOGLOBIN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0.215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LYMPHOCYTES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76( 90%)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0.498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ERY. MEAN CORPUSCULAR HEMOGLOBIN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ERY. MEAN CORPUSCULAR HB CONCENTRATION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0.885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ERY. MEAN CORPUSCULAR VOLUME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75( 94%)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0.396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MONOCYTES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PLATELET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0.546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ERYTHROCYTES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LEUKOCYTES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78( 93%)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77( 94%)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0.934</w:t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Note: Percentages are based on the number of subjects with non-missing assessments (i.e., the total of the subjects in the low, normal, and high categories) within each treatment group.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programs/t-14-6.03.R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19:30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Safety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14-6.03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Frequency of Normal and Abnormal (Clinically Significant Change from Previous Visit) Laboratory Values During Treatment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2026-07-25T15:24:11Z</dcterms:modified>
  <cp:category/>
</cp:coreProperties>
</file>