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07"/>
        <w:gridCol w:w="1944"/>
        <w:gridCol w:w="648"/>
        <w:gridCol w:w="2621"/>
        <w:gridCol w:w="518"/>
        <w:gridCol w:w="842"/>
        <w:gridCol w:w="842"/>
        <w:gridCol w:w="842"/>
        <w:gridCol w:w="842"/>
        <w:gridCol w:w="842"/>
      </w:tblGrid>
      <w:tr>
        <w:trPr>
          <w:trHeight w:val="433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Planned Relative Time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Max.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Weight (kg)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62.8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12.77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86.2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86.6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87.1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106.1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106.1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104.8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105.7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105.2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Weight Change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8.2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3.2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5.9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33.3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144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End of treatment is the last on-treatment assessment of weight (on or before the Week 24 visit).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programs/t-14-7.03.R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19:33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Safety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14-7.03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Summary of Weight Change from Baseline at End of Treatment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2026-07-25T15:24:35Z</dcterms:modified>
  <cp:category/>
</cp:coreProperties>
</file>