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0"/>
        <w:gridCol w:w="1584"/>
        <w:gridCol w:w="1584"/>
        <w:gridCol w:w="1584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Therapeutic class, n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 receiving at least one concomitant medication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 (90%)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 (88%)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 (93%)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ALIMENTARY TRACT AND 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 (11%)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CALCIUM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(4%)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ALGELDRATE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LOPERAMIDE HYDROCHLORIDE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METFORMIN HYDROCHLORIDE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NIZATIDINE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(5%)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CALCIUM CARBONATE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CIMETIDINE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SIMETICONE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ANTINEOPLASTIC AND IMMUNOMODULATING AGENTS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LEUPRORELIN ACETATE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 AND BLOOD FORMING ORGANS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FERROUS SULFATE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CARDIOVASCULAR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 (8%)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AMLODIPINE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FUROSEMIDE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NIFEDIPINE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DOXAZOSIN MESILATE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DIGOXIN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DILTIAZEM HYDROCHLORIDE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FELODIPINE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FLUVASTATIN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LOSARTAN POTASSIUM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DERMATOLOGICALS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CLOBETASOL PROPIONATE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GENITO URINARY SYSTEM AND SEX HORMONES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(6%)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ESTROGENS CONJUGATED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(6%)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NERVOUS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(10%)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ACETYLSALICYLIC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(7%)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ALPRAZOLAM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DONEPEZIL HYDROCHLORIDE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SUMATRIPTAN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HALOPERIDOL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PAROXETINE HYDROCHLORIDE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RESPIRATORY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(5%)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SALBUTAMOL SULFATE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GUAIFENESIN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IPRATROPIUM BROMIDE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NAPROXEN SODIUM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(4%)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BUDESONIDE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(1%)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SYSTEMIC HORMONAL PREPARATIONS, EXCL.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(10%)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HYDROCORTISONE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(10%)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 (92%)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UNCODED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 (92%)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programs/t-14-7.04.R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19:33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14-7.04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Concomitant Medications (Number of Subjects)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2026-07-25T15:24:37Z</dcterms:modified>
  <cp:category/>
</cp:coreProperties>
</file>