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fixed"/>
        <w:jc w:val="center"/>
        <w:tblLook w:firstRow="1" w:lastRow="0" w:firstColumn="0" w:lastColumn="0" w:noHBand="0" w:noVBand="1"/>
      </w:tblPr>
      <w:tblGrid>
        <w:gridCol w:w="5760"/>
        <w:gridCol w:w="2784"/>
        <w:gridCol w:w="2784"/>
        <w:gridCol w:w="2784"/>
      </w:tblGrid>
      <w:tr>
        <w:trPr>
          <w:trHeight w:val="676" w:hRule="auto"/>
          <w:tblHeader/>
        </w:trPr>
        header 1
        <w:tc>
          <w:tcPr>
            <w:tcBorders>
              <w:bottom w:val="single" w:sz="8"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80" w:before="180" w:line="240"/>
              <w:ind w:left="100" w:right="100" w:firstLine="0" w:firstLineChars="0"/>
            </w:pPr>
            <w:r>
              <w:rPr>
                <w:rFonts w:ascii="Courier New" w:hAnsi="Courier New" w:eastAsia="Courier New" w:cs="Courier New"/>
                <w:i w:val="false"/>
                <w:b w:val="false"/>
                <w:u w:val="none"/>
                <w:sz w:val="18"/>
                <w:szCs w:val="18"/>
                <w:color w:val="000000"/>
              </w:rPr>
              <w:t xml:space="preserve">System Organ Class</w:t>
            </w:r>
            <w:r>
              <w:rPr>
                <w:rFonts w:ascii="Courier New" w:hAnsi="Courier New" w:eastAsia="Courier New" w:cs="Courier New"/>
                <w:i w:val="false"/>
                <w:b w:val="false"/>
                <w:u w:val="none"/>
                <w:sz w:val="18"/>
                <w:szCs w:val="18"/>
                <w:color w:val="000000"/>
              </w:rPr>
              <w:br/>
            </w: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Preferred Term[a]</w:t>
            </w:r>
          </w:p>
        </w:tc>
        <w:tc>
          <w:tcPr>
            <w:tcBorders>
              <w:bottom w:val="single" w:sz="8"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80" w:before="180" w:line="240"/>
              <w:ind w:left="100" w:right="100" w:firstLine="0" w:firstLineChars="0"/>
            </w:pPr>
            <w:r>
              <w:rPr>
                <w:rFonts w:ascii="Courier New" w:hAnsi="Courier New" w:eastAsia="Courier New" w:cs="Courier New"/>
                <w:i w:val="false"/>
                <w:b w:val="false"/>
                <w:u w:val="none"/>
                <w:sz w:val="18"/>
                <w:szCs w:val="18"/>
                <w:color w:val="000000"/>
              </w:rPr>
              <w:t xml:space="preserve">Drug A</w:t>
            </w:r>
          </w:p>
        </w:tc>
        <w:tc>
          <w:tcPr>
            <w:tcBorders>
              <w:bottom w:val="single" w:sz="8"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80" w:before="180" w:line="240"/>
              <w:ind w:left="100" w:right="100" w:firstLine="0" w:firstLineChars="0"/>
            </w:pPr>
            <w:r>
              <w:rPr>
                <w:rFonts w:ascii="Courier New" w:hAnsi="Courier New" w:eastAsia="Courier New" w:cs="Courier New"/>
                <w:i w:val="false"/>
                <w:b w:val="false"/>
                <w:u w:val="none"/>
                <w:sz w:val="18"/>
                <w:szCs w:val="18"/>
                <w:color w:val="000000"/>
              </w:rPr>
              <w:t xml:space="preserve">Active Control</w:t>
            </w:r>
          </w:p>
        </w:tc>
        <w:tc>
          <w:tcPr>
            <w:tcBorders>
              <w:bottom w:val="single" w:sz="8"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80" w:before="180" w:line="240"/>
              <w:ind w:left="100" w:right="100" w:firstLine="0" w:firstLineChars="0"/>
            </w:pPr>
            <w:r>
              <w:rPr>
                <w:rFonts w:ascii="Courier New" w:hAnsi="Courier New" w:eastAsia="Courier New" w:cs="Courier New"/>
                <w:i w:val="false"/>
                <w:b w:val="false"/>
                <w:u w:val="none"/>
                <w:sz w:val="18"/>
                <w:szCs w:val="18"/>
                <w:color w:val="000000"/>
              </w:rPr>
              <w:t xml:space="preserve">Placebo</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Number of patients reporting at least one treatment-emergent adverse event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8 (80.0%)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5 (62.5%)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11 (78.6%)</w:t>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Blood and lymphatic system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Anaemia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Gastrointestinal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5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3 (37.5%)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9 (64.3%)</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Abdominal distension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2 (14.3%)</w:t>
            </w:r>
          </w:p>
        </w:tc>
      </w:tr>
      <w:tr>
        <w:trPr>
          <w:trHeight w:val="62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Abdominal 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2 (14.3%)</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Diarrhoea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2 (14.3%)</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Dyspepsia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3 (21.4%)</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Eructation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( 7.1%)</w:t>
            </w:r>
          </w:p>
        </w:tc>
      </w:tr>
      <w:tr>
        <w:trPr>
          <w:trHeight w:val="62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Gastrooesophageal reflux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3 (21.4%)</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Nausea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4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2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3 (21.4%)</w:t>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Vomiting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2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( 7.1%)</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General disorders and administration site conditions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2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3 (21.4%)</w:t>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Chills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r>
      <w:tr>
        <w:trPr>
          <w:trHeight w:val="62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Injection site haemorrhage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2 (14.3%)</w:t>
            </w:r>
          </w:p>
        </w:tc>
      </w:tr>
      <w:tr>
        <w:trPr>
          <w:trHeight w:val="62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Peripheral swelling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( 7.1%)</w:t>
            </w:r>
          </w:p>
        </w:tc>
      </w:tr>
      <w:tr>
        <w:trPr>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Infections and infestations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r>
      <w:tr>
        <w:trPr>
          <w:trHeight w:val="62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Urinary tract infection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r>
      <w:tr>
        <w:trPr>
          <w:trHeight w:val="62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Investigations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r>
      <w:tr>
        <w:trPr>
          <w:trHeight w:val="62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Coagulation test abnormal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r>
      <w:tr>
        <w:trPr>
          <w:trHeight w:val="60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Metabolism and nutrition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4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1 ( 7.1%)</w:t>
            </w:r>
          </w:p>
        </w:tc>
      </w:tr>
      <w:tr>
        <w:trPr>
          <w:trHeight w:val="62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Decreased appetite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( 7.1%)</w:t>
            </w:r>
          </w:p>
        </w:tc>
      </w:tr>
      <w:tr>
        <w:trPr>
          <w:trHeight w:val="62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Hypoglycaemia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Musculoskeletal and connective tissue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2 (14.3%)</w:t>
            </w:r>
          </w:p>
        </w:tc>
      </w:tr>
      <w:tr>
        <w:trPr>
          <w:trHeight w:val="62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Arthralgia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( 7.1%)</w:t>
            </w:r>
          </w:p>
        </w:tc>
      </w:tr>
      <w:tr>
        <w:trPr>
          <w:trHeight w:val="62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Back 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( 7.1%)</w:t>
            </w:r>
          </w:p>
        </w:tc>
      </w:tr>
      <w:tr>
        <w:trPr>
          <w:trHeight w:val="62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Nervous system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2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2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4 (28.6%)</w:t>
            </w:r>
          </w:p>
        </w:tc>
      </w:tr>
      <w:tr>
        <w:trPr>
          <w:trHeight w:val="60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Dizziness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2 (14.3%)</w:t>
            </w:r>
          </w:p>
        </w:tc>
      </w:tr>
      <w:tr>
        <w:trPr>
          <w:trHeight w:val="60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Headache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2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2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3 (21.4%)</w:t>
            </w:r>
          </w:p>
        </w:tc>
      </w:tr>
      <w:tr>
        <w:trPr>
          <w:trHeight w:val="62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Renal and urinary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2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1 ( 7.1%)</w:t>
            </w:r>
          </w:p>
        </w:tc>
      </w:tr>
      <w:tr>
        <w:trPr>
          <w:trHeight w:val="60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Pollakiuria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2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( 7.1%)</w:t>
            </w:r>
          </w:p>
        </w:tc>
      </w:tr>
      <w:tr>
        <w:trPr>
          <w:trHeight w:val="60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Skin and subcutaneous tissue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180" w:line="240"/>
              <w:ind w:left="100" w:right="100" w:firstLine="0" w:firstLineChars="0"/>
            </w:pPr>
            <w:r>
              <w:rPr>
                <w:rFonts w:ascii="Courier New" w:hAnsi="Courier New" w:eastAsia="Courier New" w:cs="Courier New"/>
                <w:i w:val="false"/>
                <w:b w:val="false"/>
                <w:u w:val="none"/>
                <w:sz w:val="18"/>
                <w:szCs w:val="18"/>
                <w:color w:val="000000"/>
              </w:rPr>
              <w:t xml:space="preserve"> 1 ( 7.1%)</w:t>
            </w:r>
          </w:p>
        </w:tc>
      </w:tr>
      <w:tr>
        <w:trPr>
          <w:trHeight w:val="60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Dermatitis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( 7.1%)</w:t>
            </w:r>
          </w:p>
        </w:tc>
      </w:tr>
      <w:tr>
        <w:trPr>
          <w:trHeight w:val="60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Rash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r>
      <w:tr>
        <w:trPr>
          <w:trHeight w:val="62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ab/>
            </w:r>
            <w:r>
              <w:rPr>
                <w:rFonts w:ascii="Courier New" w:hAnsi="Courier New" w:eastAsia="Courier New" w:cs="Courier New"/>
                <w:i w:val="false"/>
                <w:b w:val="false"/>
                <w:u w:val="none"/>
                <w:sz w:val="18"/>
                <w:szCs w:val="18"/>
                <w:color w:val="000000"/>
              </w:rPr>
              <w:t xml:space="preserve"> Skin hyperpigmentation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 0 ( 0.0%)</w:t>
            </w:r>
          </w:p>
        </w:tc>
      </w:tr>
    </w:tbl>
    <w:sectPr w:officer="true">
      <w:headerReference w:type="default" r:id="rId7"/>
      <w:footerReference w:type="default" r:id="rId8"/>
      <w:pgMar w:header="720" w:bottom="1440" w:top="1440" w:right="1440" w:left="720" w:footer="720" w:gutter="720"/>
      <w:pgSz w:h="11952" w:w="16848" w:orient="landscape"/>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xmlns:a="http://schemas.openxmlformats.org/drawingml/2006/main" xmlns:pic="http://schemas.openxmlformats.org/drawingml/2006/picture">
    <w:tblPr>
      <w:tblLayout w:type="fixed"/>
      <w:jc w:val="center"/>
      <w:tblLook w:firstRow="1" w:lastRow="0" w:firstColumn="0" w:lastColumn="0" w:noHBand="0" w:noVBand="1"/>
    </w:tblPr>
    <w:tblGrid>
      <w:gridCol w:w="5328"/>
      <w:gridCol w:w="4320"/>
      <w:gridCol w:w="4762"/>
    </w:tblGrid>
    <w:tr>
      <w:trPr>
        <w:trHeight w:val="360" w:hRule="auto"/>
        <w:tblHeader/>
      </w:trPr>
      header1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DejaVu Sans" w:hAnsi="DejaVu Sans" w:eastAsia="DejaVu Sans" w:cs="DejaVu Sans"/>
              <w:i w:val="false"/>
              <w:b w:val="false"/>
              <w:u w:val="none"/>
              <w:sz w:val="22"/>
              <w:szCs w:val="22"/>
              <w:color w:val="000000"/>
            </w:rPr>
            <w:t xml:space="preserve"/>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PROGRAM/OUTPUT: T_14_3_1_1.R/T_14_3_1_1.DOCX</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DATE(TIME): 30AUG23(12:49)</w:t>
          </w:r>
        </w:p>
      </w:tc>
    </w:tr>
    <w:tr>
      <w:trPr>
        <w:trHeight w:val="360" w:hRule="auto"/>
      </w:trPr>
      body2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Note: Percentages are based on the number of subjects in the Safety Set in each column. Subjects are counted once within each system organ class and each preferred term within each column.</w:t>
          </w:r>
        </w:p>
      </w:tc>
    </w:tr>
    <w:tr>
      <w:trPr>
        <w:trHeight w:val="360" w:hRule="auto"/>
      </w:trPr>
      body3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[a] All investigator adverse event terms were coded using MedDRA dictionary version 24.0.</w:t>
          </w:r>
        </w:p>
      </w:tc>
    </w:tr>
    <w:tr>
      <w:trPr>
        <w:trHeight w:val="360" w:hRule="auto"/>
      </w:trPr>
      body4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Reference: Listing 16.2.7.1.</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xmlns:a="http://schemas.openxmlformats.org/drawingml/2006/main" xmlns:pic="http://schemas.openxmlformats.org/drawingml/2006/picture">
    <w:tblPr>
      <w:tblLayout w:type="fixed"/>
      <w:jc w:val="center"/>
      <w:tblLook w:firstRow="1" w:lastRow="0" w:firstColumn="0" w:lastColumn="0" w:noHBand="0" w:noVBand="1"/>
    </w:tblPr>
    <w:tblGrid>
      <w:gridCol w:w="5328"/>
      <w:gridCol w:w="4320"/>
      <w:gridCol w:w="476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PROTOCOL: INCB XXXXX-XXX</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(Page </w:t>
          </w:r>
          <w:r>
            <w:rPr>
              <w:rFonts w:ascii="Courier New" w:hAnsi="Courier New" w:eastAsia="Courier New" w:cs="Courier New"/>
              <w:i w:val="false"/>
              <w:b w:val="false"/>
              <w:u w:val="none"/>
              <w:sz w:val="18"/>
              <w:szCs w:val="18"/>
              <w:color w:val="000000"/>
            </w:rPr>
            <w:fldChar w:fldCharType="begin" w:dirty="true"/>
          </w:r>
          <w:r>
            <w:rPr>
              <w:rFonts w:ascii="Courier New" w:hAnsi="Courier New" w:eastAsia="Courier New" w:cs="Courier New"/>
              <w:i w:val="false"/>
              <w:b w:val="false"/>
              <w:u w:val="none"/>
              <w:sz w:val="18"/>
              <w:szCs w:val="18"/>
              <w:color w:val="000000"/>
            </w:rPr>
            <w:instrText xml:space="preserve" w:dirty="true">Page</w:instrText>
          </w:r>
          <w:r>
            <w:rPr>
              <w:rFonts w:ascii="Courier New" w:hAnsi="Courier New" w:eastAsia="Courier New" w:cs="Courier New"/>
              <w:i w:val="false"/>
              <w:b w:val="false"/>
              <w:u w:val="none"/>
              <w:sz w:val="18"/>
              <w:szCs w:val="18"/>
              <w:color w:val="000000"/>
            </w:rPr>
            <w:fldChar w:fldCharType="end" w:dirty="true"/>
          </w:r>
          <w:r>
            <w:rPr>
              <w:rFonts w:ascii="Courier New" w:hAnsi="Courier New" w:eastAsia="Courier New" w:cs="Courier New"/>
              <w:i w:val="false"/>
              <w:b w:val="false"/>
              <w:u w:val="none"/>
              <w:sz w:val="18"/>
              <w:szCs w:val="18"/>
              <w:color w:val="000000"/>
            </w:rPr>
            <w:t xml:space="preserve"> of </w:t>
          </w:r>
          <w:r>
            <w:rPr>
              <w:rFonts w:ascii="Courier New" w:hAnsi="Courier New" w:eastAsia="Courier New" w:cs="Courier New"/>
              <w:i w:val="false"/>
              <w:b w:val="false"/>
              <w:u w:val="none"/>
              <w:sz w:val="18"/>
              <w:szCs w:val="18"/>
              <w:color w:val="000000"/>
            </w:rPr>
            <w:fldChar w:fldCharType="begin" w:dirty="true"/>
          </w:r>
          <w:r>
            <w:rPr>
              <w:rFonts w:ascii="Courier New" w:hAnsi="Courier New" w:eastAsia="Courier New" w:cs="Courier New"/>
              <w:i w:val="false"/>
              <w:b w:val="false"/>
              <w:u w:val="none"/>
              <w:sz w:val="18"/>
              <w:szCs w:val="18"/>
              <w:color w:val="000000"/>
            </w:rPr>
            <w:instrText xml:space="preserve" w:dirty="true">NumPages</w:instrText>
          </w:r>
          <w:r>
            <w:rPr>
              <w:rFonts w:ascii="Courier New" w:hAnsi="Courier New" w:eastAsia="Courier New" w:cs="Courier New"/>
              <w:i w:val="false"/>
              <w:b w:val="false"/>
              <w:u w:val="none"/>
              <w:sz w:val="18"/>
              <w:szCs w:val="18"/>
              <w:color w:val="000000"/>
            </w:rPr>
            <w:fldChar w:fldCharType="end" w:dirty="true"/>
          </w:r>
          <w:r>
            <w:rPr>
              <w:rFonts w:ascii="Courier New" w:hAnsi="Courier New" w:eastAsia="Courier New" w:cs="Courier New"/>
              <w:i w:val="false"/>
              <w:b w:val="false"/>
              <w:u w:val="none"/>
              <w:sz w:val="18"/>
              <w:szCs w:val="1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DRUG/INDICATION: INCB054707/Hidradentitis Suppurativa</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DATABASE VERSION: 05MAY2023</w:t>
          </w:r>
        </w:p>
      </w:tc>
    </w:tr>
    <w:tr>
      <w:trPr>
        <w:trHeight w:val="360" w:hRule="auto"/>
      </w:trPr>
      body3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TLF Version: Dry run 1 (Cutoff Date 01MAY2023)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TASK: Dry Run 1</w:t>
          </w:r>
        </w:p>
      </w:tc>
    </w:tr>
    <w:tr>
      <w:trPr>
        <w:trHeight w:val="360" w:hRule="auto"/>
      </w:trPr>
      body4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Table 14.3.1.2</w:t>
          </w:r>
        </w:p>
      </w:tc>
    </w:tr>
    <w:tr>
      <w:trPr>
        <w:trHeight w:val="360" w:hRule="auto"/>
      </w:trPr>
      body5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Summary of Treatment Emergent Adverse Events (TEAE) by System Organ Class and Preferred Term</w:t>
          </w:r>
        </w:p>
      </w:tc>
    </w:tr>
    <w:tr>
      <w:trPr>
        <w:trHeight w:val="360" w:hRule="auto"/>
      </w:trPr>
      body6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Courier New" w:hAnsi="Courier New" w:eastAsia="Courier New" w:cs="Courier New"/>
              <w:i w:val="false"/>
              <w:b w:val="false"/>
              <w:u w:val="none"/>
              <w:sz w:val="18"/>
              <w:szCs w:val="18"/>
              <w:color w:val="000000"/>
            </w:rPr>
            <w:t xml:space="preserve">Safety Set</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header" Target="header1.xml"/>
<Relationship Id="rId8" Type="http://schemas.openxmlformats.org/officeDocument/2006/relationships/footer" Target="footer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Rostyslav.Didenko</cp:lastModifiedBy>
  <cp:revision>9</cp:revision>
  <dcterms:created xsi:type="dcterms:W3CDTF">2017-02-28T11:18:00Z</dcterms:created>
  <dcterms:modified xsi:type="dcterms:W3CDTF">2023-08-30T12:49:37Z</dcterms:modified>
  <cp:category/>
</cp:coreProperties>
</file>