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ESCOLHI A PRIMEIRA 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Segundo </w:t>
      </w:r>
      <w:hyperlink r:id="rId6">
        <w:r w:rsidDel="00000000" w:rsidR="00000000" w:rsidRPr="00000000">
          <w:rPr>
            <w:color w:val="e08c14"/>
            <w:sz w:val="20"/>
            <w:szCs w:val="20"/>
            <w:highlight w:val="white"/>
            <w:rtl w:val="0"/>
          </w:rPr>
          <w:t xml:space="preserve">Jakob Nielsen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(1957 -) existem cinco elementos que definem uma boa usabilidade.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1060" w:hanging="360"/>
        <w:rPr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Facilidade de aprendizado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 grau de facilidade de uso da interface;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1060" w:hanging="360"/>
        <w:rPr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Eficiência de uso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eficiência da interface permite que as pessoas realizem rapidamente seus objetivos;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1060" w:hanging="360"/>
        <w:rPr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Facilidade de memorização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Avalia se é fácil memorizar os caminhos para realizar uma tarefa nesta interface;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1060" w:hanging="360"/>
        <w:rPr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Erros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Analisa casos em que as pessoas cometem erros ao utilizar a interface e qual é a severidade deles. Se é difícil de resolvê-los ou não;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1060" w:hanging="360"/>
        <w:rPr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Satisfação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Observa se a interface é agradável.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rasil.uxdesign.cc/ensinamentos-de-jacob-nielsen-sobre-intera%C3%A7%C3%A3o-do-usu%C3%A1rio-com-interfaces-f510ac9b2a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