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DCB4" w14:textId="4BAACBF9" w:rsidR="00125D3E" w:rsidRPr="00F13D03" w:rsidRDefault="00125D3E" w:rsidP="00125D3E">
      <w:pPr>
        <w:rPr>
          <w:sz w:val="200"/>
          <w:szCs w:val="200"/>
        </w:rPr>
      </w:pPr>
    </w:p>
    <w:p w14:paraId="7FDDA2C3" w14:textId="2BCB9FA2" w:rsidR="00125D3E" w:rsidRPr="005961F4" w:rsidRDefault="007047B3" w:rsidP="00A07C6B">
      <w:pPr>
        <w:pStyle w:val="Title"/>
        <w:spacing w:after="240"/>
        <w:jc w:val="center"/>
      </w:pPr>
      <w:r>
        <w:t>CTEC1905 – Law Component Essay</w:t>
      </w:r>
    </w:p>
    <w:p w14:paraId="4833CEAC" w14:textId="1CC9E87F" w:rsidR="00A122F0" w:rsidRPr="005961F4" w:rsidRDefault="00A122F0" w:rsidP="00A122F0">
      <w:pPr>
        <w:rPr>
          <w:sz w:val="32"/>
          <w:szCs w:val="32"/>
        </w:rPr>
      </w:pPr>
    </w:p>
    <w:p w14:paraId="5B453D02" w14:textId="08012609" w:rsidR="00F83F60" w:rsidRPr="005961F4" w:rsidRDefault="00562FCB" w:rsidP="00A07C6B">
      <w:pPr>
        <w:pStyle w:val="Subtitle"/>
        <w:spacing w:before="240"/>
        <w:jc w:val="center"/>
        <w:rPr>
          <w:sz w:val="32"/>
          <w:szCs w:val="32"/>
        </w:rPr>
      </w:pPr>
      <w:r w:rsidRPr="005961F4">
        <w:rPr>
          <w:sz w:val="32"/>
          <w:szCs w:val="32"/>
        </w:rPr>
        <w:t>Question 3</w:t>
      </w:r>
    </w:p>
    <w:p w14:paraId="7AA165FC" w14:textId="4E0F2DE1" w:rsidR="00842630" w:rsidRPr="005961F4" w:rsidRDefault="00B67922" w:rsidP="00A122F0">
      <w:pPr>
        <w:pStyle w:val="IntenseQuote"/>
        <w:ind w:left="567" w:right="521"/>
        <w:jc w:val="both"/>
        <w:rPr>
          <w:smallCaps/>
          <w:color w:val="5A5A5A" w:themeColor="text1" w:themeTint="A5"/>
          <w:sz w:val="24"/>
          <w:szCs w:val="24"/>
        </w:rPr>
      </w:pPr>
      <w:r w:rsidRPr="005961F4">
        <w:rPr>
          <w:rStyle w:val="SubtleReference"/>
          <w:sz w:val="24"/>
          <w:szCs w:val="24"/>
        </w:rPr>
        <w:t>Critically discuss the Data Protection Act 2018; what is its origin and how effective is it? Your answer should include possible suggestions for improving the effectiveness of the Act.</w:t>
      </w:r>
    </w:p>
    <w:p w14:paraId="4A312A01" w14:textId="77777777" w:rsidR="000F2F62" w:rsidRPr="00F13D03" w:rsidRDefault="000F2F62" w:rsidP="000F2F62">
      <w:pPr>
        <w:rPr>
          <w:sz w:val="96"/>
          <w:szCs w:val="96"/>
        </w:rPr>
      </w:pPr>
    </w:p>
    <w:p w14:paraId="47D35F04" w14:textId="2FC411FA" w:rsidR="000028A6" w:rsidRPr="00A0360F" w:rsidRDefault="006215F7" w:rsidP="00EC3444">
      <w:pPr>
        <w:pStyle w:val="Heading1"/>
      </w:pPr>
      <w:r w:rsidRPr="005961F4">
        <w:t>Introduction</w:t>
      </w:r>
      <w:bookmarkStart w:id="0" w:name="_Toc102454819"/>
      <w:bookmarkStart w:id="1" w:name="_Toc102454830"/>
      <w:bookmarkEnd w:id="0"/>
      <w:bookmarkEnd w:id="1"/>
    </w:p>
    <w:p w14:paraId="1C5B6654" w14:textId="1DBEBDFB" w:rsidR="00125D3E" w:rsidRPr="005961F4" w:rsidRDefault="00F57F88" w:rsidP="00842630">
      <w:r w:rsidRPr="005961F4">
        <w:t>The mis</w:t>
      </w:r>
      <w:r w:rsidR="00F1527A" w:rsidRPr="005961F4">
        <w:t>handling</w:t>
      </w:r>
      <w:r w:rsidRPr="005961F4">
        <w:t xml:space="preserve"> of data has </w:t>
      </w:r>
      <w:r w:rsidR="007B206D" w:rsidRPr="005961F4">
        <w:t xml:space="preserve">always </w:t>
      </w:r>
      <w:r w:rsidRPr="005961F4">
        <w:t>been a prevalent</w:t>
      </w:r>
      <w:r w:rsidR="007B206D" w:rsidRPr="005961F4">
        <w:t xml:space="preserve"> issue</w:t>
      </w:r>
      <w:r w:rsidR="00EF7A19" w:rsidRPr="005961F4">
        <w:t xml:space="preserve"> in </w:t>
      </w:r>
      <w:r w:rsidR="00220D67" w:rsidRPr="005961F4">
        <w:t>the world</w:t>
      </w:r>
      <w:r w:rsidR="009C4C33" w:rsidRPr="005961F4">
        <w:t>’</w:t>
      </w:r>
      <w:r w:rsidR="00220D67" w:rsidRPr="005961F4">
        <w:t>s</w:t>
      </w:r>
      <w:r w:rsidR="00EF7A19" w:rsidRPr="005961F4">
        <w:t xml:space="preserve"> </w:t>
      </w:r>
      <w:r w:rsidR="00220D67" w:rsidRPr="005961F4">
        <w:t>rapidly evolving, technological climate</w:t>
      </w:r>
      <w:r w:rsidR="007B206D" w:rsidRPr="005961F4">
        <w:t xml:space="preserve"> and it was not until </w:t>
      </w:r>
      <w:r w:rsidR="00CB1B31" w:rsidRPr="005961F4">
        <w:t xml:space="preserve">the </w:t>
      </w:r>
      <w:r w:rsidR="006263D7" w:rsidRPr="005961F4">
        <w:t>Council of Europe</w:t>
      </w:r>
      <w:r w:rsidR="00CB1B31" w:rsidRPr="005961F4">
        <w:t xml:space="preserve"> </w:t>
      </w:r>
      <w:r w:rsidR="00B47F6C" w:rsidRPr="005961F4">
        <w:t xml:space="preserve">released </w:t>
      </w:r>
      <w:r w:rsidR="0050297D" w:rsidRPr="005961F4">
        <w:rPr>
          <w:b/>
          <w:bCs/>
        </w:rPr>
        <w:t>Convention 108</w:t>
      </w:r>
      <w:r w:rsidR="002E32E2" w:rsidRPr="002E32E2">
        <w:rPr>
          <w:rStyle w:val="FootnoteReference"/>
        </w:rPr>
        <w:footnoteReference w:id="2"/>
      </w:r>
      <w:r w:rsidR="00D57B8F" w:rsidRPr="005961F4">
        <w:rPr>
          <w:b/>
          <w:bCs/>
        </w:rPr>
        <w:t xml:space="preserve"> </w:t>
      </w:r>
      <w:r w:rsidR="00D57B8F" w:rsidRPr="005961F4">
        <w:t>in 1981</w:t>
      </w:r>
      <w:r w:rsidR="000945EA" w:rsidRPr="005961F4">
        <w:t xml:space="preserve">, that there was </w:t>
      </w:r>
      <w:r w:rsidR="00236B51" w:rsidRPr="005961F4">
        <w:t>a</w:t>
      </w:r>
      <w:r w:rsidR="00665DC2" w:rsidRPr="005961F4">
        <w:t xml:space="preserve"> “binding</w:t>
      </w:r>
      <w:r w:rsidR="003D3F6F" w:rsidRPr="005961F4">
        <w:t xml:space="preserve"> international</w:t>
      </w:r>
      <w:r w:rsidR="00236B51" w:rsidRPr="005961F4">
        <w:t xml:space="preserve"> instrument</w:t>
      </w:r>
      <w:r w:rsidR="00690C20" w:rsidRPr="005961F4">
        <w:t xml:space="preserve"> …</w:t>
      </w:r>
      <w:r w:rsidR="004E4F1E" w:rsidRPr="005961F4">
        <w:t xml:space="preserve"> [governing</w:t>
      </w:r>
      <w:r w:rsidR="00F51181" w:rsidRPr="005961F4">
        <w:t>] the collection and processing of personal data</w:t>
      </w:r>
      <w:r w:rsidR="00665DC2" w:rsidRPr="005961F4">
        <w:t>”</w:t>
      </w:r>
      <w:r w:rsidR="00236B51" w:rsidRPr="005961F4">
        <w:t xml:space="preserve"> </w:t>
      </w:r>
      <w:r w:rsidR="006263D7" w:rsidRPr="005961F4">
        <w:rPr>
          <w:rStyle w:val="ReferenceChar"/>
        </w:rPr>
        <w:t>(Council of Europe</w:t>
      </w:r>
      <w:r w:rsidR="00F13417" w:rsidRPr="005961F4">
        <w:rPr>
          <w:rStyle w:val="ReferenceChar"/>
        </w:rPr>
        <w:t>,</w:t>
      </w:r>
      <w:r w:rsidR="006263D7" w:rsidRPr="005961F4">
        <w:rPr>
          <w:rStyle w:val="ReferenceChar"/>
        </w:rPr>
        <w:t xml:space="preserve"> 20</w:t>
      </w:r>
      <w:r w:rsidR="001B6CBF" w:rsidRPr="005961F4">
        <w:rPr>
          <w:rStyle w:val="ReferenceChar"/>
        </w:rPr>
        <w:t>19</w:t>
      </w:r>
      <w:r w:rsidR="006263D7" w:rsidRPr="005961F4">
        <w:rPr>
          <w:rStyle w:val="ReferenceChar"/>
        </w:rPr>
        <w:t>)</w:t>
      </w:r>
      <w:r w:rsidR="00167ECB" w:rsidRPr="005961F4">
        <w:t>.</w:t>
      </w:r>
      <w:r w:rsidR="00D57B8F" w:rsidRPr="005961F4">
        <w:t xml:space="preserve"> </w:t>
      </w:r>
      <w:r w:rsidR="00E81E64" w:rsidRPr="005961F4">
        <w:t>The UK</w:t>
      </w:r>
      <w:r w:rsidR="00602EE2" w:rsidRPr="005961F4">
        <w:t xml:space="preserve">, </w:t>
      </w:r>
      <w:r w:rsidR="00C55829" w:rsidRPr="005961F4">
        <w:t>bound</w:t>
      </w:r>
      <w:r w:rsidR="00661842" w:rsidRPr="005961F4">
        <w:t xml:space="preserve"> by </w:t>
      </w:r>
      <w:r w:rsidR="00C55829" w:rsidRPr="005961F4">
        <w:rPr>
          <w:i/>
          <w:iCs/>
        </w:rPr>
        <w:t>Chapter II, Article 4</w:t>
      </w:r>
      <w:r w:rsidR="00C55829" w:rsidRPr="005961F4">
        <w:t xml:space="preserve"> of </w:t>
      </w:r>
      <w:r w:rsidR="008A5044" w:rsidRPr="005961F4">
        <w:t>Convention</w:t>
      </w:r>
      <w:r w:rsidR="00C55829" w:rsidRPr="005961F4">
        <w:t xml:space="preserve"> 108</w:t>
      </w:r>
      <w:r w:rsidR="00602EE2" w:rsidRPr="005961F4">
        <w:t>, was</w:t>
      </w:r>
      <w:r w:rsidR="002F126F" w:rsidRPr="005961F4">
        <w:t xml:space="preserve"> </w:t>
      </w:r>
      <w:r w:rsidR="00C55829" w:rsidRPr="005961F4">
        <w:t>required</w:t>
      </w:r>
      <w:r w:rsidR="00602EE2" w:rsidRPr="005961F4">
        <w:t xml:space="preserve"> </w:t>
      </w:r>
      <w:r w:rsidR="00661842" w:rsidRPr="005961F4">
        <w:t>to</w:t>
      </w:r>
      <w:r w:rsidR="00A728C6" w:rsidRPr="005961F4">
        <w:t xml:space="preserve"> </w:t>
      </w:r>
      <w:r w:rsidR="002F3B01" w:rsidRPr="005961F4">
        <w:t xml:space="preserve">enact </w:t>
      </w:r>
      <w:r w:rsidR="009A6238" w:rsidRPr="005961F4">
        <w:rPr>
          <w:b/>
          <w:bCs/>
        </w:rPr>
        <w:t xml:space="preserve">The Data Protection Act </w:t>
      </w:r>
      <w:r w:rsidR="0091166A" w:rsidRPr="005961F4">
        <w:rPr>
          <w:b/>
          <w:bCs/>
        </w:rPr>
        <w:t>198</w:t>
      </w:r>
      <w:r w:rsidR="0008716F" w:rsidRPr="005961F4">
        <w:rPr>
          <w:b/>
          <w:bCs/>
        </w:rPr>
        <w:t>4</w:t>
      </w:r>
      <w:r w:rsidR="0091166A" w:rsidRPr="005961F4">
        <w:rPr>
          <w:b/>
          <w:bCs/>
        </w:rPr>
        <w:t xml:space="preserve"> </w:t>
      </w:r>
      <w:r w:rsidR="0091166A" w:rsidRPr="005961F4">
        <w:t>(DPA 1984)</w:t>
      </w:r>
      <w:r w:rsidR="002F3B01" w:rsidRPr="005961F4">
        <w:t xml:space="preserve"> which</w:t>
      </w:r>
      <w:r w:rsidR="0091166A" w:rsidRPr="005961F4">
        <w:t xml:space="preserve"> </w:t>
      </w:r>
      <w:r w:rsidR="00080A31" w:rsidRPr="005961F4">
        <w:t xml:space="preserve">applied </w:t>
      </w:r>
      <w:r w:rsidR="002837FB" w:rsidRPr="005961F4">
        <w:t xml:space="preserve">the European legislation domestic law </w:t>
      </w:r>
      <w:r w:rsidR="00DF3B5A" w:rsidRPr="005961F4">
        <w:t>within the UK</w:t>
      </w:r>
      <w:r w:rsidR="00661842" w:rsidRPr="005961F4">
        <w:t>.</w:t>
      </w:r>
      <w:r w:rsidR="00C55829" w:rsidRPr="005961F4">
        <w:t xml:space="preserve"> </w:t>
      </w:r>
      <w:r w:rsidR="00A16DB9" w:rsidRPr="005961F4">
        <w:t>Now</w:t>
      </w:r>
      <w:r w:rsidR="00080A31" w:rsidRPr="005961F4">
        <w:t xml:space="preserve"> </w:t>
      </w:r>
      <w:r w:rsidR="006A116E" w:rsidRPr="005961F4">
        <w:t>38 years on</w:t>
      </w:r>
      <w:r w:rsidR="00746D6D" w:rsidRPr="005961F4">
        <w:t xml:space="preserve">, </w:t>
      </w:r>
      <w:r w:rsidR="0041690C" w:rsidRPr="005961F4">
        <w:t xml:space="preserve">there have been two </w:t>
      </w:r>
      <w:r w:rsidR="00984593" w:rsidRPr="005961F4">
        <w:t>successors to the DPA 1984</w:t>
      </w:r>
      <w:r w:rsidR="00995643" w:rsidRPr="005961F4">
        <w:t>,</w:t>
      </w:r>
      <w:r w:rsidR="009F0C6E" w:rsidRPr="005961F4">
        <w:t xml:space="preserve"> </w:t>
      </w:r>
      <w:r w:rsidR="001413E2" w:rsidRPr="005961F4">
        <w:t xml:space="preserve">the </w:t>
      </w:r>
      <w:r w:rsidR="001413E2" w:rsidRPr="005961F4">
        <w:rPr>
          <w:b/>
          <w:bCs/>
        </w:rPr>
        <w:t xml:space="preserve">Data Protection Act </w:t>
      </w:r>
      <w:r w:rsidR="009F0C6E" w:rsidRPr="005961F4">
        <w:rPr>
          <w:b/>
          <w:bCs/>
        </w:rPr>
        <w:t>1998</w:t>
      </w:r>
      <w:r w:rsidR="001413E2" w:rsidRPr="005961F4">
        <w:t xml:space="preserve"> (DPA 1998) and the </w:t>
      </w:r>
      <w:r w:rsidR="001413E2" w:rsidRPr="005961F4">
        <w:rPr>
          <w:b/>
          <w:bCs/>
        </w:rPr>
        <w:t>Data Protection Act 2018</w:t>
      </w:r>
      <w:r w:rsidR="001413E2" w:rsidRPr="005961F4">
        <w:t xml:space="preserve"> (DPA 2018).</w:t>
      </w:r>
      <w:r w:rsidR="00AB0CE0" w:rsidRPr="005961F4">
        <w:t xml:space="preserve"> </w:t>
      </w:r>
      <w:r w:rsidR="001413E2" w:rsidRPr="005961F4">
        <w:t>T</w:t>
      </w:r>
      <w:r w:rsidR="00AB0CE0" w:rsidRPr="005961F4">
        <w:t xml:space="preserve">he latter of </w:t>
      </w:r>
      <w:r w:rsidR="001413E2" w:rsidRPr="005961F4">
        <w:t xml:space="preserve">these </w:t>
      </w:r>
      <w:r w:rsidR="7B58F177" w:rsidRPr="005961F4">
        <w:t>will be</w:t>
      </w:r>
      <w:r w:rsidR="00E1713F" w:rsidRPr="005961F4">
        <w:t xml:space="preserve"> </w:t>
      </w:r>
      <w:r w:rsidR="00B80B42" w:rsidRPr="005961F4">
        <w:t xml:space="preserve">further </w:t>
      </w:r>
      <w:r w:rsidR="7B58F177" w:rsidRPr="005961F4">
        <w:t>discussed in this paper</w:t>
      </w:r>
      <w:r w:rsidR="00B500DB" w:rsidRPr="005961F4">
        <w:t xml:space="preserve">, </w:t>
      </w:r>
      <w:r w:rsidR="00974A67" w:rsidRPr="005961F4">
        <w:t>its</w:t>
      </w:r>
      <w:r w:rsidR="7B58F177" w:rsidRPr="005961F4">
        <w:t xml:space="preserve"> impact and efficacy will be examined, </w:t>
      </w:r>
      <w:r w:rsidR="00345460" w:rsidRPr="005961F4">
        <w:t>leading to</w:t>
      </w:r>
      <w:r w:rsidR="009847DD" w:rsidRPr="005961F4">
        <w:t xml:space="preserve"> </w:t>
      </w:r>
      <w:r w:rsidR="7B58F177" w:rsidRPr="005961F4">
        <w:t>suggestions</w:t>
      </w:r>
      <w:r w:rsidR="00EC6BEA" w:rsidRPr="005961F4">
        <w:t xml:space="preserve"> being made</w:t>
      </w:r>
      <w:r w:rsidR="7B58F177" w:rsidRPr="005961F4">
        <w:t xml:space="preserve"> for </w:t>
      </w:r>
      <w:r w:rsidR="009847DD" w:rsidRPr="005961F4">
        <w:t>potential</w:t>
      </w:r>
      <w:r w:rsidR="7B58F177" w:rsidRPr="005961F4">
        <w:t xml:space="preserve"> adjustments to the ac</w:t>
      </w:r>
      <w:r w:rsidR="00043983" w:rsidRPr="005961F4">
        <w:t>t</w:t>
      </w:r>
      <w:r w:rsidR="00535EC2" w:rsidRPr="005961F4">
        <w:t>.</w:t>
      </w:r>
    </w:p>
    <w:p w14:paraId="4DAB4C5A" w14:textId="77777777" w:rsidR="000F2F62" w:rsidRPr="005961F4" w:rsidRDefault="000F2F62">
      <w:pPr>
        <w:jc w:val="left"/>
        <w:rPr>
          <w:rFonts w:asciiTheme="majorHAnsi" w:eastAsiaTheme="majorEastAsia" w:hAnsiTheme="majorHAnsi" w:cstheme="majorBidi"/>
          <w:color w:val="2F5496" w:themeColor="accent1" w:themeShade="BF"/>
          <w:sz w:val="32"/>
          <w:szCs w:val="32"/>
        </w:rPr>
      </w:pPr>
      <w:r w:rsidRPr="005961F4">
        <w:br w:type="page"/>
      </w:r>
    </w:p>
    <w:p w14:paraId="178F51C4" w14:textId="3D9776A1" w:rsidR="00EC3444" w:rsidRPr="00A0360F" w:rsidRDefault="7B58F177" w:rsidP="00EC3444">
      <w:pPr>
        <w:pStyle w:val="Heading1"/>
      </w:pPr>
      <w:r w:rsidRPr="005961F4">
        <w:lastRenderedPageBreak/>
        <w:t>Background</w:t>
      </w:r>
      <w:bookmarkStart w:id="2" w:name="_Toc102454820"/>
      <w:bookmarkStart w:id="3" w:name="_Toc102454831"/>
      <w:bookmarkEnd w:id="2"/>
      <w:bookmarkEnd w:id="3"/>
    </w:p>
    <w:p w14:paraId="3C807780" w14:textId="7D5B4B9D" w:rsidR="00301CC8" w:rsidRPr="005961F4" w:rsidRDefault="00BE43CF" w:rsidP="002061AF">
      <w:r w:rsidRPr="005961F4">
        <w:t xml:space="preserve">Convention </w:t>
      </w:r>
      <w:r w:rsidR="00BD319B" w:rsidRPr="005961F4">
        <w:t xml:space="preserve">108 </w:t>
      </w:r>
      <w:r w:rsidRPr="005961F4">
        <w:t xml:space="preserve">was exceptionally forward thinking </w:t>
      </w:r>
      <w:r w:rsidR="0005537F" w:rsidRPr="005961F4">
        <w:t xml:space="preserve">for </w:t>
      </w:r>
      <w:r w:rsidRPr="005961F4">
        <w:t xml:space="preserve">the time, considering </w:t>
      </w:r>
      <w:r w:rsidR="00473E1F" w:rsidRPr="005961F4">
        <w:t>th</w:t>
      </w:r>
      <w:r w:rsidR="00EE14F2" w:rsidRPr="005961F4">
        <w:t xml:space="preserve">at </w:t>
      </w:r>
      <w:r w:rsidR="00781E73" w:rsidRPr="005961F4">
        <w:t xml:space="preserve">Sir </w:t>
      </w:r>
      <w:r w:rsidR="00EE14F2" w:rsidRPr="005961F4">
        <w:t xml:space="preserve">Tim Berners-Lee would </w:t>
      </w:r>
      <w:r w:rsidR="00BD2A10" w:rsidRPr="005961F4">
        <w:t>not</w:t>
      </w:r>
      <w:r w:rsidR="00473E1F" w:rsidRPr="005961F4">
        <w:t xml:space="preserve"> </w:t>
      </w:r>
      <w:r w:rsidR="00CD004D" w:rsidRPr="005961F4">
        <w:t xml:space="preserve">invent </w:t>
      </w:r>
      <w:r w:rsidR="00EE14F2" w:rsidRPr="005961F4">
        <w:t>the worldwide web</w:t>
      </w:r>
      <w:r w:rsidR="003D440D" w:rsidRPr="005961F4">
        <w:t xml:space="preserve"> </w:t>
      </w:r>
      <w:r w:rsidR="00BD2A10" w:rsidRPr="005961F4">
        <w:t xml:space="preserve">for another eight years </w:t>
      </w:r>
      <w:r w:rsidR="00BD2A10" w:rsidRPr="005961F4">
        <w:rPr>
          <w:rStyle w:val="ReferenceChar"/>
        </w:rPr>
        <w:t>(</w:t>
      </w:r>
      <w:r w:rsidR="008C46CD" w:rsidRPr="005961F4">
        <w:rPr>
          <w:i/>
          <w:color w:val="7F7F7F" w:themeColor="text1" w:themeTint="80"/>
        </w:rPr>
        <w:t>McPherson</w:t>
      </w:r>
      <w:r w:rsidR="00F13417" w:rsidRPr="005961F4">
        <w:rPr>
          <w:i/>
          <w:color w:val="7F7F7F" w:themeColor="text1" w:themeTint="80"/>
        </w:rPr>
        <w:t>,</w:t>
      </w:r>
      <w:r w:rsidR="000C0B39" w:rsidRPr="005961F4">
        <w:rPr>
          <w:i/>
          <w:color w:val="7F7F7F" w:themeColor="text1" w:themeTint="80"/>
        </w:rPr>
        <w:t xml:space="preserve"> 2009</w:t>
      </w:r>
      <w:r w:rsidR="00BD2A10" w:rsidRPr="005961F4">
        <w:rPr>
          <w:rStyle w:val="ReferenceChar"/>
        </w:rPr>
        <w:t>)</w:t>
      </w:r>
      <w:r w:rsidR="00BD2A10" w:rsidRPr="005961F4">
        <w:t xml:space="preserve">. </w:t>
      </w:r>
      <w:r w:rsidR="00FC4544" w:rsidRPr="005961F4">
        <w:t>Global</w:t>
      </w:r>
      <w:r w:rsidR="0049787E" w:rsidRPr="005961F4">
        <w:t xml:space="preserve"> internet </w:t>
      </w:r>
      <w:r w:rsidR="009A785E" w:rsidRPr="005961F4">
        <w:t xml:space="preserve">traffic </w:t>
      </w:r>
      <w:r w:rsidR="005B798B" w:rsidRPr="005961F4">
        <w:t xml:space="preserve">has been growing </w:t>
      </w:r>
      <w:r w:rsidR="00272053" w:rsidRPr="005961F4">
        <w:t>exponentially and</w:t>
      </w:r>
      <w:r w:rsidR="005B798B" w:rsidRPr="005961F4">
        <w:t xml:space="preserve"> </w:t>
      </w:r>
      <w:r w:rsidR="009A785E" w:rsidRPr="005961F4">
        <w:t xml:space="preserve">was </w:t>
      </w:r>
      <w:r w:rsidR="003422D7" w:rsidRPr="005961F4">
        <w:t xml:space="preserve">reported by </w:t>
      </w:r>
      <w:r w:rsidR="00FC4544" w:rsidRPr="005961F4">
        <w:t xml:space="preserve">The World Bank </w:t>
      </w:r>
      <w:r w:rsidR="00272053" w:rsidRPr="005961F4">
        <w:rPr>
          <w:rStyle w:val="ReferenceChar"/>
        </w:rPr>
        <w:t>(</w:t>
      </w:r>
      <w:r w:rsidR="006266A7" w:rsidRPr="005961F4">
        <w:rPr>
          <w:rStyle w:val="ReferenceChar"/>
        </w:rPr>
        <w:t>2021)</w:t>
      </w:r>
      <w:r w:rsidR="006266A7" w:rsidRPr="005961F4">
        <w:t xml:space="preserve"> to</w:t>
      </w:r>
      <w:r w:rsidR="009A785E" w:rsidRPr="005961F4">
        <w:t xml:space="preserve"> </w:t>
      </w:r>
      <w:r w:rsidR="00C822EC" w:rsidRPr="005961F4">
        <w:t xml:space="preserve">be </w:t>
      </w:r>
      <w:r w:rsidR="00867742" w:rsidRPr="005961F4">
        <w:t xml:space="preserve">3 zettabytes (1 </w:t>
      </w:r>
      <w:r w:rsidR="007148CE" w:rsidRPr="005961F4">
        <w:rPr>
          <w:rFonts w:cstheme="minorHAnsi"/>
        </w:rPr>
        <w:t>×</w:t>
      </w:r>
      <w:r w:rsidR="007148CE" w:rsidRPr="005961F4">
        <w:t xml:space="preserve"> 10</w:t>
      </w:r>
      <w:r w:rsidR="007148CE" w:rsidRPr="005961F4">
        <w:rPr>
          <w:vertAlign w:val="superscript"/>
        </w:rPr>
        <w:t>21</w:t>
      </w:r>
      <w:r w:rsidR="007148CE" w:rsidRPr="005961F4">
        <w:t xml:space="preserve"> bytes)</w:t>
      </w:r>
      <w:r w:rsidR="00FA5783" w:rsidRPr="005961F4">
        <w:t>,</w:t>
      </w:r>
      <w:r w:rsidR="007148CE" w:rsidRPr="005961F4">
        <w:t xml:space="preserve"> </w:t>
      </w:r>
      <w:r w:rsidR="00C822EC" w:rsidRPr="005961F4">
        <w:t xml:space="preserve">which is </w:t>
      </w:r>
      <w:r w:rsidR="00496810" w:rsidRPr="005961F4">
        <w:t xml:space="preserve">an unfathomably </w:t>
      </w:r>
      <w:r w:rsidR="008773E2" w:rsidRPr="005961F4">
        <w:t>vast</w:t>
      </w:r>
      <w:r w:rsidR="00496810" w:rsidRPr="005961F4">
        <w:t xml:space="preserve"> </w:t>
      </w:r>
      <w:r w:rsidR="008773E2" w:rsidRPr="005961F4">
        <w:t>amount</w:t>
      </w:r>
      <w:r w:rsidR="00DB0967" w:rsidRPr="005961F4">
        <w:t>. Not</w:t>
      </w:r>
      <w:r w:rsidR="0027549C" w:rsidRPr="005961F4">
        <w:t xml:space="preserve"> only does this ‘Big Data’</w:t>
      </w:r>
      <w:r w:rsidR="00847947" w:rsidRPr="005961F4">
        <w:rPr>
          <w:rStyle w:val="FootnoteReference"/>
        </w:rPr>
        <w:footnoteReference w:id="3"/>
      </w:r>
      <w:r w:rsidR="0027549C" w:rsidRPr="005961F4">
        <w:t xml:space="preserve"> come in vast quantities</w:t>
      </w:r>
      <w:r w:rsidR="00E757CC" w:rsidRPr="005961F4">
        <w:t>,</w:t>
      </w:r>
      <w:r w:rsidR="008773E2" w:rsidRPr="005961F4">
        <w:t xml:space="preserve"> </w:t>
      </w:r>
      <w:r w:rsidR="00DB0967" w:rsidRPr="005961F4">
        <w:t>but the speed at which it is created</w:t>
      </w:r>
      <w:r w:rsidR="00CC5591" w:rsidRPr="005961F4">
        <w:t xml:space="preserve"> and processed</w:t>
      </w:r>
      <w:r w:rsidR="00AD25F0" w:rsidRPr="005961F4">
        <w:t xml:space="preserve">, </w:t>
      </w:r>
      <w:r w:rsidR="003D7524" w:rsidRPr="005961F4">
        <w:t>along with</w:t>
      </w:r>
      <w:r w:rsidR="00AD25F0" w:rsidRPr="005961F4">
        <w:t xml:space="preserve"> the variety of data collected, </w:t>
      </w:r>
      <w:r w:rsidR="003D7524" w:rsidRPr="005961F4">
        <w:t>is</w:t>
      </w:r>
      <w:r w:rsidR="00DB0967" w:rsidRPr="005961F4">
        <w:t xml:space="preserve"> </w:t>
      </w:r>
      <w:r w:rsidR="00A87D45" w:rsidRPr="005961F4">
        <w:t>what give</w:t>
      </w:r>
      <w:r w:rsidR="00961FDB" w:rsidRPr="005961F4">
        <w:t xml:space="preserve"> companies </w:t>
      </w:r>
      <w:r w:rsidR="00766768" w:rsidRPr="005961F4">
        <w:t>the advantage over their competitors</w:t>
      </w:r>
      <w:r w:rsidR="00AF7CA2" w:rsidRPr="005961F4">
        <w:t xml:space="preserve"> </w:t>
      </w:r>
      <w:r w:rsidR="00183172" w:rsidRPr="005961F4">
        <w:rPr>
          <w:rStyle w:val="ReferenceChar"/>
        </w:rPr>
        <w:t>(M</w:t>
      </w:r>
      <w:r w:rsidR="00F847D6" w:rsidRPr="005961F4">
        <w:rPr>
          <w:rStyle w:val="ReferenceChar"/>
        </w:rPr>
        <w:t>cAfee and Brynjolfsson</w:t>
      </w:r>
      <w:r w:rsidR="00F13417" w:rsidRPr="005961F4">
        <w:rPr>
          <w:rStyle w:val="ReferenceChar"/>
        </w:rPr>
        <w:t>,</w:t>
      </w:r>
      <w:r w:rsidR="00F847D6" w:rsidRPr="005961F4">
        <w:rPr>
          <w:rStyle w:val="ReferenceChar"/>
        </w:rPr>
        <w:t xml:space="preserve"> 2012)</w:t>
      </w:r>
      <w:r w:rsidR="00E757CC" w:rsidRPr="005961F4">
        <w:t xml:space="preserve">. </w:t>
      </w:r>
    </w:p>
    <w:p w14:paraId="5FFB8A73" w14:textId="6DE3171E" w:rsidR="00527BA3" w:rsidRPr="005961F4" w:rsidRDefault="00CB6AF7" w:rsidP="00CB5EEC">
      <w:r w:rsidRPr="005961F4">
        <w:t>In 2012, the European Commission started a four-year process</w:t>
      </w:r>
      <w:r w:rsidR="002F126F" w:rsidRPr="005961F4">
        <w:t xml:space="preserve"> </w:t>
      </w:r>
      <w:r w:rsidR="002F126F" w:rsidRPr="005961F4">
        <w:rPr>
          <w:rStyle w:val="ReferenceChar"/>
        </w:rPr>
        <w:t>(</w:t>
      </w:r>
      <w:r w:rsidR="006D4C06" w:rsidRPr="005961F4">
        <w:rPr>
          <w:rStyle w:val="ReferenceChar"/>
        </w:rPr>
        <w:t>Burn-Murdoch</w:t>
      </w:r>
      <w:r w:rsidR="00F13417" w:rsidRPr="005961F4">
        <w:rPr>
          <w:rStyle w:val="ReferenceChar"/>
        </w:rPr>
        <w:t>,</w:t>
      </w:r>
      <w:r w:rsidR="006D4C06" w:rsidRPr="005961F4">
        <w:rPr>
          <w:rStyle w:val="ReferenceChar"/>
        </w:rPr>
        <w:t xml:space="preserve"> 2013)</w:t>
      </w:r>
      <w:r w:rsidRPr="005961F4">
        <w:t xml:space="preserve"> to update the </w:t>
      </w:r>
      <w:r w:rsidRPr="005961F4">
        <w:rPr>
          <w:b/>
          <w:bCs/>
        </w:rPr>
        <w:t>1995 Data Protection Directive</w:t>
      </w:r>
      <w:r w:rsidR="00842D9B" w:rsidRPr="005961F4">
        <w:rPr>
          <w:b/>
          <w:bCs/>
        </w:rPr>
        <w:t xml:space="preserve"> </w:t>
      </w:r>
      <w:r w:rsidR="00842D9B" w:rsidRPr="005961F4">
        <w:t>(</w:t>
      </w:r>
      <w:r w:rsidR="00501EF9" w:rsidRPr="005961F4">
        <w:t>1995 DPD)</w:t>
      </w:r>
      <w:r w:rsidRPr="005961F4">
        <w:t xml:space="preserve">, </w:t>
      </w:r>
      <w:r w:rsidR="00B4092E" w:rsidRPr="005961F4">
        <w:t xml:space="preserve">which was the </w:t>
      </w:r>
      <w:r w:rsidR="0086039B" w:rsidRPr="005961F4">
        <w:t>authoritative</w:t>
      </w:r>
      <w:r w:rsidR="007207DE" w:rsidRPr="005961F4">
        <w:t xml:space="preserve"> </w:t>
      </w:r>
      <w:r w:rsidR="00776007" w:rsidRPr="005961F4">
        <w:t>document for data protection in Europe at the time</w:t>
      </w:r>
      <w:r w:rsidR="005C7675" w:rsidRPr="005961F4">
        <w:t>,</w:t>
      </w:r>
      <w:r w:rsidR="000E79F5" w:rsidRPr="005961F4">
        <w:t xml:space="preserve"> and o</w:t>
      </w:r>
      <w:r w:rsidR="007772F5" w:rsidRPr="005961F4">
        <w:t xml:space="preserve">n </w:t>
      </w:r>
      <w:r w:rsidR="00F01F03" w:rsidRPr="005961F4">
        <w:t>14 April 2016,</w:t>
      </w:r>
      <w:r w:rsidRPr="005961F4">
        <w:t xml:space="preserve"> </w:t>
      </w:r>
      <w:r w:rsidR="003E4397" w:rsidRPr="005961F4">
        <w:t xml:space="preserve">it was superseded </w:t>
      </w:r>
      <w:r w:rsidRPr="005961F4">
        <w:t xml:space="preserve">the </w:t>
      </w:r>
      <w:r w:rsidRPr="005961F4">
        <w:rPr>
          <w:b/>
          <w:bCs/>
        </w:rPr>
        <w:t>General Data Protection Regulation 2016</w:t>
      </w:r>
      <w:r w:rsidRPr="005961F4">
        <w:t xml:space="preserve"> (GDPR 2016)</w:t>
      </w:r>
      <w:r w:rsidR="00DE4021" w:rsidRPr="005961F4">
        <w:t xml:space="preserve">. </w:t>
      </w:r>
      <w:r w:rsidR="0005537F" w:rsidRPr="005961F4">
        <w:t>A</w:t>
      </w:r>
      <w:r w:rsidRPr="005961F4">
        <w:t>s a member of the EU at the time, the UK needed to amend its own regulations governing data processing to keep up to date with EU law</w:t>
      </w:r>
      <w:r w:rsidR="00CB5EEC" w:rsidRPr="005961F4">
        <w:t xml:space="preserve">, and </w:t>
      </w:r>
      <w:r w:rsidR="005910AB" w:rsidRPr="005961F4">
        <w:t xml:space="preserve">the </w:t>
      </w:r>
      <w:r w:rsidRPr="005961F4">
        <w:t>new DPA 2018</w:t>
      </w:r>
      <w:r w:rsidR="001413E2" w:rsidRPr="005961F4">
        <w:t xml:space="preserve"> </w:t>
      </w:r>
      <w:r w:rsidRPr="005961F4">
        <w:t>sought to improve upon the</w:t>
      </w:r>
      <w:r w:rsidR="00CB5EEC" w:rsidRPr="005961F4">
        <w:t xml:space="preserve"> existing</w:t>
      </w:r>
      <w:r w:rsidRPr="005961F4">
        <w:t xml:space="preserve"> </w:t>
      </w:r>
      <w:r w:rsidR="007275AD" w:rsidRPr="005961F4">
        <w:t>DPA 1998</w:t>
      </w:r>
      <w:r w:rsidR="005910AB" w:rsidRPr="005961F4">
        <w:t>.</w:t>
      </w:r>
      <w:r w:rsidR="0099073A" w:rsidRPr="005961F4">
        <w:t xml:space="preserve"> </w:t>
      </w:r>
      <w:r w:rsidR="0016566B" w:rsidRPr="005961F4">
        <w:t>While t</w:t>
      </w:r>
      <w:r w:rsidR="005F61AB" w:rsidRPr="005961F4">
        <w:t xml:space="preserve">he DPA 2018 </w:t>
      </w:r>
      <w:r w:rsidR="006D47EA" w:rsidRPr="005961F4">
        <w:t xml:space="preserve">originally </w:t>
      </w:r>
      <w:r w:rsidR="00286FEB" w:rsidRPr="005961F4">
        <w:t>employed</w:t>
      </w:r>
      <w:r w:rsidR="005F61AB" w:rsidRPr="005961F4">
        <w:t xml:space="preserve"> EU </w:t>
      </w:r>
      <w:r w:rsidR="006D47EA" w:rsidRPr="005961F4">
        <w:t>GDPR</w:t>
      </w:r>
      <w:r w:rsidR="00286FEB" w:rsidRPr="005961F4">
        <w:t xml:space="preserve"> </w:t>
      </w:r>
      <w:r w:rsidR="00920CAB" w:rsidRPr="005961F4">
        <w:t>to define its</w:t>
      </w:r>
      <w:r w:rsidR="00286FEB" w:rsidRPr="005961F4">
        <w:t xml:space="preserve"> framework,</w:t>
      </w:r>
      <w:r w:rsidRPr="005961F4">
        <w:t xml:space="preserve"> </w:t>
      </w:r>
      <w:r w:rsidR="0014697A" w:rsidRPr="005961F4">
        <w:t>as consequence to the UK’s withdrawal</w:t>
      </w:r>
      <w:r w:rsidR="0047273C" w:rsidRPr="005961F4">
        <w:t xml:space="preserve"> </w:t>
      </w:r>
      <w:r w:rsidR="0014697A" w:rsidRPr="005961F4">
        <w:t>from the EU</w:t>
      </w:r>
      <w:r w:rsidR="00993282" w:rsidRPr="005961F4">
        <w:t>,</w:t>
      </w:r>
      <w:r w:rsidR="00C41733" w:rsidRPr="005961F4">
        <w:t xml:space="preserve"> the </w:t>
      </w:r>
      <w:r w:rsidR="00862AC4" w:rsidRPr="005961F4">
        <w:t xml:space="preserve">UK </w:t>
      </w:r>
      <w:r w:rsidR="00425CD5" w:rsidRPr="005961F4">
        <w:t>merged</w:t>
      </w:r>
      <w:r w:rsidR="00862AC4" w:rsidRPr="005961F4">
        <w:t xml:space="preserve"> GDPR 2016</w:t>
      </w:r>
      <w:r w:rsidR="00CE0A13" w:rsidRPr="005961F4">
        <w:t xml:space="preserve"> </w:t>
      </w:r>
      <w:r w:rsidR="00425CD5" w:rsidRPr="005961F4">
        <w:t>into domestic law as</w:t>
      </w:r>
      <w:r w:rsidR="00774314" w:rsidRPr="005961F4">
        <w:t xml:space="preserve"> </w:t>
      </w:r>
      <w:r w:rsidR="00197F97" w:rsidRPr="005961F4">
        <w:rPr>
          <w:b/>
          <w:bCs/>
        </w:rPr>
        <w:t>UK GDPR</w:t>
      </w:r>
      <w:r w:rsidR="007A3E90" w:rsidRPr="005961F4">
        <w:rPr>
          <w:b/>
          <w:bCs/>
        </w:rPr>
        <w:t xml:space="preserve"> </w:t>
      </w:r>
      <w:r w:rsidR="00537E36" w:rsidRPr="005961F4">
        <w:t>and</w:t>
      </w:r>
      <w:r w:rsidR="00425CD5" w:rsidRPr="005961F4">
        <w:t xml:space="preserve"> amended</w:t>
      </w:r>
      <w:r w:rsidR="00536499" w:rsidRPr="005961F4">
        <w:t xml:space="preserve"> </w:t>
      </w:r>
      <w:r w:rsidR="008F32F6" w:rsidRPr="005961F4">
        <w:t>the DPA 2018</w:t>
      </w:r>
      <w:r w:rsidR="002E7762" w:rsidRPr="005961F4">
        <w:t xml:space="preserve"> </w:t>
      </w:r>
      <w:r w:rsidR="00C40D0F" w:rsidRPr="005961F4">
        <w:t>as per</w:t>
      </w:r>
      <w:r w:rsidR="00DE4021" w:rsidRPr="005961F4">
        <w:t xml:space="preserve"> </w:t>
      </w:r>
      <w:r w:rsidR="00786E62" w:rsidRPr="005961F4">
        <w:t>UK Statutory Instrument No. 419</w:t>
      </w:r>
      <w:r w:rsidR="00786E62" w:rsidRPr="005961F4">
        <w:rPr>
          <w:rStyle w:val="FootnoteReference"/>
        </w:rPr>
        <w:footnoteReference w:id="4"/>
      </w:r>
      <w:r w:rsidR="00786E62" w:rsidRPr="005961F4">
        <w:t xml:space="preserve"> </w:t>
      </w:r>
      <w:r w:rsidR="00786E62" w:rsidRPr="005961F4">
        <w:rPr>
          <w:rStyle w:val="ReferenceChar"/>
        </w:rPr>
        <w:t>(2019)</w:t>
      </w:r>
      <w:r w:rsidR="00C41733" w:rsidRPr="005961F4">
        <w:t>.</w:t>
      </w:r>
    </w:p>
    <w:p w14:paraId="2D46FA0B" w14:textId="64EF39B0" w:rsidR="00EC3444" w:rsidRPr="00A0360F" w:rsidRDefault="00053912" w:rsidP="00EC3444">
      <w:pPr>
        <w:pStyle w:val="Heading2"/>
        <w:ind w:right="237"/>
      </w:pPr>
      <w:r w:rsidRPr="005961F4">
        <w:t>Principles</w:t>
      </w:r>
      <w:bookmarkStart w:id="4" w:name="_Toc102454821"/>
      <w:bookmarkStart w:id="5" w:name="_Toc102454832"/>
      <w:bookmarkEnd w:id="4"/>
      <w:bookmarkEnd w:id="5"/>
    </w:p>
    <w:p w14:paraId="5E7D4565" w14:textId="781DB5DD" w:rsidR="00053912" w:rsidRPr="005961F4" w:rsidRDefault="00053912" w:rsidP="00464094">
      <w:pPr>
        <w:ind w:left="284" w:right="237"/>
      </w:pPr>
      <w:r w:rsidRPr="005961F4">
        <w:t xml:space="preserve">In </w:t>
      </w:r>
      <w:r w:rsidRPr="005961F4">
        <w:rPr>
          <w:i/>
          <w:iCs/>
        </w:rPr>
        <w:t>Chapter II, Article 5</w:t>
      </w:r>
      <w:r w:rsidRPr="005961F4">
        <w:t xml:space="preserve"> of the UK GDPR, the</w:t>
      </w:r>
      <w:r w:rsidR="005F3CAF" w:rsidRPr="005961F4">
        <w:t xml:space="preserve"> six</w:t>
      </w:r>
      <w:r w:rsidRPr="005961F4">
        <w:t xml:space="preserve"> principles relating to data collection, processing, and storage are defined. It states that all personal data should be:</w:t>
      </w:r>
    </w:p>
    <w:p w14:paraId="06DC27C2" w14:textId="0C2BA959" w:rsidR="00053912" w:rsidRPr="005961F4" w:rsidRDefault="00053912" w:rsidP="00464094">
      <w:pPr>
        <w:pStyle w:val="ListParagraph"/>
        <w:numPr>
          <w:ilvl w:val="0"/>
          <w:numId w:val="13"/>
        </w:numPr>
        <w:ind w:right="237"/>
      </w:pPr>
      <w:r w:rsidRPr="005961F4">
        <w:t>“processed lawfully, fairly and in a transparent manner”</w:t>
      </w:r>
    </w:p>
    <w:p w14:paraId="46EDFED0" w14:textId="77777777" w:rsidR="00053912" w:rsidRPr="005961F4" w:rsidRDefault="00053912" w:rsidP="00464094">
      <w:pPr>
        <w:pStyle w:val="ListParagraph"/>
        <w:numPr>
          <w:ilvl w:val="0"/>
          <w:numId w:val="13"/>
        </w:numPr>
        <w:ind w:right="237"/>
      </w:pPr>
      <w:r w:rsidRPr="005961F4">
        <w:t>“collected for specified, explicit and legitimate purposes”</w:t>
      </w:r>
    </w:p>
    <w:p w14:paraId="33555A63" w14:textId="77777777" w:rsidR="00053912" w:rsidRPr="005961F4" w:rsidRDefault="00053912" w:rsidP="00464094">
      <w:pPr>
        <w:pStyle w:val="ListParagraph"/>
        <w:numPr>
          <w:ilvl w:val="0"/>
          <w:numId w:val="13"/>
        </w:numPr>
        <w:ind w:right="237"/>
      </w:pPr>
      <w:r w:rsidRPr="005961F4">
        <w:t>“adequate, relevant and limited to what is necessary”</w:t>
      </w:r>
    </w:p>
    <w:p w14:paraId="6C796639" w14:textId="77777777" w:rsidR="00053912" w:rsidRPr="005961F4" w:rsidRDefault="00053912" w:rsidP="00464094">
      <w:pPr>
        <w:pStyle w:val="ListParagraph"/>
        <w:numPr>
          <w:ilvl w:val="0"/>
          <w:numId w:val="13"/>
        </w:numPr>
        <w:ind w:right="237"/>
      </w:pPr>
      <w:r w:rsidRPr="005961F4">
        <w:t>“accurate and, where necessary, kept up to date”</w:t>
      </w:r>
    </w:p>
    <w:p w14:paraId="085385E2" w14:textId="0C663451" w:rsidR="00053912" w:rsidRPr="005961F4" w:rsidRDefault="00053912" w:rsidP="00464094">
      <w:pPr>
        <w:pStyle w:val="ListParagraph"/>
        <w:numPr>
          <w:ilvl w:val="0"/>
          <w:numId w:val="13"/>
        </w:numPr>
        <w:ind w:right="237"/>
      </w:pPr>
      <w:r w:rsidRPr="005961F4">
        <w:t xml:space="preserve">“kept in a form which permits identification </w:t>
      </w:r>
      <w:r w:rsidR="006148ED" w:rsidRPr="005961F4">
        <w:t>…</w:t>
      </w:r>
      <w:r w:rsidRPr="005961F4">
        <w:t xml:space="preserve"> for no longer than is necessary”</w:t>
      </w:r>
    </w:p>
    <w:p w14:paraId="0743D53E" w14:textId="4600798D" w:rsidR="00053912" w:rsidRPr="005961F4" w:rsidRDefault="00053912" w:rsidP="00464094">
      <w:pPr>
        <w:pStyle w:val="ListParagraph"/>
        <w:numPr>
          <w:ilvl w:val="0"/>
          <w:numId w:val="13"/>
        </w:numPr>
        <w:ind w:right="237"/>
      </w:pPr>
      <w:r w:rsidRPr="005961F4">
        <w:t>“processed in a manner that ensures appropriate security of the personal data”</w:t>
      </w:r>
    </w:p>
    <w:p w14:paraId="2D4DBEAC" w14:textId="67777B9E" w:rsidR="00630E90" w:rsidRPr="005961F4" w:rsidRDefault="005A220C" w:rsidP="00464094">
      <w:pPr>
        <w:ind w:left="284" w:right="237"/>
      </w:pPr>
      <w:r w:rsidRPr="005961F4">
        <w:t>These</w:t>
      </w:r>
      <w:r w:rsidR="00BD790A" w:rsidRPr="005961F4">
        <w:t xml:space="preserve"> </w:t>
      </w:r>
      <w:r w:rsidRPr="005961F4">
        <w:t xml:space="preserve">principles </w:t>
      </w:r>
      <w:r w:rsidR="005F3CAF" w:rsidRPr="005961F4">
        <w:t>lay</w:t>
      </w:r>
      <w:r w:rsidR="0037370F" w:rsidRPr="005961F4">
        <w:t xml:space="preserve"> the foundation of how the law views data protection</w:t>
      </w:r>
      <w:r w:rsidR="00FB0931" w:rsidRPr="005961F4">
        <w:t xml:space="preserve"> and the framework by which to prosecute. </w:t>
      </w:r>
      <w:r w:rsidR="009F3B92" w:rsidRPr="005961F4">
        <w:t xml:space="preserve">In addition, </w:t>
      </w:r>
      <w:r w:rsidR="00907ACC" w:rsidRPr="005961F4">
        <w:rPr>
          <w:i/>
          <w:iCs/>
        </w:rPr>
        <w:t xml:space="preserve">Article </w:t>
      </w:r>
      <w:r w:rsidR="008E5FE3" w:rsidRPr="005961F4">
        <w:rPr>
          <w:i/>
          <w:iCs/>
        </w:rPr>
        <w:t xml:space="preserve">6 </w:t>
      </w:r>
      <w:r w:rsidR="007F3E55" w:rsidRPr="005961F4">
        <w:t>provides information on ‘special categories of personal data’</w:t>
      </w:r>
      <w:r w:rsidR="00C801F6" w:rsidRPr="005961F4">
        <w:t xml:space="preserve">, prohibiting </w:t>
      </w:r>
      <w:r w:rsidR="00F87DDA" w:rsidRPr="005961F4">
        <w:t xml:space="preserve">the </w:t>
      </w:r>
      <w:r w:rsidR="002859AF" w:rsidRPr="005961F4">
        <w:t xml:space="preserve">processing of sensitive data </w:t>
      </w:r>
      <w:r w:rsidR="00750A0B" w:rsidRPr="005961F4">
        <w:t>including, but not limited to</w:t>
      </w:r>
      <w:r w:rsidR="002859AF" w:rsidRPr="005961F4">
        <w:t xml:space="preserve"> </w:t>
      </w:r>
      <w:r w:rsidR="00FB0931" w:rsidRPr="005961F4">
        <w:t>a person’s rac</w:t>
      </w:r>
      <w:r w:rsidR="00750A0B" w:rsidRPr="005961F4">
        <w:t>e</w:t>
      </w:r>
      <w:r w:rsidR="00FB0931" w:rsidRPr="005961F4">
        <w:t>,</w:t>
      </w:r>
      <w:r w:rsidR="00750A0B" w:rsidRPr="005961F4">
        <w:t xml:space="preserve"> religion, genetic </w:t>
      </w:r>
      <w:r w:rsidR="00C84084" w:rsidRPr="005961F4">
        <w:t>data,</w:t>
      </w:r>
      <w:r w:rsidR="0022076A" w:rsidRPr="005961F4">
        <w:t xml:space="preserve"> or sexual orientation</w:t>
      </w:r>
      <w:r w:rsidR="007F3E55" w:rsidRPr="005961F4">
        <w:t xml:space="preserve">. </w:t>
      </w:r>
    </w:p>
    <w:p w14:paraId="7B41F0E1" w14:textId="74C4C70E" w:rsidR="009A1B24" w:rsidRPr="005961F4" w:rsidRDefault="006C5C1E" w:rsidP="00EC3444">
      <w:pPr>
        <w:pStyle w:val="Heading2"/>
        <w:ind w:right="237"/>
        <w:rPr>
          <w:vanish/>
        </w:rPr>
      </w:pPr>
      <w:r w:rsidRPr="005961F4">
        <w:t xml:space="preserve">Data Subject </w:t>
      </w:r>
      <w:r w:rsidR="005C37E9" w:rsidRPr="005961F4">
        <w:t>Rights</w:t>
      </w:r>
      <w:bookmarkStart w:id="6" w:name="_Toc102454822"/>
      <w:bookmarkStart w:id="7" w:name="_Toc102454833"/>
      <w:bookmarkEnd w:id="6"/>
      <w:bookmarkEnd w:id="7"/>
    </w:p>
    <w:p w14:paraId="5024D01A" w14:textId="77777777" w:rsidR="00EC3444" w:rsidRPr="00EC3444" w:rsidRDefault="00EC3444" w:rsidP="00EC3444">
      <w:pPr>
        <w:spacing w:after="0"/>
        <w:ind w:left="284" w:right="237"/>
        <w:rPr>
          <w:i/>
          <w:iCs/>
          <w:sz w:val="12"/>
          <w:szCs w:val="12"/>
        </w:rPr>
      </w:pPr>
    </w:p>
    <w:p w14:paraId="3C155C0C" w14:textId="3047DE38" w:rsidR="00CC394F" w:rsidRPr="005961F4" w:rsidRDefault="00726E03" w:rsidP="00464094">
      <w:pPr>
        <w:ind w:left="284" w:right="237"/>
      </w:pPr>
      <w:r w:rsidRPr="005961F4">
        <w:rPr>
          <w:i/>
          <w:iCs/>
        </w:rPr>
        <w:t>Chap</w:t>
      </w:r>
      <w:r w:rsidR="00AD3CA7" w:rsidRPr="005961F4">
        <w:rPr>
          <w:i/>
          <w:iCs/>
        </w:rPr>
        <w:t>ter III</w:t>
      </w:r>
      <w:r w:rsidR="00AD3CA7" w:rsidRPr="005961F4">
        <w:t xml:space="preserve"> of the UK GDPR d</w:t>
      </w:r>
      <w:r w:rsidR="00F1521A" w:rsidRPr="005961F4">
        <w:t>etails the rights of thos</w:t>
      </w:r>
      <w:r w:rsidR="006F295A" w:rsidRPr="005961F4">
        <w:t>e whose data is collected</w:t>
      </w:r>
      <w:r w:rsidR="007F6601" w:rsidRPr="005961F4">
        <w:t xml:space="preserve">, </w:t>
      </w:r>
      <w:r w:rsidR="00D807C5" w:rsidRPr="005961F4">
        <w:t xml:space="preserve">further explained </w:t>
      </w:r>
      <w:r w:rsidR="009E10BF" w:rsidRPr="005961F4">
        <w:t xml:space="preserve">by the </w:t>
      </w:r>
      <w:r w:rsidR="007845F6" w:rsidRPr="005961F4">
        <w:t>Information Commissioners Office (</w:t>
      </w:r>
      <w:r w:rsidR="00D807C5" w:rsidRPr="005961F4">
        <w:t>ICO</w:t>
      </w:r>
      <w:r w:rsidR="007845F6" w:rsidRPr="005961F4">
        <w:t>)</w:t>
      </w:r>
      <w:r w:rsidR="009E10BF" w:rsidRPr="005961F4">
        <w:t xml:space="preserve"> in their </w:t>
      </w:r>
      <w:r w:rsidR="00545AED" w:rsidRPr="005961F4">
        <w:t>‘</w:t>
      </w:r>
      <w:r w:rsidR="009E10BF" w:rsidRPr="005961F4">
        <w:t>Guid</w:t>
      </w:r>
      <w:r w:rsidR="00545AED" w:rsidRPr="005961F4">
        <w:t>e to the General Data Protection Regulation’</w:t>
      </w:r>
      <w:r w:rsidR="00D807C5" w:rsidRPr="005961F4">
        <w:t xml:space="preserve"> </w:t>
      </w:r>
      <w:r w:rsidR="009E10BF" w:rsidRPr="005961F4">
        <w:rPr>
          <w:rStyle w:val="ReferenceChar"/>
        </w:rPr>
        <w:t>(</w:t>
      </w:r>
      <w:r w:rsidR="00D807C5" w:rsidRPr="005961F4">
        <w:rPr>
          <w:rStyle w:val="ReferenceChar"/>
        </w:rPr>
        <w:t>2019</w:t>
      </w:r>
      <w:r w:rsidR="009E10BF" w:rsidRPr="005961F4">
        <w:rPr>
          <w:rStyle w:val="ReferenceChar"/>
        </w:rPr>
        <w:t>)</w:t>
      </w:r>
      <w:r w:rsidR="006F295A" w:rsidRPr="005961F4">
        <w:t>.</w:t>
      </w:r>
      <w:r w:rsidR="00FB4944" w:rsidRPr="005961F4">
        <w:t xml:space="preserve"> The </w:t>
      </w:r>
      <w:r w:rsidR="00535213" w:rsidRPr="005961F4">
        <w:t>seven key rights</w:t>
      </w:r>
      <w:r w:rsidR="007845F6" w:rsidRPr="005961F4">
        <w:rPr>
          <w:rStyle w:val="FootnoteReference"/>
        </w:rPr>
        <w:footnoteReference w:id="5"/>
      </w:r>
      <w:r w:rsidR="00535213" w:rsidRPr="005961F4">
        <w:t xml:space="preserve"> described are as follows:</w:t>
      </w:r>
    </w:p>
    <w:p w14:paraId="4D884C6A" w14:textId="1FB65488" w:rsidR="00535213" w:rsidRPr="005961F4" w:rsidRDefault="00CB25E6" w:rsidP="00464094">
      <w:pPr>
        <w:pStyle w:val="ListParagraph"/>
        <w:numPr>
          <w:ilvl w:val="0"/>
          <w:numId w:val="13"/>
        </w:numPr>
        <w:ind w:left="1440" w:right="237"/>
        <w:rPr>
          <w:b/>
          <w:bCs/>
        </w:rPr>
      </w:pPr>
      <w:r w:rsidRPr="005961F4">
        <w:t>The</w:t>
      </w:r>
      <w:r w:rsidRPr="005961F4">
        <w:rPr>
          <w:b/>
          <w:bCs/>
        </w:rPr>
        <w:t xml:space="preserve"> right to be informed</w:t>
      </w:r>
      <w:r w:rsidR="0028710E" w:rsidRPr="005961F4">
        <w:t xml:space="preserve"> ensures that people </w:t>
      </w:r>
      <w:r w:rsidR="00B47C12" w:rsidRPr="005961F4">
        <w:t xml:space="preserve">are aware that their information is being collected and </w:t>
      </w:r>
      <w:r w:rsidR="00072DB2" w:rsidRPr="005961F4">
        <w:t>promotes transparency</w:t>
      </w:r>
      <w:r w:rsidR="003F39BA" w:rsidRPr="005961F4">
        <w:t xml:space="preserve">, </w:t>
      </w:r>
      <w:r w:rsidR="001B5B74" w:rsidRPr="005961F4">
        <w:t>explicitly outlined in the first principle.</w:t>
      </w:r>
    </w:p>
    <w:p w14:paraId="76A8CFE0" w14:textId="08DA030A" w:rsidR="001B5B74" w:rsidRPr="005961F4" w:rsidRDefault="001B5B74" w:rsidP="00464094">
      <w:pPr>
        <w:pStyle w:val="ListParagraph"/>
        <w:numPr>
          <w:ilvl w:val="0"/>
          <w:numId w:val="13"/>
        </w:numPr>
        <w:ind w:left="1440" w:right="237"/>
        <w:rPr>
          <w:b/>
          <w:bCs/>
        </w:rPr>
      </w:pPr>
      <w:r w:rsidRPr="005961F4">
        <w:t xml:space="preserve">The </w:t>
      </w:r>
      <w:r w:rsidRPr="005961F4">
        <w:rPr>
          <w:b/>
          <w:bCs/>
        </w:rPr>
        <w:t>right of access</w:t>
      </w:r>
      <w:r w:rsidR="00F92101" w:rsidRPr="005961F4">
        <w:t xml:space="preserve"> ensures that people have </w:t>
      </w:r>
      <w:r w:rsidR="00F06772" w:rsidRPr="005961F4">
        <w:t>free</w:t>
      </w:r>
      <w:r w:rsidR="00672345" w:rsidRPr="005961F4">
        <w:rPr>
          <w:rStyle w:val="FootnoteReference"/>
        </w:rPr>
        <w:footnoteReference w:id="6"/>
      </w:r>
      <w:r w:rsidR="001B3101" w:rsidRPr="005961F4">
        <w:t xml:space="preserve"> </w:t>
      </w:r>
      <w:r w:rsidR="002E3DDA" w:rsidRPr="005961F4">
        <w:t>access to their personal data that has been collected</w:t>
      </w:r>
      <w:r w:rsidR="001267CA" w:rsidRPr="005961F4">
        <w:t xml:space="preserve"> via Subject Access Requests (SARs)</w:t>
      </w:r>
      <w:r w:rsidR="002E3DDA" w:rsidRPr="005961F4">
        <w:t>.</w:t>
      </w:r>
    </w:p>
    <w:p w14:paraId="51DC4626" w14:textId="18DE128D" w:rsidR="00F2767E" w:rsidRPr="005961F4" w:rsidRDefault="00653BA8" w:rsidP="00464094">
      <w:pPr>
        <w:pStyle w:val="ListParagraph"/>
        <w:numPr>
          <w:ilvl w:val="0"/>
          <w:numId w:val="13"/>
        </w:numPr>
        <w:ind w:left="1440" w:right="237"/>
        <w:rPr>
          <w:b/>
          <w:bCs/>
        </w:rPr>
      </w:pPr>
      <w:r w:rsidRPr="005961F4">
        <w:lastRenderedPageBreak/>
        <w:t xml:space="preserve">The </w:t>
      </w:r>
      <w:r w:rsidRPr="005961F4">
        <w:rPr>
          <w:b/>
          <w:bCs/>
        </w:rPr>
        <w:t>right to rectification</w:t>
      </w:r>
      <w:r w:rsidRPr="005961F4">
        <w:t xml:space="preserve"> ensures that </w:t>
      </w:r>
      <w:r w:rsidR="00F32141" w:rsidRPr="005961F4">
        <w:t xml:space="preserve">people </w:t>
      </w:r>
      <w:r w:rsidR="00693A15" w:rsidRPr="005961F4">
        <w:t>can</w:t>
      </w:r>
      <w:r w:rsidR="00F32141" w:rsidRPr="005961F4">
        <w:t xml:space="preserve"> rectify </w:t>
      </w:r>
      <w:r w:rsidR="00E261DC" w:rsidRPr="005961F4">
        <w:t xml:space="preserve">any </w:t>
      </w:r>
      <w:r w:rsidR="00FF7C0A" w:rsidRPr="005961F4">
        <w:t>inac</w:t>
      </w:r>
      <w:r w:rsidR="00B9462B" w:rsidRPr="005961F4">
        <w:t>c</w:t>
      </w:r>
      <w:r w:rsidR="00FF7C0A" w:rsidRPr="005961F4">
        <w:t>urate information</w:t>
      </w:r>
      <w:r w:rsidR="00165AB7" w:rsidRPr="005961F4">
        <w:t xml:space="preserve"> discovered </w:t>
      </w:r>
      <w:r w:rsidR="0002496C" w:rsidRPr="005961F4">
        <w:t>in the result of a SAR</w:t>
      </w:r>
      <w:r w:rsidR="001B3101" w:rsidRPr="005961F4">
        <w:t>.</w:t>
      </w:r>
    </w:p>
    <w:p w14:paraId="03A0E081" w14:textId="422E6B7E" w:rsidR="001A0A79" w:rsidRPr="005961F4" w:rsidRDefault="001A0A79" w:rsidP="00464094">
      <w:pPr>
        <w:pStyle w:val="ListParagraph"/>
        <w:numPr>
          <w:ilvl w:val="0"/>
          <w:numId w:val="13"/>
        </w:numPr>
        <w:ind w:left="1440" w:right="237"/>
        <w:rPr>
          <w:b/>
          <w:bCs/>
        </w:rPr>
      </w:pPr>
      <w:r w:rsidRPr="005961F4">
        <w:t xml:space="preserve">The </w:t>
      </w:r>
      <w:r w:rsidRPr="005961F4">
        <w:rPr>
          <w:b/>
          <w:bCs/>
        </w:rPr>
        <w:t xml:space="preserve">right to </w:t>
      </w:r>
      <w:r w:rsidR="00EC17E6" w:rsidRPr="005961F4">
        <w:rPr>
          <w:b/>
          <w:bCs/>
        </w:rPr>
        <w:t>erasure</w:t>
      </w:r>
      <w:r w:rsidR="00EC17E6" w:rsidRPr="005961F4">
        <w:t xml:space="preserve"> ensures that people </w:t>
      </w:r>
      <w:r w:rsidR="005A6474" w:rsidRPr="005961F4">
        <w:t>can</w:t>
      </w:r>
      <w:r w:rsidR="009E5C45" w:rsidRPr="005961F4">
        <w:t>, in certain cases,</w:t>
      </w:r>
      <w:r w:rsidR="005A6474" w:rsidRPr="005961F4">
        <w:t xml:space="preserve"> request that their data be erased permanently</w:t>
      </w:r>
      <w:r w:rsidR="009E5C45" w:rsidRPr="005961F4">
        <w:t>.</w:t>
      </w:r>
    </w:p>
    <w:p w14:paraId="09DE95F8" w14:textId="36E6AAF5" w:rsidR="009E5C45" w:rsidRPr="005961F4" w:rsidRDefault="006B1639" w:rsidP="00464094">
      <w:pPr>
        <w:pStyle w:val="ListParagraph"/>
        <w:numPr>
          <w:ilvl w:val="0"/>
          <w:numId w:val="13"/>
        </w:numPr>
        <w:ind w:left="1440" w:right="237"/>
        <w:rPr>
          <w:b/>
          <w:bCs/>
        </w:rPr>
      </w:pPr>
      <w:r w:rsidRPr="005961F4">
        <w:t>The</w:t>
      </w:r>
      <w:r w:rsidRPr="005961F4">
        <w:rPr>
          <w:b/>
          <w:bCs/>
        </w:rPr>
        <w:t xml:space="preserve"> right to restrict processing</w:t>
      </w:r>
      <w:r w:rsidRPr="005961F4">
        <w:t xml:space="preserve"> ensures that people can</w:t>
      </w:r>
      <w:r w:rsidR="00A047B5" w:rsidRPr="005961F4">
        <w:t>, in certain cases,</w:t>
      </w:r>
      <w:r w:rsidRPr="005961F4">
        <w:t xml:space="preserve"> request that their data is </w:t>
      </w:r>
      <w:r w:rsidR="00A047B5" w:rsidRPr="005961F4">
        <w:t xml:space="preserve">restricted from </w:t>
      </w:r>
      <w:r w:rsidR="00A76EED" w:rsidRPr="005961F4">
        <w:t>being processed.</w:t>
      </w:r>
    </w:p>
    <w:p w14:paraId="4A393CD0" w14:textId="322F228D" w:rsidR="00A76EED" w:rsidRPr="005961F4" w:rsidRDefault="00A76EED" w:rsidP="00464094">
      <w:pPr>
        <w:pStyle w:val="ListParagraph"/>
        <w:numPr>
          <w:ilvl w:val="0"/>
          <w:numId w:val="13"/>
        </w:numPr>
        <w:ind w:left="1440" w:right="237"/>
        <w:rPr>
          <w:b/>
          <w:bCs/>
        </w:rPr>
      </w:pPr>
      <w:r w:rsidRPr="005961F4">
        <w:t xml:space="preserve">The </w:t>
      </w:r>
      <w:r w:rsidRPr="005961F4">
        <w:rPr>
          <w:b/>
          <w:bCs/>
        </w:rPr>
        <w:t xml:space="preserve">right to </w:t>
      </w:r>
      <w:r w:rsidR="00092349" w:rsidRPr="005961F4">
        <w:rPr>
          <w:b/>
          <w:bCs/>
        </w:rPr>
        <w:t>data portability</w:t>
      </w:r>
      <w:r w:rsidR="00092349" w:rsidRPr="005961F4">
        <w:t xml:space="preserve"> ensures</w:t>
      </w:r>
      <w:r w:rsidR="003068F3" w:rsidRPr="005961F4">
        <w:t xml:space="preserve"> that</w:t>
      </w:r>
      <w:r w:rsidR="00092349" w:rsidRPr="005961F4">
        <w:t xml:space="preserve"> people can </w:t>
      </w:r>
      <w:r w:rsidR="00B92A6A" w:rsidRPr="005961F4">
        <w:t>reuse their personal data across services</w:t>
      </w:r>
      <w:r w:rsidR="00E44142" w:rsidRPr="005961F4">
        <w:t xml:space="preserve"> and </w:t>
      </w:r>
      <w:r w:rsidR="00D40A9A" w:rsidRPr="005961F4">
        <w:t>commonly used data formats are employed for open data.</w:t>
      </w:r>
    </w:p>
    <w:p w14:paraId="3D06008F" w14:textId="3803FFEE" w:rsidR="00D40A9A" w:rsidRPr="005961F4" w:rsidRDefault="00D40A9A" w:rsidP="00464094">
      <w:pPr>
        <w:pStyle w:val="ListParagraph"/>
        <w:numPr>
          <w:ilvl w:val="0"/>
          <w:numId w:val="13"/>
        </w:numPr>
        <w:ind w:left="1440" w:right="237"/>
        <w:rPr>
          <w:b/>
          <w:bCs/>
        </w:rPr>
      </w:pPr>
      <w:r w:rsidRPr="005961F4">
        <w:t xml:space="preserve">The </w:t>
      </w:r>
      <w:r w:rsidRPr="005961F4">
        <w:rPr>
          <w:b/>
          <w:bCs/>
        </w:rPr>
        <w:t xml:space="preserve">right to </w:t>
      </w:r>
      <w:r w:rsidR="003068F3" w:rsidRPr="005961F4">
        <w:rPr>
          <w:b/>
          <w:bCs/>
        </w:rPr>
        <w:t>object</w:t>
      </w:r>
      <w:r w:rsidR="003068F3" w:rsidRPr="005961F4">
        <w:t xml:space="preserve"> ensures that people can</w:t>
      </w:r>
      <w:r w:rsidR="00165B44" w:rsidRPr="005961F4">
        <w:t xml:space="preserve">, in certain cases, </w:t>
      </w:r>
      <w:r w:rsidR="004E34EA" w:rsidRPr="005961F4">
        <w:t>stop</w:t>
      </w:r>
      <w:r w:rsidR="00165B44" w:rsidRPr="005961F4">
        <w:t xml:space="preserve"> </w:t>
      </w:r>
      <w:r w:rsidR="00F8386C" w:rsidRPr="005961F4">
        <w:t>processing</w:t>
      </w:r>
      <w:r w:rsidR="00165B44" w:rsidRPr="005961F4">
        <w:t xml:space="preserve"> of their data </w:t>
      </w:r>
      <w:r w:rsidR="00E6321D" w:rsidRPr="005961F4">
        <w:t xml:space="preserve">and, in all cases, </w:t>
      </w:r>
      <w:r w:rsidR="0040305C" w:rsidRPr="005961F4">
        <w:t>allow direct marketing to be denied use of that data.</w:t>
      </w:r>
    </w:p>
    <w:p w14:paraId="696FED39" w14:textId="79DCAB2E" w:rsidR="00630E90" w:rsidRPr="005961F4" w:rsidRDefault="00CD2CA1" w:rsidP="00C971C2">
      <w:pPr>
        <w:ind w:left="284" w:right="237"/>
      </w:pPr>
      <w:r w:rsidRPr="005961F4">
        <w:t>The</w:t>
      </w:r>
      <w:r w:rsidR="00D606BA" w:rsidRPr="005961F4">
        <w:t xml:space="preserve"> outlin</w:t>
      </w:r>
      <w:r w:rsidR="008D0B9E" w:rsidRPr="005961F4">
        <w:t xml:space="preserve">ing of the </w:t>
      </w:r>
      <w:r w:rsidRPr="005961F4">
        <w:t xml:space="preserve">rights </w:t>
      </w:r>
      <w:r w:rsidR="008D0B9E" w:rsidRPr="005961F4">
        <w:t>of the data subject is instrumental in protecting people against the</w:t>
      </w:r>
      <w:r w:rsidR="00642987" w:rsidRPr="005961F4">
        <w:t xml:space="preserve"> misuse of their data</w:t>
      </w:r>
      <w:r w:rsidR="00781632" w:rsidRPr="005961F4">
        <w:t>;</w:t>
      </w:r>
      <w:r w:rsidR="003028B9" w:rsidRPr="005961F4">
        <w:t xml:space="preserve"> any </w:t>
      </w:r>
      <w:r w:rsidR="00642987" w:rsidRPr="005961F4">
        <w:t>violation of those rights</w:t>
      </w:r>
      <w:r w:rsidR="00781632" w:rsidRPr="005961F4">
        <w:t>,</w:t>
      </w:r>
      <w:r w:rsidR="00642987" w:rsidRPr="005961F4">
        <w:t xml:space="preserve"> or </w:t>
      </w:r>
      <w:r w:rsidR="001809D8" w:rsidRPr="005961F4">
        <w:t>deviation from the data protection principles</w:t>
      </w:r>
      <w:r w:rsidR="00781632" w:rsidRPr="005961F4">
        <w:t>,</w:t>
      </w:r>
      <w:r w:rsidR="001809D8" w:rsidRPr="005961F4">
        <w:t xml:space="preserve"> </w:t>
      </w:r>
      <w:r w:rsidR="003028B9" w:rsidRPr="005961F4">
        <w:t xml:space="preserve">will enable the Commissioner </w:t>
      </w:r>
      <w:r w:rsidR="007845F6" w:rsidRPr="005961F4">
        <w:t xml:space="preserve">to </w:t>
      </w:r>
      <w:r w:rsidR="005F6BC8" w:rsidRPr="005961F4">
        <w:t>enforce</w:t>
      </w:r>
      <w:r w:rsidR="0096077C" w:rsidRPr="005961F4">
        <w:t xml:space="preserve"> regulation</w:t>
      </w:r>
      <w:r w:rsidR="005F6BC8" w:rsidRPr="005961F4">
        <w:t xml:space="preserve"> and </w:t>
      </w:r>
      <w:r w:rsidR="00545747" w:rsidRPr="005961F4">
        <w:t>levy fines</w:t>
      </w:r>
      <w:r w:rsidR="00365505" w:rsidRPr="005961F4">
        <w:t xml:space="preserve"> as below</w:t>
      </w:r>
      <w:r w:rsidR="00545747" w:rsidRPr="005961F4">
        <w:t>.</w:t>
      </w:r>
    </w:p>
    <w:p w14:paraId="005B6EE0" w14:textId="11A95EDB" w:rsidR="00EC3444" w:rsidRPr="00A0360F" w:rsidRDefault="00053912" w:rsidP="00EC3444">
      <w:pPr>
        <w:pStyle w:val="Heading2"/>
        <w:ind w:right="237"/>
      </w:pPr>
      <w:r w:rsidRPr="005961F4">
        <w:t>Enforcement</w:t>
      </w:r>
      <w:bookmarkStart w:id="8" w:name="_Toc102454823"/>
      <w:bookmarkStart w:id="9" w:name="_Toc102454834"/>
      <w:bookmarkEnd w:id="8"/>
      <w:bookmarkEnd w:id="9"/>
    </w:p>
    <w:p w14:paraId="64D16CD3" w14:textId="0644DA32" w:rsidR="00825131" w:rsidRPr="005961F4" w:rsidRDefault="00053912" w:rsidP="00464094">
      <w:pPr>
        <w:ind w:left="284" w:right="237"/>
      </w:pPr>
      <w:r w:rsidRPr="005961F4">
        <w:t xml:space="preserve">In </w:t>
      </w:r>
      <w:r w:rsidRPr="005961F4">
        <w:rPr>
          <w:i/>
          <w:iCs/>
        </w:rPr>
        <w:t>Part 6</w:t>
      </w:r>
      <w:r w:rsidRPr="005961F4">
        <w:t xml:space="preserve"> of the DPA 2018, the rules </w:t>
      </w:r>
      <w:r w:rsidR="00FF3D4F" w:rsidRPr="005961F4">
        <w:t xml:space="preserve">regarding </w:t>
      </w:r>
      <w:r w:rsidRPr="005961F4">
        <w:t xml:space="preserve">enforcement of the UK GDPR are outlined giving </w:t>
      </w:r>
      <w:r w:rsidR="000E4B00" w:rsidRPr="005961F4">
        <w:t xml:space="preserve">instruction </w:t>
      </w:r>
      <w:r w:rsidR="00DB19F1" w:rsidRPr="005961F4">
        <w:t>regarding</w:t>
      </w:r>
      <w:r w:rsidR="000E4B00" w:rsidRPr="005961F4">
        <w:t xml:space="preserve"> </w:t>
      </w:r>
      <w:r w:rsidR="001E4B64" w:rsidRPr="005961F4">
        <w:t>the Commissioner</w:t>
      </w:r>
      <w:r w:rsidR="00DB19F1" w:rsidRPr="005961F4">
        <w:t>’s</w:t>
      </w:r>
      <w:r w:rsidR="00381680" w:rsidRPr="005961F4">
        <w:t xml:space="preserve"> </w:t>
      </w:r>
      <w:r w:rsidR="00825131" w:rsidRPr="005961F4">
        <w:t>handl</w:t>
      </w:r>
      <w:r w:rsidR="00DB19F1" w:rsidRPr="005961F4">
        <w:t>ing</w:t>
      </w:r>
      <w:r w:rsidR="00381680" w:rsidRPr="005961F4">
        <w:t xml:space="preserve"> </w:t>
      </w:r>
      <w:r w:rsidR="00DB19F1" w:rsidRPr="005961F4">
        <w:t xml:space="preserve">of legislation </w:t>
      </w:r>
      <w:r w:rsidR="000E275B" w:rsidRPr="005961F4">
        <w:t>infringement</w:t>
      </w:r>
      <w:r w:rsidR="00DB19F1" w:rsidRPr="005961F4">
        <w:t>s</w:t>
      </w:r>
      <w:r w:rsidR="00294DA0" w:rsidRPr="005961F4">
        <w:t xml:space="preserve">. </w:t>
      </w:r>
      <w:r w:rsidR="00825131" w:rsidRPr="005961F4">
        <w:t>The</w:t>
      </w:r>
      <w:r w:rsidR="00F5631E" w:rsidRPr="005961F4">
        <w:t xml:space="preserve">re are </w:t>
      </w:r>
      <w:r w:rsidR="00915ED1" w:rsidRPr="005961F4">
        <w:t>four</w:t>
      </w:r>
      <w:r w:rsidR="00F5631E" w:rsidRPr="005961F4">
        <w:t xml:space="preserve"> types of notice that the Commissioner has </w:t>
      </w:r>
      <w:r w:rsidR="00FF3D4F" w:rsidRPr="005961F4">
        <w:t>available</w:t>
      </w:r>
      <w:r w:rsidR="006F158C" w:rsidRPr="005961F4">
        <w:t xml:space="preserve"> to </w:t>
      </w:r>
      <w:r w:rsidR="00D6669D" w:rsidRPr="005961F4">
        <w:t xml:space="preserve">promote </w:t>
      </w:r>
      <w:r w:rsidR="00C61A86" w:rsidRPr="005961F4">
        <w:t>secure</w:t>
      </w:r>
      <w:r w:rsidR="0038245C" w:rsidRPr="005961F4">
        <w:t xml:space="preserve"> data </w:t>
      </w:r>
      <w:r w:rsidR="00C61A86" w:rsidRPr="005961F4">
        <w:t>use</w:t>
      </w:r>
      <w:r w:rsidR="009A42D5" w:rsidRPr="005961F4">
        <w:t>:</w:t>
      </w:r>
    </w:p>
    <w:p w14:paraId="69C539FB" w14:textId="04471708" w:rsidR="009A42D5" w:rsidRPr="005961F4" w:rsidRDefault="009A42D5" w:rsidP="00464094">
      <w:pPr>
        <w:pStyle w:val="ListParagraph"/>
        <w:numPr>
          <w:ilvl w:val="0"/>
          <w:numId w:val="13"/>
        </w:numPr>
        <w:ind w:right="237"/>
      </w:pPr>
      <w:r w:rsidRPr="005961F4">
        <w:rPr>
          <w:b/>
          <w:bCs/>
        </w:rPr>
        <w:t xml:space="preserve">Information </w:t>
      </w:r>
      <w:r w:rsidR="00193F83" w:rsidRPr="005961F4">
        <w:rPr>
          <w:b/>
          <w:bCs/>
        </w:rPr>
        <w:t>notices</w:t>
      </w:r>
      <w:r w:rsidR="00193F83" w:rsidRPr="005961F4">
        <w:t xml:space="preserve"> require </w:t>
      </w:r>
      <w:r w:rsidR="00F83979" w:rsidRPr="005961F4">
        <w:t>responsible persons</w:t>
      </w:r>
      <w:r w:rsidR="004064FB" w:rsidRPr="005961F4">
        <w:t xml:space="preserve"> to yield </w:t>
      </w:r>
      <w:r w:rsidR="00F07516" w:rsidRPr="005961F4">
        <w:t xml:space="preserve">information that the Commissioner may use to </w:t>
      </w:r>
      <w:r w:rsidR="002A0A14" w:rsidRPr="005961F4">
        <w:t>conduct</w:t>
      </w:r>
      <w:r w:rsidR="0045626A" w:rsidRPr="005961F4">
        <w:t xml:space="preserve"> their </w:t>
      </w:r>
      <w:r w:rsidR="004C072E" w:rsidRPr="005961F4">
        <w:t>role</w:t>
      </w:r>
      <w:r w:rsidR="006A28CA" w:rsidRPr="005961F4">
        <w:t xml:space="preserve"> or</w:t>
      </w:r>
      <w:r w:rsidR="0045626A" w:rsidRPr="005961F4">
        <w:t xml:space="preserve"> investigat</w:t>
      </w:r>
      <w:r w:rsidR="006A28CA" w:rsidRPr="005961F4">
        <w:t>e</w:t>
      </w:r>
      <w:r w:rsidR="007752FB" w:rsidRPr="005961F4">
        <w:t xml:space="preserve"> potential</w:t>
      </w:r>
      <w:r w:rsidR="00C61A86" w:rsidRPr="005961F4">
        <w:t xml:space="preserve"> data </w:t>
      </w:r>
      <w:r w:rsidR="007752FB" w:rsidRPr="005961F4">
        <w:t>misuse</w:t>
      </w:r>
      <w:r w:rsidR="00C0616E" w:rsidRPr="005961F4">
        <w:t>.</w:t>
      </w:r>
    </w:p>
    <w:p w14:paraId="5E00AAE9" w14:textId="26B24067" w:rsidR="00C0616E" w:rsidRPr="005961F4" w:rsidRDefault="00C0616E" w:rsidP="00464094">
      <w:pPr>
        <w:pStyle w:val="ListParagraph"/>
        <w:numPr>
          <w:ilvl w:val="0"/>
          <w:numId w:val="13"/>
        </w:numPr>
        <w:ind w:right="237"/>
      </w:pPr>
      <w:r w:rsidRPr="005961F4">
        <w:rPr>
          <w:b/>
          <w:bCs/>
        </w:rPr>
        <w:t>Assessment notices</w:t>
      </w:r>
      <w:r w:rsidRPr="005961F4">
        <w:t xml:space="preserve"> require </w:t>
      </w:r>
      <w:r w:rsidR="00282163" w:rsidRPr="005961F4">
        <w:t>responsible persons</w:t>
      </w:r>
      <w:r w:rsidRPr="005961F4">
        <w:t xml:space="preserve"> to </w:t>
      </w:r>
      <w:r w:rsidR="00534A7E" w:rsidRPr="005961F4">
        <w:t xml:space="preserve">allow </w:t>
      </w:r>
      <w:r w:rsidR="003F7A3B" w:rsidRPr="005961F4">
        <w:t xml:space="preserve">the Commissioner to </w:t>
      </w:r>
      <w:r w:rsidR="006D1B72" w:rsidRPr="005961F4">
        <w:t xml:space="preserve">evaluate whether </w:t>
      </w:r>
      <w:r w:rsidR="002924D5" w:rsidRPr="005961F4">
        <w:t>data protection legislation has</w:t>
      </w:r>
      <w:r w:rsidR="007E6B0E" w:rsidRPr="005961F4">
        <w:t xml:space="preserve"> been</w:t>
      </w:r>
      <w:r w:rsidR="002924D5" w:rsidRPr="005961F4">
        <w:t>, and currently is</w:t>
      </w:r>
      <w:r w:rsidR="007E6B0E" w:rsidRPr="005961F4">
        <w:t xml:space="preserve"> being</w:t>
      </w:r>
      <w:r w:rsidR="002924D5" w:rsidRPr="005961F4">
        <w:t xml:space="preserve">, </w:t>
      </w:r>
      <w:r w:rsidR="007E6B0E" w:rsidRPr="005961F4">
        <w:t xml:space="preserve">consistently </w:t>
      </w:r>
      <w:r w:rsidR="002924D5" w:rsidRPr="005961F4">
        <w:t>upheld</w:t>
      </w:r>
      <w:r w:rsidR="005437D0" w:rsidRPr="005961F4">
        <w:t>.</w:t>
      </w:r>
      <w:r w:rsidR="00642105" w:rsidRPr="005961F4">
        <w:t xml:space="preserve"> </w:t>
      </w:r>
      <w:r w:rsidR="00C52D8F" w:rsidRPr="005961F4">
        <w:t>Giving</w:t>
      </w:r>
      <w:r w:rsidR="00191CF2" w:rsidRPr="005961F4">
        <w:t xml:space="preserve"> </w:t>
      </w:r>
      <w:r w:rsidR="005D6917" w:rsidRPr="005961F4">
        <w:t xml:space="preserve">the </w:t>
      </w:r>
      <w:r w:rsidR="00191CF2" w:rsidRPr="005961F4">
        <w:t>C</w:t>
      </w:r>
      <w:r w:rsidR="005D6917" w:rsidRPr="005961F4">
        <w:t>ommissioner</w:t>
      </w:r>
      <w:r w:rsidR="00D63FA2" w:rsidRPr="005961F4">
        <w:t xml:space="preserve"> access</w:t>
      </w:r>
      <w:r w:rsidR="00C52D8F" w:rsidRPr="005961F4">
        <w:t xml:space="preserve"> to</w:t>
      </w:r>
      <w:r w:rsidR="001417C1" w:rsidRPr="005961F4">
        <w:t xml:space="preserve"> </w:t>
      </w:r>
      <w:r w:rsidR="007D02E1" w:rsidRPr="005961F4">
        <w:t>premises</w:t>
      </w:r>
      <w:r w:rsidR="00C52D8F" w:rsidRPr="005961F4">
        <w:t xml:space="preserve"> and </w:t>
      </w:r>
      <w:r w:rsidR="007A3B67" w:rsidRPr="005961F4">
        <w:t>equipment</w:t>
      </w:r>
      <w:r w:rsidR="007D02E1" w:rsidRPr="005961F4">
        <w:t>,</w:t>
      </w:r>
      <w:r w:rsidR="00C52D8F" w:rsidRPr="005961F4">
        <w:t xml:space="preserve"> a</w:t>
      </w:r>
      <w:r w:rsidR="005F007F" w:rsidRPr="005961F4">
        <w:t>ccessible</w:t>
      </w:r>
      <w:r w:rsidR="00920805" w:rsidRPr="005961F4">
        <w:t xml:space="preserve"> informatio</w:t>
      </w:r>
      <w:r w:rsidR="007752FB" w:rsidRPr="005961F4">
        <w:t>n</w:t>
      </w:r>
      <w:r w:rsidR="00AF1EA3" w:rsidRPr="005961F4">
        <w:t>,</w:t>
      </w:r>
      <w:r w:rsidR="007D02E1" w:rsidRPr="005961F4">
        <w:t xml:space="preserve"> </w:t>
      </w:r>
      <w:r w:rsidR="00234C9F" w:rsidRPr="005961F4">
        <w:t>and</w:t>
      </w:r>
      <w:r w:rsidR="00EF3296" w:rsidRPr="005961F4">
        <w:t xml:space="preserve"> </w:t>
      </w:r>
      <w:r w:rsidR="00AF1EA3" w:rsidRPr="005961F4">
        <w:t xml:space="preserve">permission to </w:t>
      </w:r>
      <w:r w:rsidR="00EF3296" w:rsidRPr="005961F4">
        <w:t xml:space="preserve">observe </w:t>
      </w:r>
      <w:r w:rsidR="00607EED" w:rsidRPr="005961F4">
        <w:t xml:space="preserve">the </w:t>
      </w:r>
      <w:r w:rsidR="00694640" w:rsidRPr="005961F4">
        <w:t>process</w:t>
      </w:r>
      <w:r w:rsidR="00607EED" w:rsidRPr="005961F4">
        <w:t>ing of</w:t>
      </w:r>
      <w:r w:rsidR="00694640" w:rsidRPr="005961F4">
        <w:t xml:space="preserve"> personal data.</w:t>
      </w:r>
    </w:p>
    <w:p w14:paraId="59054FEC" w14:textId="742015B8" w:rsidR="007D2020" w:rsidRPr="005961F4" w:rsidRDefault="007D2020" w:rsidP="00464094">
      <w:pPr>
        <w:pStyle w:val="ListParagraph"/>
        <w:numPr>
          <w:ilvl w:val="0"/>
          <w:numId w:val="13"/>
        </w:numPr>
        <w:ind w:right="237"/>
      </w:pPr>
      <w:r w:rsidRPr="005961F4">
        <w:rPr>
          <w:b/>
          <w:bCs/>
        </w:rPr>
        <w:t xml:space="preserve">Enforcement notices </w:t>
      </w:r>
      <w:r w:rsidRPr="005961F4">
        <w:t xml:space="preserve">require controllers and processors </w:t>
      </w:r>
      <w:r w:rsidR="00E900B4" w:rsidRPr="005961F4">
        <w:t xml:space="preserve">to </w:t>
      </w:r>
      <w:r w:rsidR="00945EC8" w:rsidRPr="005961F4">
        <w:t>rectify any</w:t>
      </w:r>
      <w:r w:rsidR="009A225D" w:rsidRPr="005961F4">
        <w:t xml:space="preserve"> </w:t>
      </w:r>
      <w:r w:rsidR="00AB5C37" w:rsidRPr="005961F4">
        <w:t>contraventions</w:t>
      </w:r>
      <w:r w:rsidR="00B6766B" w:rsidRPr="005961F4">
        <w:t xml:space="preserve"> of</w:t>
      </w:r>
      <w:r w:rsidR="00AB5C37" w:rsidRPr="005961F4">
        <w:t xml:space="preserve"> </w:t>
      </w:r>
      <w:r w:rsidR="00945EC8" w:rsidRPr="005961F4">
        <w:t>legislation</w:t>
      </w:r>
      <w:r w:rsidR="00D31C40" w:rsidRPr="005961F4">
        <w:t xml:space="preserve"> </w:t>
      </w:r>
      <w:r w:rsidR="009A225D" w:rsidRPr="005961F4">
        <w:t>discovered</w:t>
      </w:r>
      <w:r w:rsidR="00E3290A" w:rsidRPr="005961F4">
        <w:t xml:space="preserve"> by the Commis</w:t>
      </w:r>
      <w:r w:rsidR="000E66D9" w:rsidRPr="005961F4">
        <w:t>s</w:t>
      </w:r>
      <w:r w:rsidR="00E3290A" w:rsidRPr="005961F4">
        <w:t>ioner</w:t>
      </w:r>
      <w:r w:rsidR="001657AA" w:rsidRPr="005961F4">
        <w:t>, such as</w:t>
      </w:r>
      <w:r w:rsidR="00CC394F" w:rsidRPr="005961F4">
        <w:t xml:space="preserve"> failure to com</w:t>
      </w:r>
      <w:r w:rsidR="002B6014" w:rsidRPr="005961F4">
        <w:t>p</w:t>
      </w:r>
      <w:r w:rsidR="00CC394F" w:rsidRPr="005961F4">
        <w:t xml:space="preserve">ly with the </w:t>
      </w:r>
      <w:r w:rsidR="002B6014" w:rsidRPr="005961F4">
        <w:t>data protection</w:t>
      </w:r>
      <w:r w:rsidR="00AB5C37" w:rsidRPr="005961F4">
        <w:t xml:space="preserve"> </w:t>
      </w:r>
      <w:r w:rsidR="00F8455A" w:rsidRPr="005961F4">
        <w:t>principles</w:t>
      </w:r>
      <w:r w:rsidR="002B6014" w:rsidRPr="005961F4">
        <w:t xml:space="preserve"> or </w:t>
      </w:r>
      <w:r w:rsidR="00E95516" w:rsidRPr="005961F4">
        <w:t xml:space="preserve">violating </w:t>
      </w:r>
      <w:r w:rsidR="00F8455A" w:rsidRPr="005961F4">
        <w:t>data subject</w:t>
      </w:r>
      <w:r w:rsidR="00E95516" w:rsidRPr="005961F4">
        <w:t xml:space="preserve"> rights</w:t>
      </w:r>
      <w:r w:rsidR="009A225D" w:rsidRPr="005961F4">
        <w:t>.</w:t>
      </w:r>
      <w:r w:rsidR="00976F90" w:rsidRPr="005961F4">
        <w:t xml:space="preserve"> This can extend to </w:t>
      </w:r>
      <w:r w:rsidR="000068D6" w:rsidRPr="005961F4">
        <w:t xml:space="preserve">prohibiting a person from processing </w:t>
      </w:r>
      <w:r w:rsidR="00B07A69" w:rsidRPr="005961F4">
        <w:t xml:space="preserve">in </w:t>
      </w:r>
      <w:r w:rsidR="008B108E" w:rsidRPr="005961F4">
        <w:t xml:space="preserve">a specified </w:t>
      </w:r>
      <w:r w:rsidR="001C4582" w:rsidRPr="005961F4">
        <w:t xml:space="preserve">manner </w:t>
      </w:r>
      <w:r w:rsidR="00B07A69" w:rsidRPr="005961F4">
        <w:t>or entirely.</w:t>
      </w:r>
    </w:p>
    <w:p w14:paraId="620536EB" w14:textId="5BEFDEC0" w:rsidR="00AB5DC3" w:rsidRPr="005961F4" w:rsidRDefault="000E66D9" w:rsidP="00464094">
      <w:pPr>
        <w:pStyle w:val="ListParagraph"/>
        <w:numPr>
          <w:ilvl w:val="0"/>
          <w:numId w:val="13"/>
        </w:numPr>
        <w:ind w:right="237"/>
        <w:rPr>
          <w:b/>
          <w:bCs/>
        </w:rPr>
      </w:pPr>
      <w:r w:rsidRPr="005961F4">
        <w:rPr>
          <w:b/>
          <w:bCs/>
        </w:rPr>
        <w:t xml:space="preserve">Penalty notices </w:t>
      </w:r>
      <w:r w:rsidRPr="005961F4">
        <w:t xml:space="preserve">require </w:t>
      </w:r>
      <w:r w:rsidR="009B4211" w:rsidRPr="005961F4">
        <w:t xml:space="preserve">persons </w:t>
      </w:r>
      <w:r w:rsidR="00996484" w:rsidRPr="005961F4">
        <w:t>or</w:t>
      </w:r>
      <w:r w:rsidR="0075267C" w:rsidRPr="005961F4">
        <w:t xml:space="preserve"> ‘undertakings’</w:t>
      </w:r>
      <w:r w:rsidR="0075267C" w:rsidRPr="005961F4">
        <w:rPr>
          <w:rStyle w:val="FootnoteReference"/>
        </w:rPr>
        <w:footnoteReference w:id="7"/>
      </w:r>
      <w:r w:rsidR="00996484" w:rsidRPr="005961F4">
        <w:t xml:space="preserve"> </w:t>
      </w:r>
      <w:r w:rsidR="009B4211" w:rsidRPr="005961F4">
        <w:t xml:space="preserve">to </w:t>
      </w:r>
      <w:r w:rsidR="00DC37F5" w:rsidRPr="005961F4">
        <w:t>pay the Commissioner a fine</w:t>
      </w:r>
      <w:r w:rsidR="004B278C" w:rsidRPr="005961F4">
        <w:t xml:space="preserve">, </w:t>
      </w:r>
      <w:r w:rsidR="00B6766B" w:rsidRPr="005961F4">
        <w:t>either alongside and enforcement notice</w:t>
      </w:r>
      <w:r w:rsidR="00B6766B" w:rsidRPr="005961F4">
        <w:rPr>
          <w:rStyle w:val="FootnoteReference"/>
        </w:rPr>
        <w:footnoteReference w:id="8"/>
      </w:r>
      <w:r w:rsidR="00B6766B" w:rsidRPr="005961F4">
        <w:t>, or upon failure</w:t>
      </w:r>
      <w:r w:rsidR="003D23A5" w:rsidRPr="005961F4">
        <w:t xml:space="preserve"> </w:t>
      </w:r>
      <w:r w:rsidR="00075706" w:rsidRPr="005961F4">
        <w:t xml:space="preserve">to comply with </w:t>
      </w:r>
      <w:r w:rsidR="0010003E" w:rsidRPr="005961F4">
        <w:t>one of the previously mentioned notices.</w:t>
      </w:r>
      <w:r w:rsidR="00F07040" w:rsidRPr="005961F4">
        <w:t xml:space="preserve"> </w:t>
      </w:r>
      <w:r w:rsidR="00615998" w:rsidRPr="005961F4">
        <w:t>Th</w:t>
      </w:r>
      <w:r w:rsidR="001C3BB6" w:rsidRPr="005961F4">
        <w:t xml:space="preserve">e </w:t>
      </w:r>
      <w:r w:rsidR="000F2F62" w:rsidRPr="005961F4">
        <w:t>‘</w:t>
      </w:r>
      <w:r w:rsidR="001C3BB6" w:rsidRPr="005961F4">
        <w:t>higher maximum amount</w:t>
      </w:r>
      <w:r w:rsidR="000F2F62" w:rsidRPr="005961F4">
        <w:t>’</w:t>
      </w:r>
      <w:r w:rsidR="00F26A80" w:rsidRPr="005961F4">
        <w:t xml:space="preserve"> that can be imposed is</w:t>
      </w:r>
      <w:r w:rsidR="007E0A4C" w:rsidRPr="005961F4">
        <w:t xml:space="preserve"> outlined in </w:t>
      </w:r>
      <w:r w:rsidR="0038245C" w:rsidRPr="005961F4">
        <w:rPr>
          <w:i/>
          <w:iCs/>
        </w:rPr>
        <w:t>Section 157</w:t>
      </w:r>
      <w:r w:rsidR="00F26A80" w:rsidRPr="005961F4">
        <w:t xml:space="preserve"> </w:t>
      </w:r>
      <w:r w:rsidR="004C75A6" w:rsidRPr="005961F4">
        <w:t xml:space="preserve">as </w:t>
      </w:r>
      <w:r w:rsidR="00A567A7" w:rsidRPr="005961F4">
        <w:t>the higher of</w:t>
      </w:r>
      <w:r w:rsidR="00F26A80" w:rsidRPr="005961F4">
        <w:t xml:space="preserve"> £17,500,000 </w:t>
      </w:r>
      <w:r w:rsidR="00975359" w:rsidRPr="005961F4">
        <w:t>or</w:t>
      </w:r>
      <w:r w:rsidR="00036766" w:rsidRPr="005961F4">
        <w:t xml:space="preserve"> in the case of an undertaking</w:t>
      </w:r>
      <w:r w:rsidR="00975359" w:rsidRPr="005961F4">
        <w:t xml:space="preserve"> </w:t>
      </w:r>
      <w:r w:rsidR="007823D3" w:rsidRPr="005961F4">
        <w:t xml:space="preserve">4% of the undertaking's turnover in the </w:t>
      </w:r>
      <w:r w:rsidR="00974541" w:rsidRPr="005961F4">
        <w:t xml:space="preserve">prior </w:t>
      </w:r>
      <w:r w:rsidR="007823D3" w:rsidRPr="005961F4">
        <w:t>fi</w:t>
      </w:r>
      <w:r w:rsidR="00974541" w:rsidRPr="005961F4">
        <w:t>sc</w:t>
      </w:r>
      <w:r w:rsidR="007823D3" w:rsidRPr="005961F4">
        <w:t>al year</w:t>
      </w:r>
      <w:r w:rsidR="007E0A4C" w:rsidRPr="005961F4">
        <w:t>.</w:t>
      </w:r>
    </w:p>
    <w:p w14:paraId="32461DE0" w14:textId="110F5A48" w:rsidR="00DC6C48" w:rsidRPr="005961F4" w:rsidRDefault="007728C5" w:rsidP="00BF6EBE">
      <w:pPr>
        <w:rPr>
          <w:rFonts w:asciiTheme="majorHAnsi" w:eastAsiaTheme="majorEastAsia" w:hAnsiTheme="majorHAnsi" w:cstheme="majorBidi"/>
          <w:color w:val="2F5496" w:themeColor="accent1" w:themeShade="BF"/>
          <w:sz w:val="32"/>
          <w:szCs w:val="32"/>
        </w:rPr>
      </w:pPr>
      <w:r w:rsidRPr="005961F4">
        <w:t xml:space="preserve">The </w:t>
      </w:r>
      <w:r w:rsidR="00837A0E" w:rsidRPr="005961F4">
        <w:t xml:space="preserve">above </w:t>
      </w:r>
      <w:r w:rsidRPr="005961F4">
        <w:t>notices</w:t>
      </w:r>
      <w:r w:rsidR="00837A0E" w:rsidRPr="005961F4">
        <w:t>, alongside</w:t>
      </w:r>
      <w:r w:rsidRPr="005961F4">
        <w:t xml:space="preserve"> the </w:t>
      </w:r>
      <w:r w:rsidR="00BD790A" w:rsidRPr="005961F4">
        <w:t>principles</w:t>
      </w:r>
      <w:r w:rsidR="00AF3F78" w:rsidRPr="005961F4">
        <w:t xml:space="preserve"> </w:t>
      </w:r>
      <w:r w:rsidR="0072656A" w:rsidRPr="005961F4">
        <w:t>of data protection</w:t>
      </w:r>
      <w:r w:rsidR="00AF3F78" w:rsidRPr="005961F4">
        <w:t xml:space="preserve">, and rights </w:t>
      </w:r>
      <w:r w:rsidR="0072656A" w:rsidRPr="005961F4">
        <w:t xml:space="preserve">of the data subject make up the core of how </w:t>
      </w:r>
      <w:r w:rsidR="00837A0E" w:rsidRPr="005961F4">
        <w:t>th</w:t>
      </w:r>
      <w:r w:rsidR="008B7E48" w:rsidRPr="005961F4">
        <w:t>e DPA 2018</w:t>
      </w:r>
      <w:r w:rsidR="0072656A" w:rsidRPr="005961F4">
        <w:t xml:space="preserve"> aims to preven</w:t>
      </w:r>
      <w:r w:rsidR="00F1527A" w:rsidRPr="005961F4">
        <w:t>t data mishandling</w:t>
      </w:r>
      <w:r w:rsidR="008B7E48" w:rsidRPr="005961F4">
        <w:t xml:space="preserve"> and, f</w:t>
      </w:r>
      <w:r w:rsidR="0003548A" w:rsidRPr="005961F4">
        <w:t>rom here</w:t>
      </w:r>
      <w:r w:rsidR="008B7E48" w:rsidRPr="005961F4">
        <w:t>,</w:t>
      </w:r>
      <w:r w:rsidR="0003548A" w:rsidRPr="005961F4">
        <w:t xml:space="preserve"> </w:t>
      </w:r>
      <w:r w:rsidR="003325F0" w:rsidRPr="005961F4">
        <w:t xml:space="preserve">the </w:t>
      </w:r>
      <w:r w:rsidR="00BF6EBE" w:rsidRPr="005961F4">
        <w:t xml:space="preserve">success of these aims </w:t>
      </w:r>
      <w:r w:rsidR="006F5BCA" w:rsidRPr="005961F4">
        <w:t xml:space="preserve">will be drawn into question, </w:t>
      </w:r>
      <w:r w:rsidR="00230DF4" w:rsidRPr="005961F4">
        <w:t xml:space="preserve">establishing how the </w:t>
      </w:r>
      <w:r w:rsidR="00AA50DA" w:rsidRPr="005961F4">
        <w:t xml:space="preserve">statute has </w:t>
      </w:r>
      <w:r w:rsidR="004B2697" w:rsidRPr="005961F4">
        <w:t xml:space="preserve">affected the UK and notable cases where </w:t>
      </w:r>
      <w:r w:rsidR="004B6056" w:rsidRPr="005961F4">
        <w:t xml:space="preserve">the </w:t>
      </w:r>
      <w:r w:rsidR="0018360F" w:rsidRPr="005961F4">
        <w:t>regulations have had to be enforced.</w:t>
      </w:r>
      <w:r w:rsidR="00DC6C48" w:rsidRPr="005961F4">
        <w:br w:type="page"/>
      </w:r>
    </w:p>
    <w:p w14:paraId="1EF6110C" w14:textId="6242A879" w:rsidR="00894FA1" w:rsidRPr="005961F4" w:rsidRDefault="00894FA1" w:rsidP="00B9004B">
      <w:pPr>
        <w:pStyle w:val="Heading1"/>
        <w:spacing w:after="240"/>
        <w:ind w:left="0" w:firstLine="0"/>
        <w:rPr>
          <w:vanish/>
        </w:rPr>
      </w:pPr>
      <w:r w:rsidRPr="005961F4">
        <w:lastRenderedPageBreak/>
        <w:t>Discussion</w:t>
      </w:r>
      <w:r w:rsidR="0075267C" w:rsidRPr="005961F4">
        <w:t xml:space="preserve"> </w:t>
      </w:r>
      <w:bookmarkStart w:id="10" w:name="_Toc102454824"/>
      <w:bookmarkStart w:id="11" w:name="_Toc102454835"/>
      <w:bookmarkEnd w:id="10"/>
      <w:bookmarkEnd w:id="11"/>
    </w:p>
    <w:p w14:paraId="4EA6BC4E" w14:textId="77777777" w:rsidR="000F79D8" w:rsidRDefault="000F79D8" w:rsidP="00F33CAD"/>
    <w:p w14:paraId="2C3C7430" w14:textId="3408BF7C" w:rsidR="00811E7B" w:rsidRPr="005961F4" w:rsidRDefault="00F03C4E" w:rsidP="00F33CAD">
      <w:r w:rsidRPr="005961F4">
        <w:t xml:space="preserve">In terms of the </w:t>
      </w:r>
      <w:r w:rsidR="00021325" w:rsidRPr="005961F4">
        <w:t>success</w:t>
      </w:r>
      <w:r w:rsidRPr="005961F4">
        <w:t xml:space="preserve"> of the DPA 2018</w:t>
      </w:r>
      <w:r w:rsidR="003C48D0" w:rsidRPr="005961F4">
        <w:t>,</w:t>
      </w:r>
      <w:r w:rsidRPr="005961F4">
        <w:t xml:space="preserve"> and how much of a positive impact it has </w:t>
      </w:r>
      <w:r w:rsidR="003C48D0" w:rsidRPr="005961F4">
        <w:t xml:space="preserve">had on data </w:t>
      </w:r>
      <w:r w:rsidR="00406395" w:rsidRPr="005961F4">
        <w:t xml:space="preserve">protection </w:t>
      </w:r>
      <w:r w:rsidR="003C48D0" w:rsidRPr="005961F4">
        <w:t xml:space="preserve">within the UK, </w:t>
      </w:r>
      <w:r w:rsidR="00700E53" w:rsidRPr="005961F4">
        <w:t>t</w:t>
      </w:r>
      <w:r w:rsidR="007C363F" w:rsidRPr="005961F4">
        <w:t xml:space="preserve">here must be an evaluation made </w:t>
      </w:r>
      <w:r w:rsidR="00F53E21" w:rsidRPr="005961F4">
        <w:t>concerning</w:t>
      </w:r>
      <w:r w:rsidR="007C363F" w:rsidRPr="005961F4">
        <w:t xml:space="preserve"> the </w:t>
      </w:r>
      <w:r w:rsidR="00206C4B" w:rsidRPr="005961F4">
        <w:t>p</w:t>
      </w:r>
      <w:r w:rsidR="00CE0732" w:rsidRPr="005961F4">
        <w:t>reventative nature</w:t>
      </w:r>
      <w:r w:rsidR="00FC235B" w:rsidRPr="005961F4">
        <w:t xml:space="preserve"> </w:t>
      </w:r>
      <w:r w:rsidR="00823698" w:rsidRPr="005961F4">
        <w:t>of the existing regulation</w:t>
      </w:r>
      <w:r w:rsidR="00182B7C" w:rsidRPr="005961F4">
        <w:t>s</w:t>
      </w:r>
      <w:r w:rsidR="00CE0732" w:rsidRPr="005961F4">
        <w:t>,</w:t>
      </w:r>
      <w:r w:rsidR="00182B7C" w:rsidRPr="005961F4">
        <w:t xml:space="preserve"> </w:t>
      </w:r>
      <w:r w:rsidR="00FC235B" w:rsidRPr="005961F4">
        <w:t>as well as</w:t>
      </w:r>
      <w:r w:rsidR="00182B7C" w:rsidRPr="005961F4">
        <w:t xml:space="preserve"> </w:t>
      </w:r>
      <w:r w:rsidR="00AC0EE6" w:rsidRPr="005961F4">
        <w:t xml:space="preserve">the proportionality of the </w:t>
      </w:r>
      <w:r w:rsidR="00D13C1C" w:rsidRPr="005961F4">
        <w:t>penalty</w:t>
      </w:r>
      <w:r w:rsidR="00CE0732" w:rsidRPr="005961F4">
        <w:t xml:space="preserve"> given to</w:t>
      </w:r>
      <w:r w:rsidR="00206C4B" w:rsidRPr="005961F4">
        <w:t xml:space="preserve"> </w:t>
      </w:r>
      <w:r w:rsidR="00CE0732" w:rsidRPr="005961F4">
        <w:t xml:space="preserve">the </w:t>
      </w:r>
      <w:r w:rsidR="00206C4B" w:rsidRPr="005961F4">
        <w:t>offender</w:t>
      </w:r>
      <w:r w:rsidR="00D13C1C" w:rsidRPr="005961F4">
        <w:t>.</w:t>
      </w:r>
      <w:r w:rsidR="001A4E70" w:rsidRPr="005961F4">
        <w:t xml:space="preserve"> </w:t>
      </w:r>
      <w:r w:rsidR="008F277C" w:rsidRPr="005961F4">
        <w:t>The quote</w:t>
      </w:r>
      <w:r w:rsidR="006C6F5E" w:rsidRPr="005961F4">
        <w:t xml:space="preserve"> </w:t>
      </w:r>
      <w:r w:rsidR="00BB7DAD" w:rsidRPr="005961F4">
        <w:t>“Men are not hang</w:t>
      </w:r>
      <w:r w:rsidR="00475CBD" w:rsidRPr="005961F4">
        <w:t>’</w:t>
      </w:r>
      <w:r w:rsidR="00BB7DAD" w:rsidRPr="005961F4">
        <w:t xml:space="preserve">d </w:t>
      </w:r>
      <w:r w:rsidR="008F041F" w:rsidRPr="005961F4">
        <w:t>[</w:t>
      </w:r>
      <w:r w:rsidR="008F041F" w:rsidRPr="005961F4">
        <w:rPr>
          <w:i/>
          <w:iCs/>
        </w:rPr>
        <w:t>sic</w:t>
      </w:r>
      <w:r w:rsidR="008F041F" w:rsidRPr="005961F4">
        <w:t xml:space="preserve">] </w:t>
      </w:r>
      <w:r w:rsidR="00BB7DAD" w:rsidRPr="005961F4">
        <w:t xml:space="preserve">for </w:t>
      </w:r>
      <w:r w:rsidR="00853CF3" w:rsidRPr="005961F4">
        <w:rPr>
          <w:rFonts w:cstheme="minorHAnsi"/>
        </w:rPr>
        <w:t>s</w:t>
      </w:r>
      <w:r w:rsidR="00BB7DAD" w:rsidRPr="005961F4">
        <w:rPr>
          <w:rFonts w:cstheme="minorHAnsi"/>
        </w:rPr>
        <w:t xml:space="preserve">tealing </w:t>
      </w:r>
      <w:r w:rsidR="00F91CBA" w:rsidRPr="005961F4">
        <w:rPr>
          <w:rFonts w:cstheme="minorHAnsi"/>
        </w:rPr>
        <w:t>H</w:t>
      </w:r>
      <w:r w:rsidR="00BB7DAD" w:rsidRPr="005961F4">
        <w:rPr>
          <w:rFonts w:cstheme="minorHAnsi"/>
        </w:rPr>
        <w:t>or</w:t>
      </w:r>
      <w:r w:rsidR="00853CF3" w:rsidRPr="005961F4">
        <w:rPr>
          <w:rFonts w:cstheme="minorHAnsi"/>
        </w:rPr>
        <w:t>s</w:t>
      </w:r>
      <w:r w:rsidR="00BB7DAD" w:rsidRPr="005961F4">
        <w:rPr>
          <w:rFonts w:cstheme="minorHAnsi"/>
        </w:rPr>
        <w:t xml:space="preserve">es, but that </w:t>
      </w:r>
      <w:r w:rsidR="00F91CBA" w:rsidRPr="005961F4">
        <w:rPr>
          <w:rFonts w:cstheme="minorHAnsi"/>
        </w:rPr>
        <w:t>H</w:t>
      </w:r>
      <w:r w:rsidR="00BB7DAD" w:rsidRPr="005961F4">
        <w:rPr>
          <w:rFonts w:cstheme="minorHAnsi"/>
        </w:rPr>
        <w:t>or</w:t>
      </w:r>
      <w:r w:rsidR="00853CF3" w:rsidRPr="005961F4">
        <w:rPr>
          <w:rFonts w:cstheme="minorHAnsi"/>
        </w:rPr>
        <w:t>s</w:t>
      </w:r>
      <w:r w:rsidR="00BB7DAD" w:rsidRPr="005961F4">
        <w:rPr>
          <w:rFonts w:cstheme="minorHAnsi"/>
        </w:rPr>
        <w:t>es</w:t>
      </w:r>
      <w:r w:rsidR="000D36D6" w:rsidRPr="005961F4">
        <w:rPr>
          <w:rFonts w:cstheme="minorHAnsi"/>
        </w:rPr>
        <w:t xml:space="preserve"> may not be </w:t>
      </w:r>
      <w:r w:rsidR="00853CF3" w:rsidRPr="005961F4">
        <w:rPr>
          <w:rFonts w:cstheme="minorHAnsi"/>
        </w:rPr>
        <w:t>s</w:t>
      </w:r>
      <w:r w:rsidR="000D36D6" w:rsidRPr="005961F4">
        <w:rPr>
          <w:rFonts w:cstheme="minorHAnsi"/>
        </w:rPr>
        <w:t>tolen</w:t>
      </w:r>
      <w:r w:rsidR="000D36D6" w:rsidRPr="005961F4">
        <w:t>”</w:t>
      </w:r>
      <w:r w:rsidR="00CB2E81" w:rsidRPr="005961F4">
        <w:t xml:space="preserve"> </w:t>
      </w:r>
      <w:r w:rsidR="00A97ABE" w:rsidRPr="005961F4">
        <w:rPr>
          <w:rStyle w:val="ReferenceChar"/>
        </w:rPr>
        <w:t>(</w:t>
      </w:r>
      <w:r w:rsidR="008F277C" w:rsidRPr="005961F4">
        <w:rPr>
          <w:rStyle w:val="ReferenceChar"/>
        </w:rPr>
        <w:t xml:space="preserve">Savile </w:t>
      </w:r>
      <w:r w:rsidR="00A97ABE" w:rsidRPr="005961F4">
        <w:rPr>
          <w:rStyle w:val="ReferenceChar"/>
        </w:rPr>
        <w:t>1750, p. 114)</w:t>
      </w:r>
      <w:r w:rsidR="0059663B" w:rsidRPr="005961F4">
        <w:t>, w</w:t>
      </w:r>
      <w:r w:rsidR="000F466D" w:rsidRPr="005961F4">
        <w:t>hen applied to the realm of data protection,</w:t>
      </w:r>
      <w:r w:rsidR="00907008" w:rsidRPr="005961F4">
        <w:t xml:space="preserve"> </w:t>
      </w:r>
      <w:r w:rsidR="0059663B" w:rsidRPr="005961F4">
        <w:t>pr</w:t>
      </w:r>
      <w:r w:rsidR="00907008" w:rsidRPr="005961F4">
        <w:t>ovokes the question</w:t>
      </w:r>
      <w:r w:rsidR="00530569" w:rsidRPr="005961F4">
        <w:t>: d</w:t>
      </w:r>
      <w:r w:rsidR="000A7CAB" w:rsidRPr="005961F4">
        <w:t xml:space="preserve">oes the legislation itself </w:t>
      </w:r>
      <w:r w:rsidR="00591703" w:rsidRPr="005961F4">
        <w:t xml:space="preserve">prevent data misuse or </w:t>
      </w:r>
      <w:r w:rsidR="002E5432" w:rsidRPr="005961F4">
        <w:t>do</w:t>
      </w:r>
      <w:r w:rsidR="00C654FC" w:rsidRPr="005961F4">
        <w:t xml:space="preserve"> solely the convictions of others </w:t>
      </w:r>
      <w:r w:rsidR="00D945C8" w:rsidRPr="005961F4">
        <w:t>encourage</w:t>
      </w:r>
      <w:r w:rsidR="00C654FC" w:rsidRPr="005961F4">
        <w:t xml:space="preserve"> conform</w:t>
      </w:r>
      <w:r w:rsidR="005D4399" w:rsidRPr="005961F4">
        <w:t>ity</w:t>
      </w:r>
      <w:r w:rsidR="00C654FC" w:rsidRPr="005961F4">
        <w:t>?</w:t>
      </w:r>
      <w:r w:rsidR="00B86221" w:rsidRPr="005961F4">
        <w:t xml:space="preserve"> </w:t>
      </w:r>
    </w:p>
    <w:p w14:paraId="568FD02E" w14:textId="5C049E18" w:rsidR="004748DD" w:rsidRPr="005961F4" w:rsidRDefault="00811E7B" w:rsidP="00F33CAD">
      <w:r w:rsidRPr="005961F4">
        <w:t>Consider the</w:t>
      </w:r>
      <w:r w:rsidR="00B86E2F" w:rsidRPr="005961F4">
        <w:t xml:space="preserve"> following</w:t>
      </w:r>
      <w:r w:rsidRPr="005961F4">
        <w:t xml:space="preserve"> </w:t>
      </w:r>
      <w:r w:rsidR="008F487E" w:rsidRPr="005961F4">
        <w:t>three</w:t>
      </w:r>
      <w:r w:rsidR="00900CB2" w:rsidRPr="005961F4">
        <w:t xml:space="preserve"> cases</w:t>
      </w:r>
      <w:r w:rsidR="00184BDA" w:rsidRPr="005961F4">
        <w:t xml:space="preserve"> involving</w:t>
      </w:r>
      <w:r w:rsidR="001E3D83" w:rsidRPr="005961F4">
        <w:t xml:space="preserve"> large</w:t>
      </w:r>
      <w:r w:rsidR="00184BDA" w:rsidRPr="005961F4">
        <w:t xml:space="preserve"> data breaches in the U</w:t>
      </w:r>
      <w:r w:rsidR="00B86E2F" w:rsidRPr="005961F4">
        <w:t>K:</w:t>
      </w:r>
    </w:p>
    <w:p w14:paraId="3731D615" w14:textId="376C40FA" w:rsidR="00537CE3" w:rsidRPr="005961F4" w:rsidRDefault="00F25B19" w:rsidP="00D37D3F">
      <w:pPr>
        <w:pStyle w:val="Heading2"/>
        <w:ind w:right="237"/>
        <w:rPr>
          <w:vanish/>
        </w:rPr>
      </w:pPr>
      <w:r w:rsidRPr="005961F4">
        <w:t>TalkTalk</w:t>
      </w:r>
      <w:r w:rsidR="00905D8D" w:rsidRPr="005961F4">
        <w:t xml:space="preserve"> </w:t>
      </w:r>
      <w:r w:rsidR="007830CF" w:rsidRPr="005961F4">
        <w:t>Telecom Group PLC</w:t>
      </w:r>
      <w:r w:rsidR="00537CE3" w:rsidRPr="005961F4">
        <w:t>,</w:t>
      </w:r>
      <w:r w:rsidRPr="005961F4">
        <w:t xml:space="preserve"> </w:t>
      </w:r>
      <w:r w:rsidR="00537CE3" w:rsidRPr="005961F4">
        <w:t>2015</w:t>
      </w:r>
      <w:bookmarkStart w:id="12" w:name="_Toc102454825"/>
      <w:bookmarkStart w:id="13" w:name="_Toc102454836"/>
      <w:bookmarkEnd w:id="12"/>
      <w:bookmarkEnd w:id="13"/>
    </w:p>
    <w:p w14:paraId="75E8939E" w14:textId="77777777" w:rsidR="000F79D8" w:rsidRDefault="000F79D8" w:rsidP="00D37D3F">
      <w:pPr>
        <w:ind w:left="284" w:right="237"/>
      </w:pPr>
    </w:p>
    <w:p w14:paraId="336D1742" w14:textId="1FA772B7" w:rsidR="004748DD" w:rsidRPr="005961F4" w:rsidRDefault="00237050" w:rsidP="00D37D3F">
      <w:pPr>
        <w:ind w:left="284" w:right="237"/>
      </w:pPr>
      <w:r w:rsidRPr="005961F4">
        <w:t xml:space="preserve">The ICO received a report </w:t>
      </w:r>
      <w:r w:rsidR="003477A0" w:rsidRPr="005961F4">
        <w:t xml:space="preserve">of a data </w:t>
      </w:r>
      <w:r w:rsidR="00A4427A" w:rsidRPr="005961F4">
        <w:t>leak</w:t>
      </w:r>
      <w:r w:rsidR="003477A0" w:rsidRPr="005961F4">
        <w:t xml:space="preserve"> </w:t>
      </w:r>
      <w:r w:rsidRPr="005961F4">
        <w:t xml:space="preserve">from </w:t>
      </w:r>
      <w:r w:rsidR="006649E0" w:rsidRPr="005961F4">
        <w:t xml:space="preserve">TalkTalk </w:t>
      </w:r>
      <w:r w:rsidR="003477A0" w:rsidRPr="005961F4">
        <w:t xml:space="preserve">on </w:t>
      </w:r>
      <w:r w:rsidR="00C25443" w:rsidRPr="005961F4">
        <w:t>22 October 2015</w:t>
      </w:r>
      <w:r w:rsidR="00AC6A71" w:rsidRPr="005961F4">
        <w:t>,</w:t>
      </w:r>
      <w:r w:rsidR="00C25443" w:rsidRPr="005961F4">
        <w:t xml:space="preserve"> which </w:t>
      </w:r>
      <w:r w:rsidR="00815C63" w:rsidRPr="005961F4">
        <w:t xml:space="preserve">resulted in </w:t>
      </w:r>
      <w:r w:rsidR="00051DAB" w:rsidRPr="005961F4">
        <w:t>the largest</w:t>
      </w:r>
      <w:r w:rsidR="00E45B18" w:rsidRPr="005961F4">
        <w:t xml:space="preserve"> ever</w:t>
      </w:r>
      <w:r w:rsidR="00051DAB" w:rsidRPr="005961F4">
        <w:t xml:space="preserve"> fine </w:t>
      </w:r>
      <w:r w:rsidR="00522FAF" w:rsidRPr="005961F4">
        <w:t xml:space="preserve">at the time </w:t>
      </w:r>
      <w:r w:rsidR="00215BFD" w:rsidRPr="005961F4">
        <w:t>of £400,000</w:t>
      </w:r>
      <w:r w:rsidR="00AC6A71" w:rsidRPr="005961F4">
        <w:t>,</w:t>
      </w:r>
      <w:r w:rsidR="00215BFD" w:rsidRPr="005961F4">
        <w:t xml:space="preserve"> due to </w:t>
      </w:r>
      <w:r w:rsidR="003B63FD" w:rsidRPr="005961F4">
        <w:t>neglect</w:t>
      </w:r>
      <w:r w:rsidR="00CE4855" w:rsidRPr="005961F4">
        <w:t>ion towards prevention</w:t>
      </w:r>
      <w:r w:rsidR="009C5687" w:rsidRPr="005961F4">
        <w:t xml:space="preserve"> of the</w:t>
      </w:r>
      <w:r w:rsidR="00AC6A71" w:rsidRPr="005961F4">
        <w:t xml:space="preserve"> </w:t>
      </w:r>
      <w:r w:rsidR="009C5687" w:rsidRPr="005961F4">
        <w:t xml:space="preserve">unlawful </w:t>
      </w:r>
      <w:r w:rsidR="00BA3B8D" w:rsidRPr="005961F4">
        <w:t xml:space="preserve">use of </w:t>
      </w:r>
      <w:r w:rsidR="00AC6A71" w:rsidRPr="005961F4">
        <w:t>personal data</w:t>
      </w:r>
      <w:r w:rsidR="003542AE" w:rsidRPr="005961F4">
        <w:t xml:space="preserve"> </w:t>
      </w:r>
      <w:r w:rsidR="003542AE" w:rsidRPr="005961F4">
        <w:rPr>
          <w:rStyle w:val="ReferenceChar"/>
        </w:rPr>
        <w:t>(ICO</w:t>
      </w:r>
      <w:r w:rsidR="002573F2" w:rsidRPr="005961F4">
        <w:rPr>
          <w:rStyle w:val="ReferenceChar"/>
        </w:rPr>
        <w:t>,</w:t>
      </w:r>
      <w:r w:rsidR="003542AE" w:rsidRPr="005961F4">
        <w:rPr>
          <w:rStyle w:val="ReferenceChar"/>
        </w:rPr>
        <w:t xml:space="preserve"> 201</w:t>
      </w:r>
      <w:r w:rsidR="00D12F01" w:rsidRPr="005961F4">
        <w:rPr>
          <w:rStyle w:val="ReferenceChar"/>
        </w:rPr>
        <w:t>6</w:t>
      </w:r>
      <w:r w:rsidR="003542AE" w:rsidRPr="005961F4">
        <w:rPr>
          <w:rStyle w:val="ReferenceChar"/>
        </w:rPr>
        <w:t>)</w:t>
      </w:r>
      <w:r w:rsidR="00AC6A71" w:rsidRPr="005961F4">
        <w:t>.</w:t>
      </w:r>
      <w:r w:rsidR="00A4427A" w:rsidRPr="005961F4">
        <w:t xml:space="preserve"> </w:t>
      </w:r>
      <w:r w:rsidR="009C70BB" w:rsidRPr="005961F4">
        <w:t>The BBC</w:t>
      </w:r>
      <w:r w:rsidR="004D02B1" w:rsidRPr="005961F4">
        <w:t xml:space="preserve"> </w:t>
      </w:r>
      <w:r w:rsidR="004D02B1" w:rsidRPr="005961F4">
        <w:rPr>
          <w:rStyle w:val="ReferenceChar"/>
        </w:rPr>
        <w:t>(2016)</w:t>
      </w:r>
      <w:r w:rsidR="009C70BB" w:rsidRPr="005961F4">
        <w:t xml:space="preserve"> reported </w:t>
      </w:r>
      <w:r w:rsidR="00AD5051" w:rsidRPr="005961F4">
        <w:t>156,</w:t>
      </w:r>
      <w:r w:rsidR="000502DD" w:rsidRPr="005961F4">
        <w:t xml:space="preserve">959 affected customers </w:t>
      </w:r>
      <w:r w:rsidR="00761128" w:rsidRPr="005961F4">
        <w:t>with 15,656 of them having their bank account number and sort code stolen.</w:t>
      </w:r>
      <w:r w:rsidR="00103E41" w:rsidRPr="005961F4">
        <w:t xml:space="preserve"> </w:t>
      </w:r>
      <w:r w:rsidR="004C4FF6" w:rsidRPr="005961F4">
        <w:t xml:space="preserve">Given that </w:t>
      </w:r>
      <w:r w:rsidR="00D81A86" w:rsidRPr="005961F4">
        <w:t xml:space="preserve">this </w:t>
      </w:r>
      <w:r w:rsidR="0038064A" w:rsidRPr="005961F4">
        <w:t>breach</w:t>
      </w:r>
      <w:r w:rsidR="00D81A86" w:rsidRPr="005961F4">
        <w:t xml:space="preserve"> was</w:t>
      </w:r>
      <w:r w:rsidR="00270F50" w:rsidRPr="005961F4">
        <w:t xml:space="preserve"> due to a</w:t>
      </w:r>
      <w:r w:rsidR="004E6613" w:rsidRPr="005961F4">
        <w:t xml:space="preserve"> </w:t>
      </w:r>
      <w:r w:rsidR="00270F50" w:rsidRPr="005961F4">
        <w:t>SQL injection</w:t>
      </w:r>
      <w:r w:rsidR="00126BB3" w:rsidRPr="005961F4">
        <w:t xml:space="preserve"> attack </w:t>
      </w:r>
      <w:r w:rsidR="00126BB3" w:rsidRPr="005961F4">
        <w:rPr>
          <w:rStyle w:val="ReferenceChar"/>
        </w:rPr>
        <w:t>(ICO</w:t>
      </w:r>
      <w:r w:rsidR="002573F2" w:rsidRPr="005961F4">
        <w:rPr>
          <w:rStyle w:val="ReferenceChar"/>
        </w:rPr>
        <w:t>,</w:t>
      </w:r>
      <w:r w:rsidR="00126BB3" w:rsidRPr="005961F4">
        <w:rPr>
          <w:rStyle w:val="ReferenceChar"/>
        </w:rPr>
        <w:t xml:space="preserve"> 2016)</w:t>
      </w:r>
      <w:r w:rsidR="001401BB" w:rsidRPr="005961F4">
        <w:t>,</w:t>
      </w:r>
      <w:r w:rsidR="004E6613" w:rsidRPr="005961F4">
        <w:t xml:space="preserve"> a</w:t>
      </w:r>
      <w:r w:rsidR="00FC4AA8" w:rsidRPr="005961F4">
        <w:t>n</w:t>
      </w:r>
      <w:r w:rsidR="004E6613" w:rsidRPr="005961F4">
        <w:t xml:space="preserve"> </w:t>
      </w:r>
      <w:r w:rsidR="00892986" w:rsidRPr="005961F4">
        <w:t>extensively</w:t>
      </w:r>
      <w:r w:rsidR="000C35C2" w:rsidRPr="005961F4">
        <w:t xml:space="preserve"> recognised </w:t>
      </w:r>
      <w:r w:rsidR="00126BB3" w:rsidRPr="005961F4">
        <w:t xml:space="preserve">type of cyber-attack, </w:t>
      </w:r>
      <w:r w:rsidR="000B7038" w:rsidRPr="005961F4">
        <w:t>it can be assumed a tort of negligenc</w:t>
      </w:r>
      <w:r w:rsidR="00FB6ABD" w:rsidRPr="005961F4">
        <w:t>e</w:t>
      </w:r>
      <w:r w:rsidR="00522FAF" w:rsidRPr="005961F4">
        <w:t xml:space="preserve">. </w:t>
      </w:r>
      <w:r w:rsidR="00463E88" w:rsidRPr="005961F4">
        <w:t>This</w:t>
      </w:r>
      <w:r w:rsidR="00F50D3D" w:rsidRPr="005961F4">
        <w:t xml:space="preserve"> </w:t>
      </w:r>
      <w:r w:rsidR="00BA2BA8" w:rsidRPr="005961F4">
        <w:t>i</w:t>
      </w:r>
      <w:r w:rsidR="00463E88" w:rsidRPr="005961F4">
        <w:t>mplies</w:t>
      </w:r>
      <w:r w:rsidR="00F50D3D" w:rsidRPr="005961F4">
        <w:t xml:space="preserve"> that the DPA 1998</w:t>
      </w:r>
      <w:r w:rsidR="002C3464" w:rsidRPr="005961F4">
        <w:t>,</w:t>
      </w:r>
      <w:r w:rsidR="00F50D3D" w:rsidRPr="005961F4">
        <w:t xml:space="preserve"> serv</w:t>
      </w:r>
      <w:r w:rsidR="002C3464" w:rsidRPr="005961F4">
        <w:t>ing</w:t>
      </w:r>
      <w:r w:rsidR="00F50D3D" w:rsidRPr="005961F4">
        <w:t xml:space="preserve"> as the basis for their </w:t>
      </w:r>
      <w:r w:rsidR="00D963E2" w:rsidRPr="005961F4">
        <w:t>admonishment</w:t>
      </w:r>
      <w:r w:rsidR="00F93543" w:rsidRPr="005961F4">
        <w:t xml:space="preserve">, was less than preventative of malpractice regarding </w:t>
      </w:r>
      <w:r w:rsidR="00947DE9" w:rsidRPr="005961F4">
        <w:t>personal data.</w:t>
      </w:r>
      <w:r w:rsidR="00FB6ABD" w:rsidRPr="005961F4">
        <w:t xml:space="preserve"> </w:t>
      </w:r>
      <w:r w:rsidR="00E97392" w:rsidRPr="005961F4">
        <w:t>TalkTalk</w:t>
      </w:r>
      <w:r w:rsidR="00A30D7D" w:rsidRPr="005961F4">
        <w:t xml:space="preserve"> </w:t>
      </w:r>
      <w:r w:rsidR="00A30D7D" w:rsidRPr="005961F4">
        <w:rPr>
          <w:rStyle w:val="ReferenceChar"/>
        </w:rPr>
        <w:t xml:space="preserve">(2014, p. </w:t>
      </w:r>
      <w:r w:rsidR="0094183F" w:rsidRPr="005961F4">
        <w:rPr>
          <w:rStyle w:val="ReferenceChar"/>
        </w:rPr>
        <w:t>3)</w:t>
      </w:r>
      <w:r w:rsidR="00B15518" w:rsidRPr="005961F4">
        <w:t xml:space="preserve"> </w:t>
      </w:r>
      <w:r w:rsidR="00AA15BC" w:rsidRPr="005961F4">
        <w:t>reported</w:t>
      </w:r>
      <w:r w:rsidR="00B15518" w:rsidRPr="005961F4">
        <w:t xml:space="preserve"> their</w:t>
      </w:r>
      <w:r w:rsidR="00AA15BC" w:rsidRPr="005961F4">
        <w:t xml:space="preserve"> </w:t>
      </w:r>
      <w:r w:rsidR="00B15518" w:rsidRPr="005961F4">
        <w:t>revenue</w:t>
      </w:r>
      <w:r w:rsidR="00C66328" w:rsidRPr="005961F4">
        <w:t xml:space="preserve"> </w:t>
      </w:r>
      <w:r w:rsidR="00B15518" w:rsidRPr="005961F4">
        <w:t>to be</w:t>
      </w:r>
      <w:r w:rsidR="00C66328" w:rsidRPr="005961F4">
        <w:t xml:space="preserve"> </w:t>
      </w:r>
      <w:r w:rsidR="005152A8" w:rsidRPr="005961F4">
        <w:t>£</w:t>
      </w:r>
      <w:r w:rsidR="0031277E" w:rsidRPr="005961F4">
        <w:t>1</w:t>
      </w:r>
      <w:r w:rsidR="00CA16A1" w:rsidRPr="005961F4">
        <w:t>,</w:t>
      </w:r>
      <w:r w:rsidR="0031277E" w:rsidRPr="005961F4">
        <w:t>727</w:t>
      </w:r>
      <w:r w:rsidR="005152A8" w:rsidRPr="005961F4">
        <w:t>m</w:t>
      </w:r>
      <w:r w:rsidR="00861B60" w:rsidRPr="005961F4">
        <w:t>,</w:t>
      </w:r>
      <w:r w:rsidR="00874938" w:rsidRPr="005961F4">
        <w:t xml:space="preserve"> which</w:t>
      </w:r>
      <w:r w:rsidR="002573F2" w:rsidRPr="005961F4">
        <w:t xml:space="preserve"> </w:t>
      </w:r>
      <w:r w:rsidR="00660A8B" w:rsidRPr="005961F4">
        <w:t xml:space="preserve">puts the fine at </w:t>
      </w:r>
      <w:r w:rsidR="005152A8" w:rsidRPr="005961F4">
        <w:t xml:space="preserve">a </w:t>
      </w:r>
      <w:r w:rsidR="0031277E" w:rsidRPr="005961F4">
        <w:t>surface</w:t>
      </w:r>
      <w:r w:rsidR="00FC4AA8" w:rsidRPr="005961F4">
        <w:t>-</w:t>
      </w:r>
      <w:r w:rsidR="0031277E" w:rsidRPr="005961F4">
        <w:t>scratching 0.</w:t>
      </w:r>
      <w:r w:rsidR="00CA16A1" w:rsidRPr="005961F4">
        <w:t>0</w:t>
      </w:r>
      <w:r w:rsidR="0031277E" w:rsidRPr="005961F4">
        <w:t>2</w:t>
      </w:r>
      <w:r w:rsidR="005C57F7" w:rsidRPr="005961F4">
        <w:t>%</w:t>
      </w:r>
      <w:r w:rsidR="003D4FB1" w:rsidRPr="005961F4">
        <w:t xml:space="preserve">, further </w:t>
      </w:r>
      <w:r w:rsidR="00BA2BA8" w:rsidRPr="005961F4">
        <w:t>demonstrating</w:t>
      </w:r>
      <w:r w:rsidR="003D4FB1" w:rsidRPr="005961F4">
        <w:t xml:space="preserve"> </w:t>
      </w:r>
      <w:r w:rsidR="00D021EB" w:rsidRPr="005961F4">
        <w:t>the lack of</w:t>
      </w:r>
      <w:r w:rsidR="005152A8" w:rsidRPr="005961F4">
        <w:t xml:space="preserve"> firm</w:t>
      </w:r>
      <w:r w:rsidR="00D021EB" w:rsidRPr="005961F4">
        <w:t xml:space="preserve"> dissuasion afforded by the legislation</w:t>
      </w:r>
      <w:r w:rsidR="0093785B" w:rsidRPr="005961F4">
        <w:t xml:space="preserve">. </w:t>
      </w:r>
      <w:r w:rsidR="00257EC6" w:rsidRPr="005961F4">
        <w:t xml:space="preserve">Upon its repeal, the maximum penalties </w:t>
      </w:r>
      <w:r w:rsidR="0065150F" w:rsidRPr="005961F4">
        <w:t>outlined</w:t>
      </w:r>
      <w:r w:rsidR="009F0714" w:rsidRPr="005961F4">
        <w:t xml:space="preserve"> in the</w:t>
      </w:r>
      <w:r w:rsidR="00257EC6" w:rsidRPr="005961F4">
        <w:t xml:space="preserve"> DPA 1998 </w:t>
      </w:r>
      <w:r w:rsidR="0065150F" w:rsidRPr="005961F4">
        <w:t>were increased drastically</w:t>
      </w:r>
      <w:r w:rsidR="002A7D26" w:rsidRPr="005961F4">
        <w:t xml:space="preserve"> by the DPA 2018, but the question</w:t>
      </w:r>
      <w:r w:rsidR="00C40D3F" w:rsidRPr="005961F4">
        <w:t xml:space="preserve"> still</w:t>
      </w:r>
      <w:r w:rsidR="002A7D26" w:rsidRPr="005961F4">
        <w:t xml:space="preserve"> stands</w:t>
      </w:r>
      <w:r w:rsidR="00AB5871" w:rsidRPr="005961F4">
        <w:t>:</w:t>
      </w:r>
      <w:r w:rsidR="002A7D26" w:rsidRPr="005961F4">
        <w:t xml:space="preserve"> </w:t>
      </w:r>
      <w:r w:rsidR="00CF43EC" w:rsidRPr="005961F4">
        <w:t>will higher fines</w:t>
      </w:r>
      <w:r w:rsidR="00FE227F" w:rsidRPr="005961F4">
        <w:t xml:space="preserve"> and new legislation</w:t>
      </w:r>
      <w:r w:rsidR="00CF43EC" w:rsidRPr="005961F4">
        <w:t xml:space="preserve"> prevent </w:t>
      </w:r>
      <w:r w:rsidR="00BA2BA8" w:rsidRPr="005961F4">
        <w:t xml:space="preserve">future </w:t>
      </w:r>
      <w:r w:rsidR="00AB5871" w:rsidRPr="005961F4">
        <w:t>infringements,</w:t>
      </w:r>
      <w:r w:rsidR="00E3011B" w:rsidRPr="005961F4">
        <w:t xml:space="preserve"> or </w:t>
      </w:r>
      <w:r w:rsidR="00C03897" w:rsidRPr="005961F4">
        <w:t xml:space="preserve">will it take </w:t>
      </w:r>
      <w:r w:rsidR="00785B08" w:rsidRPr="005961F4">
        <w:t xml:space="preserve">cases of higher fines to </w:t>
      </w:r>
      <w:r w:rsidR="00822DD3" w:rsidRPr="005961F4">
        <w:t>ensure</w:t>
      </w:r>
      <w:r w:rsidR="002E057E" w:rsidRPr="005961F4">
        <w:t xml:space="preserve"> </w:t>
      </w:r>
      <w:r w:rsidR="000042A2" w:rsidRPr="005961F4">
        <w:t>secure data handling?</w:t>
      </w:r>
      <w:r w:rsidR="00EC4D5F" w:rsidRPr="005961F4">
        <w:t xml:space="preserve"> Th</w:t>
      </w:r>
      <w:r w:rsidR="000C3A25" w:rsidRPr="005961F4">
        <w:t>is being the first of three examples indicates</w:t>
      </w:r>
      <w:r w:rsidR="009D3565" w:rsidRPr="005961F4">
        <w:t xml:space="preserve"> </w:t>
      </w:r>
      <w:r w:rsidR="00E140B6" w:rsidRPr="005961F4">
        <w:t>toward</w:t>
      </w:r>
      <w:r w:rsidR="000C3A25" w:rsidRPr="005961F4">
        <w:t xml:space="preserve"> the contrary.</w:t>
      </w:r>
    </w:p>
    <w:p w14:paraId="37F15DFC" w14:textId="4AD69427" w:rsidR="001032AE" w:rsidRPr="005961F4" w:rsidRDefault="00196BE5" w:rsidP="00D37D3F">
      <w:pPr>
        <w:pStyle w:val="Heading2"/>
        <w:ind w:right="237"/>
        <w:rPr>
          <w:vanish/>
        </w:rPr>
      </w:pPr>
      <w:r w:rsidRPr="005961F4">
        <w:t>British Airways</w:t>
      </w:r>
      <w:r w:rsidR="00672665" w:rsidRPr="005961F4">
        <w:t xml:space="preserve"> P</w:t>
      </w:r>
      <w:r w:rsidR="00905D8D" w:rsidRPr="005961F4">
        <w:t>LC</w:t>
      </w:r>
      <w:r w:rsidRPr="005961F4">
        <w:t>, 2020</w:t>
      </w:r>
      <w:bookmarkStart w:id="14" w:name="_Toc102454826"/>
      <w:bookmarkStart w:id="15" w:name="_Toc102454837"/>
      <w:bookmarkEnd w:id="14"/>
      <w:bookmarkEnd w:id="15"/>
    </w:p>
    <w:p w14:paraId="5F891B35" w14:textId="77777777" w:rsidR="000F79D8" w:rsidRDefault="000F79D8" w:rsidP="00D37D3F">
      <w:pPr>
        <w:ind w:left="284" w:right="237"/>
      </w:pPr>
    </w:p>
    <w:p w14:paraId="57273FB1" w14:textId="76741CFD" w:rsidR="00E676DB" w:rsidRPr="005961F4" w:rsidRDefault="00F03569" w:rsidP="00D37D3F">
      <w:pPr>
        <w:ind w:left="284" w:right="237"/>
      </w:pPr>
      <w:r w:rsidRPr="005961F4">
        <w:t xml:space="preserve">After </w:t>
      </w:r>
      <w:r w:rsidR="00886304" w:rsidRPr="005961F4">
        <w:t>a cyber-attack</w:t>
      </w:r>
      <w:r w:rsidR="00B52700" w:rsidRPr="005961F4">
        <w:t xml:space="preserve"> resulting in unauthorized access of </w:t>
      </w:r>
      <w:r w:rsidR="002913FC" w:rsidRPr="005961F4">
        <w:t>over 4</w:t>
      </w:r>
      <w:r w:rsidR="00022FC9" w:rsidRPr="005961F4">
        <w:t>20</w:t>
      </w:r>
      <w:r w:rsidR="002913FC" w:rsidRPr="005961F4">
        <w:t xml:space="preserve">,000 </w:t>
      </w:r>
      <w:r w:rsidR="00022FC9" w:rsidRPr="005961F4">
        <w:t xml:space="preserve">customer </w:t>
      </w:r>
      <w:r w:rsidR="00257882" w:rsidRPr="005961F4">
        <w:t xml:space="preserve">and employee </w:t>
      </w:r>
      <w:r w:rsidR="002913FC" w:rsidRPr="005961F4">
        <w:t xml:space="preserve">records </w:t>
      </w:r>
      <w:r w:rsidR="00257882" w:rsidRPr="005961F4">
        <w:t xml:space="preserve">including the </w:t>
      </w:r>
      <w:r w:rsidR="00DC1BFA" w:rsidRPr="005961F4">
        <w:t xml:space="preserve">payment details </w:t>
      </w:r>
      <w:r w:rsidR="00D739B7" w:rsidRPr="005961F4">
        <w:t xml:space="preserve">of </w:t>
      </w:r>
      <w:r w:rsidR="00FB4241" w:rsidRPr="005961F4">
        <w:t>244,000 customers</w:t>
      </w:r>
      <w:r w:rsidR="002F536B" w:rsidRPr="005961F4">
        <w:t>, British Airways (BA) were fined</w:t>
      </w:r>
      <w:r w:rsidR="00F450B7" w:rsidRPr="005961F4">
        <w:t xml:space="preserve"> </w:t>
      </w:r>
      <w:r w:rsidR="00274ED0" w:rsidRPr="005961F4">
        <w:t>a substantial £20m</w:t>
      </w:r>
      <w:r w:rsidR="005B3E68" w:rsidRPr="005961F4">
        <w:t xml:space="preserve">, the highest </w:t>
      </w:r>
      <w:r w:rsidR="00FB7D95" w:rsidRPr="005961F4">
        <w:t>penalty to date</w:t>
      </w:r>
      <w:r w:rsidR="005C79FF" w:rsidRPr="005961F4">
        <w:t xml:space="preserve"> </w:t>
      </w:r>
      <w:r w:rsidR="005C79FF" w:rsidRPr="005961F4">
        <w:rPr>
          <w:rStyle w:val="ReferenceChar"/>
        </w:rPr>
        <w:t>(ICO</w:t>
      </w:r>
      <w:r w:rsidR="00236FCE" w:rsidRPr="005961F4">
        <w:rPr>
          <w:rStyle w:val="ReferenceChar"/>
        </w:rPr>
        <w:t>,</w:t>
      </w:r>
      <w:r w:rsidR="005C79FF" w:rsidRPr="005961F4">
        <w:rPr>
          <w:rStyle w:val="ReferenceChar"/>
        </w:rPr>
        <w:t xml:space="preserve"> 2020</w:t>
      </w:r>
      <w:r w:rsidR="00D918C6" w:rsidRPr="005961F4">
        <w:rPr>
          <w:rStyle w:val="ReferenceChar"/>
        </w:rPr>
        <w:t>a</w:t>
      </w:r>
      <w:r w:rsidR="003461E7" w:rsidRPr="005961F4">
        <w:rPr>
          <w:rStyle w:val="ReferenceChar"/>
        </w:rPr>
        <w:t>)</w:t>
      </w:r>
      <w:r w:rsidR="009E2D1C" w:rsidRPr="005961F4">
        <w:t>.</w:t>
      </w:r>
      <w:r w:rsidR="004A6815" w:rsidRPr="005961F4">
        <w:t xml:space="preserve"> </w:t>
      </w:r>
      <w:r w:rsidR="000222C3" w:rsidRPr="005961F4">
        <w:t xml:space="preserve">This fine was initially </w:t>
      </w:r>
      <w:r w:rsidR="009C30EF" w:rsidRPr="005961F4">
        <w:t xml:space="preserve">£183m but </w:t>
      </w:r>
      <w:r w:rsidR="007C1B80" w:rsidRPr="005961F4">
        <w:t>considering</w:t>
      </w:r>
      <w:r w:rsidR="009C30EF" w:rsidRPr="005961F4">
        <w:t xml:space="preserve"> </w:t>
      </w:r>
      <w:r w:rsidR="005363FD" w:rsidRPr="005961F4">
        <w:t xml:space="preserve">the effects of </w:t>
      </w:r>
      <w:r w:rsidR="009C30EF" w:rsidRPr="005961F4">
        <w:t xml:space="preserve">COVID-19, </w:t>
      </w:r>
      <w:r w:rsidR="007C1B80" w:rsidRPr="005961F4">
        <w:t>it was reduced</w:t>
      </w:r>
      <w:r w:rsidR="00A1083F" w:rsidRPr="005961F4">
        <w:t xml:space="preserve"> </w:t>
      </w:r>
      <w:r w:rsidR="00A1083F" w:rsidRPr="005961F4">
        <w:rPr>
          <w:rStyle w:val="ReferenceChar"/>
        </w:rPr>
        <w:t xml:space="preserve">(The Guardian, </w:t>
      </w:r>
      <w:r w:rsidR="00F70865" w:rsidRPr="005961F4">
        <w:rPr>
          <w:rStyle w:val="ReferenceChar"/>
        </w:rPr>
        <w:t>2020)</w:t>
      </w:r>
      <w:r w:rsidR="007C1B80" w:rsidRPr="005961F4">
        <w:t xml:space="preserve">. </w:t>
      </w:r>
      <w:r w:rsidR="009E2D1C" w:rsidRPr="005961F4">
        <w:t>While</w:t>
      </w:r>
      <w:r w:rsidR="00223202" w:rsidRPr="005961F4">
        <w:t xml:space="preserve"> the original fine</w:t>
      </w:r>
      <w:r w:rsidR="009E2D1C" w:rsidRPr="005961F4">
        <w:t xml:space="preserve"> seem</w:t>
      </w:r>
      <w:r w:rsidR="00223202" w:rsidRPr="005961F4">
        <w:t>s</w:t>
      </w:r>
      <w:r w:rsidR="009E2D1C" w:rsidRPr="005961F4">
        <w:t xml:space="preserve"> far more severe than the </w:t>
      </w:r>
      <w:r w:rsidR="000D0291" w:rsidRPr="005961F4">
        <w:t>TalkTalk breach,</w:t>
      </w:r>
      <w:r w:rsidR="000468DD" w:rsidRPr="005961F4">
        <w:t xml:space="preserve"> and even the enforced £20m penalty</w:t>
      </w:r>
      <w:r w:rsidR="009E2D1C" w:rsidRPr="005961F4">
        <w:t xml:space="preserve">, it remains a </w:t>
      </w:r>
      <w:r w:rsidR="00AB2339" w:rsidRPr="005961F4">
        <w:t xml:space="preserve">trivial 1.4% </w:t>
      </w:r>
      <w:r w:rsidR="00E3504D" w:rsidRPr="005961F4">
        <w:t>of the £1</w:t>
      </w:r>
      <w:r w:rsidR="00B6747C" w:rsidRPr="005961F4">
        <w:t>3</w:t>
      </w:r>
      <w:r w:rsidR="00E3504D" w:rsidRPr="005961F4">
        <w:t>,</w:t>
      </w:r>
      <w:r w:rsidR="00415D0A" w:rsidRPr="005961F4">
        <w:t>290</w:t>
      </w:r>
      <w:r w:rsidR="00E3504D" w:rsidRPr="005961F4">
        <w:t xml:space="preserve">m of </w:t>
      </w:r>
      <w:r w:rsidR="00F832D7" w:rsidRPr="005961F4">
        <w:t>revenue</w:t>
      </w:r>
      <w:r w:rsidR="00E3504D" w:rsidRPr="005961F4">
        <w:t xml:space="preserve"> that</w:t>
      </w:r>
      <w:r w:rsidR="005C79FF" w:rsidRPr="005961F4">
        <w:t xml:space="preserve"> </w:t>
      </w:r>
      <w:r w:rsidR="00774EB3" w:rsidRPr="005961F4">
        <w:t xml:space="preserve">BA </w:t>
      </w:r>
      <w:r w:rsidR="00267F0F" w:rsidRPr="005961F4">
        <w:rPr>
          <w:rStyle w:val="ReferenceChar"/>
        </w:rPr>
        <w:t>(</w:t>
      </w:r>
      <w:r w:rsidR="00875842" w:rsidRPr="005961F4">
        <w:rPr>
          <w:rStyle w:val="ReferenceChar"/>
        </w:rPr>
        <w:t>2019</w:t>
      </w:r>
      <w:r w:rsidR="00A30D7D" w:rsidRPr="005961F4">
        <w:rPr>
          <w:rStyle w:val="ReferenceChar"/>
        </w:rPr>
        <w:t xml:space="preserve"> p.6</w:t>
      </w:r>
      <w:r w:rsidR="00267F0F" w:rsidRPr="005961F4">
        <w:rPr>
          <w:rStyle w:val="ReferenceChar"/>
        </w:rPr>
        <w:t>)</w:t>
      </w:r>
      <w:r w:rsidR="00875842" w:rsidRPr="005961F4">
        <w:t xml:space="preserve"> </w:t>
      </w:r>
      <w:r w:rsidR="001540A9" w:rsidRPr="005961F4">
        <w:t>reported</w:t>
      </w:r>
      <w:r w:rsidR="00267F0F" w:rsidRPr="005961F4">
        <w:t xml:space="preserve"> </w:t>
      </w:r>
      <w:r w:rsidR="008237FE" w:rsidRPr="005961F4">
        <w:t xml:space="preserve">the year </w:t>
      </w:r>
      <w:r w:rsidR="00A74909" w:rsidRPr="005961F4">
        <w:t>earlier</w:t>
      </w:r>
      <w:r w:rsidR="009302AE" w:rsidRPr="005961F4">
        <w:t xml:space="preserve">, and the data </w:t>
      </w:r>
      <w:r w:rsidR="005807E2" w:rsidRPr="005961F4">
        <w:t>compromised was far more extensive than the TalkTalk breach</w:t>
      </w:r>
      <w:r w:rsidR="00F80120" w:rsidRPr="005961F4">
        <w:t xml:space="preserve">. </w:t>
      </w:r>
      <w:r w:rsidR="001A35B9" w:rsidRPr="005961F4">
        <w:t>Although</w:t>
      </w:r>
      <w:r w:rsidR="00A41E32" w:rsidRPr="005961F4">
        <w:t xml:space="preserve"> the DPA 2018 </w:t>
      </w:r>
      <w:r w:rsidR="00383AE3" w:rsidRPr="005961F4">
        <w:t>de</w:t>
      </w:r>
      <w:r w:rsidR="001422D2" w:rsidRPr="005961F4">
        <w:t xml:space="preserve">clares </w:t>
      </w:r>
      <w:r w:rsidR="004C3649" w:rsidRPr="005961F4">
        <w:t xml:space="preserve">that </w:t>
      </w:r>
      <w:r w:rsidR="000F0062" w:rsidRPr="005961F4">
        <w:t xml:space="preserve">the maximum fine can be up to 4% </w:t>
      </w:r>
      <w:r w:rsidR="009302AE" w:rsidRPr="005961F4">
        <w:t xml:space="preserve">of </w:t>
      </w:r>
      <w:r w:rsidR="005807E2" w:rsidRPr="005961F4">
        <w:t xml:space="preserve">a </w:t>
      </w:r>
      <w:r w:rsidR="00FD6D70" w:rsidRPr="005961F4">
        <w:t>company’s</w:t>
      </w:r>
      <w:r w:rsidR="005807E2" w:rsidRPr="005961F4">
        <w:t xml:space="preserve"> </w:t>
      </w:r>
      <w:r w:rsidR="00383AE3" w:rsidRPr="005961F4">
        <w:t>turnover, as previously stated</w:t>
      </w:r>
      <w:r w:rsidR="001422D2" w:rsidRPr="005961F4">
        <w:t xml:space="preserve">, that seems a small amount when the personal data of </w:t>
      </w:r>
      <w:r w:rsidR="000542C9" w:rsidRPr="005961F4">
        <w:t xml:space="preserve">customers </w:t>
      </w:r>
      <w:r w:rsidR="001422D2" w:rsidRPr="005961F4">
        <w:t xml:space="preserve">are </w:t>
      </w:r>
      <w:r w:rsidR="00F4217A" w:rsidRPr="005961F4">
        <w:t>being openly exposed.</w:t>
      </w:r>
    </w:p>
    <w:p w14:paraId="169CC7BC" w14:textId="638CFAF1" w:rsidR="00E376CA" w:rsidRPr="005961F4" w:rsidRDefault="00735077" w:rsidP="00D37D3F">
      <w:pPr>
        <w:pStyle w:val="Heading2"/>
        <w:ind w:right="237"/>
        <w:rPr>
          <w:vanish/>
        </w:rPr>
      </w:pPr>
      <w:r w:rsidRPr="005961F4">
        <w:t xml:space="preserve">Marriott </w:t>
      </w:r>
      <w:r w:rsidR="00E376CA" w:rsidRPr="005961F4">
        <w:t>International Inc., 2020</w:t>
      </w:r>
      <w:bookmarkStart w:id="16" w:name="_Toc102454827"/>
      <w:bookmarkStart w:id="17" w:name="_Toc102454838"/>
      <w:bookmarkEnd w:id="16"/>
      <w:bookmarkEnd w:id="17"/>
    </w:p>
    <w:p w14:paraId="24BBDBEA" w14:textId="77777777" w:rsidR="00037527" w:rsidRDefault="00037527" w:rsidP="00502CB7">
      <w:pPr>
        <w:ind w:left="284" w:right="237"/>
      </w:pPr>
    </w:p>
    <w:p w14:paraId="28F6C49E" w14:textId="1CC09FB6" w:rsidR="00DC6C48" w:rsidRPr="005961F4" w:rsidRDefault="008D4A46" w:rsidP="00502CB7">
      <w:pPr>
        <w:ind w:left="284" w:right="237"/>
      </w:pPr>
      <w:r w:rsidRPr="005961F4">
        <w:t xml:space="preserve">With an estimated impact of </w:t>
      </w:r>
      <w:r w:rsidR="00E427E0" w:rsidRPr="005961F4">
        <w:t xml:space="preserve">339 million guest records </w:t>
      </w:r>
      <w:r w:rsidR="00EB197F" w:rsidRPr="005961F4">
        <w:t xml:space="preserve">being unlawfully processed, Marriott </w:t>
      </w:r>
      <w:r w:rsidR="00965596" w:rsidRPr="005961F4">
        <w:t xml:space="preserve">became subject of a </w:t>
      </w:r>
      <w:r w:rsidR="00902456" w:rsidRPr="005961F4">
        <w:t xml:space="preserve">£18.4m </w:t>
      </w:r>
      <w:r w:rsidR="00EB197F" w:rsidRPr="005961F4">
        <w:t>fai</w:t>
      </w:r>
      <w:r w:rsidR="00911179" w:rsidRPr="005961F4">
        <w:t xml:space="preserve">lure to put effective measures into place to </w:t>
      </w:r>
      <w:r w:rsidR="00A93EEB" w:rsidRPr="005961F4">
        <w:t>protect the personal data that it was processing</w:t>
      </w:r>
      <w:r w:rsidR="00D918C6" w:rsidRPr="005961F4">
        <w:t xml:space="preserve"> </w:t>
      </w:r>
      <w:r w:rsidR="00D918C6" w:rsidRPr="005961F4">
        <w:rPr>
          <w:rStyle w:val="ReferenceChar"/>
        </w:rPr>
        <w:t>(ICO</w:t>
      </w:r>
      <w:r w:rsidR="00236FCE" w:rsidRPr="005961F4">
        <w:rPr>
          <w:rStyle w:val="ReferenceChar"/>
        </w:rPr>
        <w:t>,</w:t>
      </w:r>
      <w:r w:rsidR="00D918C6" w:rsidRPr="005961F4">
        <w:rPr>
          <w:rStyle w:val="ReferenceChar"/>
        </w:rPr>
        <w:t xml:space="preserve"> 2020b)</w:t>
      </w:r>
      <w:r w:rsidR="00D25FCB" w:rsidRPr="005961F4">
        <w:t xml:space="preserve">. </w:t>
      </w:r>
      <w:r w:rsidR="00837BDA" w:rsidRPr="005961F4">
        <w:t xml:space="preserve">Being only </w:t>
      </w:r>
      <w:r w:rsidR="008E7AAB" w:rsidRPr="005961F4">
        <w:t>0.09</w:t>
      </w:r>
      <w:r w:rsidR="006C2679" w:rsidRPr="005961F4">
        <w:t>% of their annual revenue</w:t>
      </w:r>
      <w:r w:rsidR="00236FCE" w:rsidRPr="005961F4">
        <w:t xml:space="preserve"> </w:t>
      </w:r>
      <w:r w:rsidR="00236FCE" w:rsidRPr="005961F4">
        <w:rPr>
          <w:rStyle w:val="ReferenceChar"/>
        </w:rPr>
        <w:t>(</w:t>
      </w:r>
      <w:r w:rsidR="00675701" w:rsidRPr="005961F4">
        <w:rPr>
          <w:rStyle w:val="ReferenceChar"/>
        </w:rPr>
        <w:t>Marriott, 2019 p. 24)</w:t>
      </w:r>
      <w:r w:rsidR="006C2679" w:rsidRPr="005961F4">
        <w:t xml:space="preserve"> </w:t>
      </w:r>
      <w:r w:rsidR="00502CB7" w:rsidRPr="005961F4">
        <w:t>it is</w:t>
      </w:r>
      <w:r w:rsidR="006C2679" w:rsidRPr="005961F4">
        <w:t xml:space="preserve"> </w:t>
      </w:r>
      <w:r w:rsidR="00502CB7" w:rsidRPr="005961F4">
        <w:t xml:space="preserve">dubious as to whether </w:t>
      </w:r>
      <w:r w:rsidR="00EA17FF" w:rsidRPr="005961F4">
        <w:t>the effort required to maintain such unwieldy data sets</w:t>
      </w:r>
      <w:r w:rsidR="00C67BA5" w:rsidRPr="005961F4">
        <w:t xml:space="preserve"> is worth the investment if the cost is negligible</w:t>
      </w:r>
      <w:r w:rsidR="00FD33F5" w:rsidRPr="005961F4">
        <w:t xml:space="preserve"> in comparison</w:t>
      </w:r>
      <w:r w:rsidR="00C67BA5" w:rsidRPr="005961F4">
        <w:t>.</w:t>
      </w:r>
      <w:r w:rsidR="00882D5E" w:rsidRPr="005961F4">
        <w:t xml:space="preserve"> Furthermore, </w:t>
      </w:r>
      <w:r w:rsidR="008107D9" w:rsidRPr="005961F4">
        <w:t xml:space="preserve">the only </w:t>
      </w:r>
      <w:r w:rsidR="0036157B" w:rsidRPr="005961F4">
        <w:t xml:space="preserve">tangible impact </w:t>
      </w:r>
      <w:r w:rsidR="0062202C" w:rsidRPr="005961F4">
        <w:t xml:space="preserve">there </w:t>
      </w:r>
      <w:r w:rsidR="0036157B" w:rsidRPr="005961F4">
        <w:t xml:space="preserve">seems to </w:t>
      </w:r>
      <w:r w:rsidR="0062202C" w:rsidRPr="005961F4">
        <w:t xml:space="preserve">be </w:t>
      </w:r>
      <w:r w:rsidR="0036157B" w:rsidRPr="005961F4">
        <w:t xml:space="preserve">is the societal repudiation </w:t>
      </w:r>
      <w:r w:rsidR="007D38CF" w:rsidRPr="005961F4">
        <w:t>that comes from having a data breach tied to the company’s name which</w:t>
      </w:r>
      <w:r w:rsidR="00792691" w:rsidRPr="005961F4">
        <w:t xml:space="preserve"> no doubt is looked upon poorly by </w:t>
      </w:r>
      <w:r w:rsidR="00BA57E2" w:rsidRPr="005961F4">
        <w:t>stake holders</w:t>
      </w:r>
      <w:r w:rsidR="007D38CF" w:rsidRPr="005961F4">
        <w:t>.</w:t>
      </w:r>
    </w:p>
    <w:p w14:paraId="1D5DDE45" w14:textId="7587D010" w:rsidR="00A062B1" w:rsidRPr="005961F4" w:rsidRDefault="00A062B1" w:rsidP="000D7300">
      <w:r w:rsidRPr="005961F4">
        <w:t>The Department for Digital, Culture, Media &amp; Sport</w:t>
      </w:r>
      <w:r w:rsidRPr="005961F4">
        <w:rPr>
          <w:rStyle w:val="ReferenceChar"/>
        </w:rPr>
        <w:t xml:space="preserve"> (2018)</w:t>
      </w:r>
      <w:r w:rsidRPr="005961F4">
        <w:t xml:space="preserve">, on the impact of increased fines, stated that the DPA 2018 grants an array of remedial measures which aim to ensure that fines are a fallback </w:t>
      </w:r>
      <w:r w:rsidRPr="005961F4">
        <w:lastRenderedPageBreak/>
        <w:t xml:space="preserve">if corrective action is not made. Given that the main goal of the DPA 2018 is preventing malpractice regarding data protection, there still seems to be refinements needed in </w:t>
      </w:r>
      <w:r w:rsidR="00340290" w:rsidRPr="005961F4">
        <w:t>enforcing</w:t>
      </w:r>
      <w:r w:rsidRPr="005961F4">
        <w:t xml:space="preserve"> how personal data should be processed.</w:t>
      </w:r>
    </w:p>
    <w:p w14:paraId="6AF32B1A" w14:textId="122045F2" w:rsidR="00E676DB" w:rsidRPr="005961F4" w:rsidRDefault="00292FFB" w:rsidP="0011772B">
      <w:r w:rsidRPr="005961F4">
        <w:t>W</w:t>
      </w:r>
      <w:r w:rsidR="00E676DB" w:rsidRPr="005961F4">
        <w:t xml:space="preserve">hile </w:t>
      </w:r>
      <w:r w:rsidRPr="005961F4">
        <w:rPr>
          <w:i/>
          <w:iCs/>
        </w:rPr>
        <w:t>Article 83</w:t>
      </w:r>
      <w:r w:rsidRPr="005961F4">
        <w:t xml:space="preserve"> of the UK GDPR outlines </w:t>
      </w:r>
      <w:r w:rsidR="00E676DB" w:rsidRPr="005961F4">
        <w:t xml:space="preserve">the relevant considerations </w:t>
      </w:r>
      <w:r w:rsidRPr="005961F4">
        <w:t xml:space="preserve">made </w:t>
      </w:r>
      <w:r w:rsidR="00E676DB" w:rsidRPr="005961F4">
        <w:t xml:space="preserve">when determining the </w:t>
      </w:r>
      <w:r w:rsidR="00E87CC0" w:rsidRPr="005961F4">
        <w:t xml:space="preserve">penalty </w:t>
      </w:r>
      <w:r w:rsidR="00E676DB" w:rsidRPr="005961F4">
        <w:t>amount, the legislation could improve the proportionality of the response by, for example,</w:t>
      </w:r>
      <w:r w:rsidR="00385BE1" w:rsidRPr="005961F4">
        <w:t xml:space="preserve"> extending it to be</w:t>
      </w:r>
      <w:r w:rsidR="00E676DB" w:rsidRPr="005961F4">
        <w:t xml:space="preserve"> based on the </w:t>
      </w:r>
      <w:r w:rsidR="00E85816" w:rsidRPr="005961F4">
        <w:t>duration between incident</w:t>
      </w:r>
      <w:r w:rsidR="00CF4A42" w:rsidRPr="005961F4">
        <w:t>s</w:t>
      </w:r>
      <w:r w:rsidR="00E85816" w:rsidRPr="005961F4">
        <w:t xml:space="preserve"> and disclosure</w:t>
      </w:r>
      <w:r w:rsidR="003172F3" w:rsidRPr="005961F4">
        <w:t xml:space="preserve"> and the number of records affected by the </w:t>
      </w:r>
      <w:r w:rsidR="00AF2F6B" w:rsidRPr="005961F4">
        <w:t>breach.</w:t>
      </w:r>
      <w:r w:rsidR="00214F01" w:rsidRPr="005961F4">
        <w:t xml:space="preserve"> </w:t>
      </w:r>
      <w:r w:rsidR="00351D90" w:rsidRPr="005961F4">
        <w:t>Unless</w:t>
      </w:r>
      <w:r w:rsidR="00214F01" w:rsidRPr="005961F4">
        <w:t xml:space="preserve"> the amount of </w:t>
      </w:r>
      <w:r w:rsidR="00A37623" w:rsidRPr="005961F4">
        <w:t xml:space="preserve">the fine is high enough </w:t>
      </w:r>
      <w:r w:rsidR="00FB6F3F" w:rsidRPr="005961F4">
        <w:t>to wound a business, where it</w:t>
      </w:r>
      <w:r w:rsidR="00575510" w:rsidRPr="005961F4">
        <w:t xml:space="preserve"> would be</w:t>
      </w:r>
      <w:r w:rsidR="00FB6F3F" w:rsidRPr="005961F4">
        <w:t xml:space="preserve"> righteous to do so on account of a</w:t>
      </w:r>
      <w:r w:rsidR="00575510" w:rsidRPr="005961F4">
        <w:t>n</w:t>
      </w:r>
      <w:r w:rsidR="00FB6F3F" w:rsidRPr="005961F4">
        <w:t xml:space="preserve"> </w:t>
      </w:r>
      <w:r w:rsidR="00575510" w:rsidRPr="005961F4">
        <w:t xml:space="preserve">infraction of the law, there </w:t>
      </w:r>
      <w:r w:rsidR="00C07CB2" w:rsidRPr="005961F4">
        <w:t xml:space="preserve">will be no incentive to refrain from neglecting any issues with data processing. </w:t>
      </w:r>
      <w:r w:rsidR="00351D90" w:rsidRPr="005961F4">
        <w:t>A</w:t>
      </w:r>
      <w:r w:rsidR="00F82584" w:rsidRPr="005961F4">
        <w:t xml:space="preserve"> better </w:t>
      </w:r>
      <w:r w:rsidR="00853A2E" w:rsidRPr="005961F4">
        <w:t xml:space="preserve">deterrent would be </w:t>
      </w:r>
      <w:r w:rsidR="001D1623" w:rsidRPr="005961F4">
        <w:t xml:space="preserve">limiting the ability of an offender to process data </w:t>
      </w:r>
      <w:r w:rsidR="00DE79DD" w:rsidRPr="005961F4">
        <w:t xml:space="preserve">for </w:t>
      </w:r>
      <w:r w:rsidR="009C5DAC" w:rsidRPr="005961F4">
        <w:t>a period</w:t>
      </w:r>
      <w:r w:rsidR="00DE79DD" w:rsidRPr="005961F4">
        <w:t xml:space="preserve"> proportional to the severity of their infringement</w:t>
      </w:r>
      <w:r w:rsidR="00487CBD" w:rsidRPr="005961F4">
        <w:t xml:space="preserve"> which is </w:t>
      </w:r>
      <w:r w:rsidR="00A8576D" w:rsidRPr="005961F4">
        <w:t xml:space="preserve">touched upon in </w:t>
      </w:r>
      <w:r w:rsidR="0049460F" w:rsidRPr="005961F4">
        <w:rPr>
          <w:i/>
          <w:iCs/>
        </w:rPr>
        <w:t>Part 6</w:t>
      </w:r>
      <w:r w:rsidR="0049460F" w:rsidRPr="005961F4">
        <w:t xml:space="preserve">, </w:t>
      </w:r>
      <w:r w:rsidR="0049460F" w:rsidRPr="005961F4">
        <w:rPr>
          <w:i/>
          <w:iCs/>
        </w:rPr>
        <w:t>Section 150</w:t>
      </w:r>
      <w:r w:rsidR="0049460F" w:rsidRPr="005961F4">
        <w:t xml:space="preserve">, </w:t>
      </w:r>
      <w:r w:rsidR="0049460F" w:rsidRPr="005961F4">
        <w:rPr>
          <w:i/>
          <w:iCs/>
        </w:rPr>
        <w:t>subsection 3</w:t>
      </w:r>
      <w:r w:rsidR="002D1FFB" w:rsidRPr="005961F4">
        <w:t xml:space="preserve"> of the DPA 2018</w:t>
      </w:r>
      <w:r w:rsidR="00716939" w:rsidRPr="005961F4">
        <w:t>.</w:t>
      </w:r>
    </w:p>
    <w:p w14:paraId="29A41CFC" w14:textId="6C813F1F" w:rsidR="004820E6" w:rsidRDefault="00373E6D" w:rsidP="00181D40">
      <w:r w:rsidRPr="005961F4">
        <w:t>The ICO could</w:t>
      </w:r>
      <w:r w:rsidR="009D417F" w:rsidRPr="005961F4">
        <w:t xml:space="preserve"> commission the</w:t>
      </w:r>
      <w:r w:rsidRPr="005961F4">
        <w:t xml:space="preserve"> </w:t>
      </w:r>
      <w:r w:rsidR="00C27A92" w:rsidRPr="005961F4">
        <w:t xml:space="preserve">release </w:t>
      </w:r>
      <w:r w:rsidR="009D417F" w:rsidRPr="005961F4">
        <w:t xml:space="preserve">of </w:t>
      </w:r>
      <w:r w:rsidR="00C27A92" w:rsidRPr="005961F4">
        <w:t>data</w:t>
      </w:r>
      <w:r w:rsidR="00560247" w:rsidRPr="005961F4">
        <w:t xml:space="preserve"> collection</w:t>
      </w:r>
      <w:r w:rsidR="00C27A92" w:rsidRPr="005961F4">
        <w:t xml:space="preserve"> </w:t>
      </w:r>
      <w:r w:rsidR="00537984" w:rsidRPr="005961F4">
        <w:t xml:space="preserve">protocols </w:t>
      </w:r>
      <w:r w:rsidR="007A79EA" w:rsidRPr="005961F4">
        <w:t>used</w:t>
      </w:r>
      <w:r w:rsidR="009748A0" w:rsidRPr="005961F4">
        <w:t xml:space="preserve"> </w:t>
      </w:r>
      <w:r w:rsidR="00C27A92" w:rsidRPr="005961F4">
        <w:t xml:space="preserve">in </w:t>
      </w:r>
      <w:r w:rsidR="00C30601" w:rsidRPr="005961F4">
        <w:t>a company’s infrastructure that</w:t>
      </w:r>
      <w:r w:rsidR="00D66BFA" w:rsidRPr="005961F4">
        <w:t xml:space="preserve"> enable them to gather </w:t>
      </w:r>
      <w:r w:rsidR="00F22FB4" w:rsidRPr="005961F4">
        <w:t>personal data</w:t>
      </w:r>
      <w:r w:rsidR="00537984" w:rsidRPr="005961F4">
        <w:t xml:space="preserve"> in a homogenous</w:t>
      </w:r>
      <w:r w:rsidR="00B10DFD" w:rsidRPr="005961F4">
        <w:t xml:space="preserve"> </w:t>
      </w:r>
      <w:r w:rsidR="00CA3376" w:rsidRPr="005961F4">
        <w:t>fashion</w:t>
      </w:r>
      <w:r w:rsidR="00F22FB4" w:rsidRPr="005961F4">
        <w:t xml:space="preserve">. </w:t>
      </w:r>
      <w:r w:rsidR="002231F8" w:rsidRPr="005961F4">
        <w:t xml:space="preserve">In </w:t>
      </w:r>
      <w:r w:rsidR="00601C2E" w:rsidRPr="005961F4">
        <w:t>20</w:t>
      </w:r>
      <w:r w:rsidR="000C6D37" w:rsidRPr="005961F4">
        <w:t xml:space="preserve">17 </w:t>
      </w:r>
      <w:r w:rsidR="008E2F31" w:rsidRPr="005961F4">
        <w:t xml:space="preserve">the nine </w:t>
      </w:r>
      <w:r w:rsidR="00366313" w:rsidRPr="005961F4">
        <w:t xml:space="preserve">largest banks in the UK were ordered by the </w:t>
      </w:r>
      <w:r w:rsidR="00AB0468" w:rsidRPr="005961F4">
        <w:t xml:space="preserve">Competition and Markets Authority to create </w:t>
      </w:r>
      <w:r w:rsidR="00DC1595" w:rsidRPr="005961F4">
        <w:t>application programming interfaces that follow direct</w:t>
      </w:r>
      <w:r w:rsidR="008D0597" w:rsidRPr="005961F4">
        <w:t xml:space="preserve"> specifications </w:t>
      </w:r>
      <w:r w:rsidR="00DC1595" w:rsidRPr="005961F4">
        <w:t xml:space="preserve">ensuring </w:t>
      </w:r>
      <w:r w:rsidR="00B10DFD" w:rsidRPr="005961F4">
        <w:t>consistent communication be</w:t>
      </w:r>
      <w:r w:rsidR="001B1F6E" w:rsidRPr="005961F4">
        <w:t>tween banks</w:t>
      </w:r>
      <w:r w:rsidR="00692686" w:rsidRPr="005961F4">
        <w:t xml:space="preserve"> </w:t>
      </w:r>
      <w:r w:rsidR="00692686" w:rsidRPr="005961F4">
        <w:rPr>
          <w:rStyle w:val="ReferenceChar"/>
        </w:rPr>
        <w:t>(</w:t>
      </w:r>
      <w:r w:rsidR="000B5FF2" w:rsidRPr="005961F4">
        <w:rPr>
          <w:rStyle w:val="ReferenceChar"/>
        </w:rPr>
        <w:t>OBIE, 2021</w:t>
      </w:r>
      <w:r w:rsidR="001F2B81" w:rsidRPr="005961F4">
        <w:rPr>
          <w:rStyle w:val="ReferenceChar"/>
        </w:rPr>
        <w:t>; CMA 2021</w:t>
      </w:r>
      <w:r w:rsidR="00BE5C66" w:rsidRPr="005961F4">
        <w:rPr>
          <w:rStyle w:val="ReferenceChar"/>
        </w:rPr>
        <w:t>)</w:t>
      </w:r>
      <w:r w:rsidR="003A3F54" w:rsidRPr="005961F4">
        <w:t>,</w:t>
      </w:r>
      <w:r w:rsidR="00692686" w:rsidRPr="005961F4">
        <w:t xml:space="preserve"> similarly,</w:t>
      </w:r>
      <w:r w:rsidR="003A3F54" w:rsidRPr="005961F4">
        <w:t xml:space="preserve"> </w:t>
      </w:r>
      <w:r w:rsidR="00227631" w:rsidRPr="005961F4">
        <w:t xml:space="preserve">companies could be given </w:t>
      </w:r>
      <w:r w:rsidR="00A53C30" w:rsidRPr="005961F4">
        <w:t xml:space="preserve">technical specifications on how to collect data </w:t>
      </w:r>
      <w:r w:rsidR="001515A1" w:rsidRPr="005961F4">
        <w:t>securely</w:t>
      </w:r>
      <w:r w:rsidR="003A6E38" w:rsidRPr="005961F4">
        <w:t xml:space="preserve"> and the</w:t>
      </w:r>
      <w:r w:rsidR="009D417F" w:rsidRPr="005961F4">
        <w:t xml:space="preserve"> </w:t>
      </w:r>
      <w:r w:rsidR="00F07921">
        <w:t>protocol</w:t>
      </w:r>
      <w:r w:rsidR="009D417F" w:rsidRPr="005961F4">
        <w:t xml:space="preserve"> could go as far as to</w:t>
      </w:r>
      <w:r w:rsidR="0068302D">
        <w:t xml:space="preserve"> require</w:t>
      </w:r>
      <w:r w:rsidR="00983B5D">
        <w:t xml:space="preserve"> collectors of data to </w:t>
      </w:r>
      <w:r w:rsidR="00983B5D" w:rsidRPr="005961F4">
        <w:t>relay</w:t>
      </w:r>
      <w:r w:rsidR="009D417F" w:rsidRPr="005961F4">
        <w:t xml:space="preserve"> metadata about data processing actions to the ICO for automated monitoring.</w:t>
      </w:r>
    </w:p>
    <w:p w14:paraId="49CD5EA0" w14:textId="47B0F797" w:rsidR="00BE11D1" w:rsidRPr="005961F4" w:rsidRDefault="00BE11D1" w:rsidP="000E13EA">
      <w:pPr>
        <w:pStyle w:val="Heading1"/>
        <w:spacing w:after="240"/>
      </w:pPr>
      <w:r>
        <w:t>Conclusion</w:t>
      </w:r>
    </w:p>
    <w:p w14:paraId="2717C3A4" w14:textId="4A107A73" w:rsidR="002F6474" w:rsidRPr="005961F4" w:rsidRDefault="00853A2E" w:rsidP="00181D40">
      <w:r w:rsidRPr="005961F4">
        <w:t>In summary</w:t>
      </w:r>
      <w:r w:rsidR="00781258" w:rsidRPr="005961F4">
        <w:t>,</w:t>
      </w:r>
      <w:r w:rsidRPr="005961F4">
        <w:t xml:space="preserve"> the </w:t>
      </w:r>
      <w:r w:rsidR="00720631" w:rsidRPr="005961F4">
        <w:t xml:space="preserve">DPA 2018 is </w:t>
      </w:r>
      <w:r w:rsidR="00432B2D" w:rsidRPr="005961F4">
        <w:t>a</w:t>
      </w:r>
      <w:r w:rsidR="00BB67F1" w:rsidRPr="005961F4">
        <w:t xml:space="preserve"> </w:t>
      </w:r>
      <w:r w:rsidR="00720631" w:rsidRPr="005961F4">
        <w:t xml:space="preserve">marked improvement on the </w:t>
      </w:r>
      <w:r w:rsidR="00BB67F1" w:rsidRPr="005961F4">
        <w:t>DPA 199</w:t>
      </w:r>
      <w:r w:rsidR="00FA455B" w:rsidRPr="005961F4">
        <w:t>8</w:t>
      </w:r>
      <w:r w:rsidR="00F23542" w:rsidRPr="005961F4">
        <w:t>;</w:t>
      </w:r>
      <w:r w:rsidR="00432B2D" w:rsidRPr="005961F4">
        <w:t xml:space="preserve"> i</w:t>
      </w:r>
      <w:r w:rsidR="00B32629" w:rsidRPr="005961F4">
        <w:t xml:space="preserve">ncreased fines will always pose </w:t>
      </w:r>
      <w:r w:rsidR="009C5DAC" w:rsidRPr="005961F4">
        <w:t>a</w:t>
      </w:r>
      <w:r w:rsidR="00B32629" w:rsidRPr="005961F4">
        <w:t xml:space="preserve"> threat to negligent or </w:t>
      </w:r>
      <w:r w:rsidR="00734963" w:rsidRPr="005961F4">
        <w:t xml:space="preserve">malicious wrong doers and the social implications of causing distress and harm to </w:t>
      </w:r>
      <w:r w:rsidR="0087046D" w:rsidRPr="005961F4">
        <w:t>millions of people are not to be understated. The</w:t>
      </w:r>
      <w:r w:rsidR="009947F5" w:rsidRPr="005961F4">
        <w:t xml:space="preserve">re will be another DPA in the years to come that will have </w:t>
      </w:r>
      <w:r w:rsidR="00A91BDB" w:rsidRPr="005961F4">
        <w:t xml:space="preserve">further developments </w:t>
      </w:r>
      <w:r w:rsidR="00D10610" w:rsidRPr="005961F4">
        <w:t xml:space="preserve">but for now, with </w:t>
      </w:r>
      <w:r w:rsidR="009C5DAC" w:rsidRPr="005961F4">
        <w:t>an</w:t>
      </w:r>
      <w:r w:rsidR="00D10610" w:rsidRPr="005961F4">
        <w:t xml:space="preserve"> increase in penalty, </w:t>
      </w:r>
      <w:r w:rsidR="00773C39" w:rsidRPr="005961F4">
        <w:t xml:space="preserve">the DPA 2018 </w:t>
      </w:r>
      <w:r w:rsidR="008F3793" w:rsidRPr="005961F4">
        <w:t>ensures</w:t>
      </w:r>
      <w:r w:rsidR="00916F20" w:rsidRPr="005961F4">
        <w:t xml:space="preserve"> controllers and processors to act in a </w:t>
      </w:r>
      <w:r w:rsidR="00A079B1" w:rsidRPr="005961F4">
        <w:t xml:space="preserve">responsible and respectful nature when working with the personal information of </w:t>
      </w:r>
      <w:r w:rsidR="00640835" w:rsidRPr="005961F4">
        <w:t>others</w:t>
      </w:r>
      <w:r w:rsidR="00A079B1" w:rsidRPr="005961F4">
        <w:t>.</w:t>
      </w:r>
    </w:p>
    <w:p w14:paraId="5D74053B" w14:textId="0459A07E" w:rsidR="0068544F" w:rsidRPr="005961F4" w:rsidRDefault="0068544F" w:rsidP="00181D40">
      <w:pPr>
        <w:sectPr w:rsidR="0068544F" w:rsidRPr="005961F4" w:rsidSect="00135D91">
          <w:headerReference w:type="even" r:id="rId9"/>
          <w:headerReference w:type="default" r:id="rId10"/>
          <w:footerReference w:type="even" r:id="rId11"/>
          <w:footerReference w:type="default" r:id="rId12"/>
          <w:footerReference w:type="first" r:id="rId13"/>
          <w:pgSz w:w="11906" w:h="16838"/>
          <w:pgMar w:top="1440" w:right="1440" w:bottom="1440" w:left="1440" w:header="709" w:footer="709" w:gutter="0"/>
          <w:pgNumType w:start="1"/>
          <w:cols w:space="708"/>
          <w:titlePg/>
          <w:docGrid w:linePitch="360"/>
        </w:sectPr>
      </w:pPr>
    </w:p>
    <w:p w14:paraId="66241274" w14:textId="4F85F608" w:rsidR="00A875EA" w:rsidRPr="000E13EA" w:rsidRDefault="003F2B69" w:rsidP="000E13EA">
      <w:pPr>
        <w:pStyle w:val="Heading1"/>
        <w:spacing w:after="240"/>
        <w:rPr>
          <w:rFonts w:ascii="Calibri Light" w:hAnsi="Calibri Light"/>
          <w:vanish/>
        </w:rPr>
      </w:pPr>
      <w:r w:rsidRPr="00697660">
        <w:lastRenderedPageBreak/>
        <w:t>References</w:t>
      </w:r>
    </w:p>
    <w:p w14:paraId="3518E744" w14:textId="77777777" w:rsidR="004330B1" w:rsidRDefault="004330B1" w:rsidP="002112BA">
      <w:pPr>
        <w:pStyle w:val="ListParagraph"/>
        <w:numPr>
          <w:ilvl w:val="0"/>
          <w:numId w:val="22"/>
        </w:numPr>
        <w:spacing w:before="240"/>
        <w:jc w:val="left"/>
      </w:pPr>
    </w:p>
    <w:p w14:paraId="4A65238C" w14:textId="77777777" w:rsidR="004330B1" w:rsidRDefault="004330B1" w:rsidP="004330B1">
      <w:pPr>
        <w:pStyle w:val="ListParagraph"/>
        <w:spacing w:before="240"/>
        <w:ind w:left="360"/>
        <w:jc w:val="left"/>
      </w:pPr>
    </w:p>
    <w:p w14:paraId="5A78542F" w14:textId="176CF7A5" w:rsidR="007A0257" w:rsidRPr="005961F4" w:rsidRDefault="007A0257" w:rsidP="004330B1">
      <w:pPr>
        <w:pStyle w:val="ListParagraph"/>
        <w:numPr>
          <w:ilvl w:val="0"/>
          <w:numId w:val="23"/>
        </w:numPr>
        <w:spacing w:before="240"/>
        <w:jc w:val="left"/>
      </w:pPr>
      <w:r w:rsidRPr="005961F4">
        <w:t xml:space="preserve">Council of Europe (2019) Details of Treaty 108. Available at: </w:t>
      </w:r>
      <w:r w:rsidRPr="002112BA">
        <w:rPr>
          <w:color w:val="8EAADB" w:themeColor="accent1" w:themeTint="99"/>
        </w:rPr>
        <w:t xml:space="preserve">https://www.coe.int/en/web/conventions/full-list?module=treaty-detail&amp;treatynum=108 </w:t>
      </w:r>
      <w:r w:rsidRPr="002112BA">
        <w:rPr>
          <w:color w:val="7F7F7F" w:themeColor="text1" w:themeTint="80"/>
        </w:rPr>
        <w:t>(Accessed: 26 April 2022)</w:t>
      </w:r>
    </w:p>
    <w:p w14:paraId="2BAE79C3" w14:textId="5257CFB7" w:rsidR="001C0458" w:rsidRPr="005961F4" w:rsidRDefault="001C0458" w:rsidP="004330B1">
      <w:pPr>
        <w:pStyle w:val="ListParagraph"/>
        <w:numPr>
          <w:ilvl w:val="0"/>
          <w:numId w:val="23"/>
        </w:numPr>
        <w:jc w:val="left"/>
      </w:pPr>
      <w:r w:rsidRPr="005961F4">
        <w:t xml:space="preserve">Council of Europe </w:t>
      </w:r>
      <w:r w:rsidRPr="005961F4">
        <w:rPr>
          <w:i/>
          <w:iCs/>
        </w:rPr>
        <w:t>Convention for the Protection of Individuals with regard to Automatic Processing of Personal Data</w:t>
      </w:r>
      <w:r w:rsidRPr="005961F4">
        <w:t xml:space="preserve">, 28 January 1981, CETS 108. Available at: </w:t>
      </w:r>
      <w:r w:rsidRPr="005961F4">
        <w:rPr>
          <w:color w:val="7F7F7F" w:themeColor="text1" w:themeTint="80"/>
        </w:rPr>
        <w:t xml:space="preserve">https://rm.coe.int/1680078b37 </w:t>
      </w:r>
      <w:r w:rsidRPr="005961F4">
        <w:t>(Accessed: 28 April 2022)</w:t>
      </w:r>
    </w:p>
    <w:p w14:paraId="17DCC942" w14:textId="6DD7FD96" w:rsidR="007A0257" w:rsidRPr="005961F4" w:rsidRDefault="007A0257" w:rsidP="004330B1">
      <w:pPr>
        <w:pStyle w:val="ListParagraph"/>
        <w:numPr>
          <w:ilvl w:val="0"/>
          <w:numId w:val="23"/>
        </w:numPr>
        <w:jc w:val="left"/>
      </w:pPr>
      <w:r w:rsidRPr="005961F4">
        <w:t xml:space="preserve">McPherson, Stephanie Sammartino (2009). </w:t>
      </w:r>
      <w:r w:rsidRPr="005961F4">
        <w:rPr>
          <w:i/>
          <w:iCs/>
        </w:rPr>
        <w:t>Tim Berners-Lee: Inventor of the World Wide Web</w:t>
      </w:r>
      <w:r w:rsidRPr="005961F4">
        <w:t>. Minneapolis: Twenty-First Century Books</w:t>
      </w:r>
    </w:p>
    <w:p w14:paraId="72991A71" w14:textId="1AAF7FC7" w:rsidR="00A67527" w:rsidRPr="005961F4" w:rsidRDefault="00A67527" w:rsidP="004330B1">
      <w:pPr>
        <w:pStyle w:val="ListParagraph"/>
        <w:numPr>
          <w:ilvl w:val="0"/>
          <w:numId w:val="23"/>
        </w:numPr>
        <w:jc w:val="left"/>
      </w:pPr>
      <w:r w:rsidRPr="005961F4">
        <w:t>The World Bank (2021) Crossing Borders. Available at</w:t>
      </w:r>
      <w:r w:rsidRPr="008A6E8A">
        <w:rPr>
          <w:color w:val="8EAADB" w:themeColor="accent1" w:themeTint="99"/>
        </w:rPr>
        <w:t xml:space="preserve">: </w:t>
      </w:r>
      <w:r w:rsidRPr="00022685">
        <w:rPr>
          <w:color w:val="8EAADB" w:themeColor="accent1" w:themeTint="99"/>
        </w:rPr>
        <w:t>https://wdr2021.worldbank.org/stories</w:t>
      </w:r>
      <w:r w:rsidRPr="008A6E8A">
        <w:rPr>
          <w:color w:val="8EAADB" w:themeColor="accent1" w:themeTint="99"/>
        </w:rPr>
        <w:t>/crossing-borders</w:t>
      </w:r>
      <w:r w:rsidRPr="005961F4">
        <w:rPr>
          <w:color w:val="7F7F7F" w:themeColor="text1" w:themeTint="80"/>
        </w:rPr>
        <w:t xml:space="preserve"> </w:t>
      </w:r>
      <w:r w:rsidRPr="005961F4">
        <w:t>(Accessed: 27 April 2022)</w:t>
      </w:r>
    </w:p>
    <w:p w14:paraId="372E0909" w14:textId="1EEDD660" w:rsidR="00A67527" w:rsidRPr="005961F4" w:rsidRDefault="00A67527" w:rsidP="004330B1">
      <w:pPr>
        <w:pStyle w:val="ListParagraph"/>
        <w:numPr>
          <w:ilvl w:val="0"/>
          <w:numId w:val="23"/>
        </w:numPr>
        <w:jc w:val="left"/>
      </w:pPr>
      <w:r w:rsidRPr="005961F4">
        <w:t xml:space="preserve">McAfee, A and Brynjolfsson E. (2012) ‘Big Data: The Management Revolution’, </w:t>
      </w:r>
      <w:r w:rsidRPr="005961F4">
        <w:rPr>
          <w:i/>
          <w:iCs/>
        </w:rPr>
        <w:t>Harvard Business Review,</w:t>
      </w:r>
      <w:r w:rsidRPr="005961F4">
        <w:t xml:space="preserve"> 90(10), pp. 60-68</w:t>
      </w:r>
    </w:p>
    <w:p w14:paraId="7ED3E6A5" w14:textId="719C43C5" w:rsidR="00A67527" w:rsidRPr="005961F4" w:rsidRDefault="00A67527" w:rsidP="004330B1">
      <w:pPr>
        <w:pStyle w:val="ListParagraph"/>
        <w:numPr>
          <w:ilvl w:val="0"/>
          <w:numId w:val="23"/>
        </w:numPr>
        <w:jc w:val="left"/>
      </w:pPr>
      <w:r w:rsidRPr="005961F4">
        <w:t xml:space="preserve">Burn-Murdoch, J. (2013) ‘Europe deadlocked over data protection reform’, </w:t>
      </w:r>
      <w:r w:rsidRPr="005961F4">
        <w:rPr>
          <w:i/>
          <w:iCs/>
        </w:rPr>
        <w:t>The Guardian</w:t>
      </w:r>
      <w:r w:rsidRPr="005961F4">
        <w:t xml:space="preserve">, 12 August. Available at:  </w:t>
      </w:r>
      <w:r w:rsidRPr="008A6E8A">
        <w:rPr>
          <w:color w:val="8EAADB" w:themeColor="accent1" w:themeTint="99"/>
        </w:rPr>
        <w:t>https://www.theguardian.com/news/datablog/2013/aug/12/europe-data-protection-directive-eu</w:t>
      </w:r>
      <w:r w:rsidRPr="005961F4">
        <w:t xml:space="preserve"> (Accessed: 28 April 2022)</w:t>
      </w:r>
    </w:p>
    <w:p w14:paraId="4AA1ADD0" w14:textId="14C8E469" w:rsidR="00F07835" w:rsidRPr="005961F4" w:rsidRDefault="00F07835" w:rsidP="004330B1">
      <w:pPr>
        <w:pStyle w:val="ListParagraph"/>
        <w:numPr>
          <w:ilvl w:val="0"/>
          <w:numId w:val="23"/>
        </w:numPr>
        <w:jc w:val="left"/>
      </w:pPr>
      <w:r w:rsidRPr="005961F4">
        <w:rPr>
          <w:i/>
          <w:iCs/>
        </w:rPr>
        <w:t xml:space="preserve">The Data Protection, Privacy and Electronic Communications (Amendments etc) (EU Exit) Regulations 2019 </w:t>
      </w:r>
      <w:r w:rsidRPr="005961F4">
        <w:t>(SI 2019/419) Available at</w:t>
      </w:r>
      <w:r w:rsidRPr="008A6E8A">
        <w:rPr>
          <w:color w:val="8EAADB" w:themeColor="accent1" w:themeTint="99"/>
        </w:rPr>
        <w:t xml:space="preserve">: https://www.legislation.gov.uk/uksi/2019/419/contents </w:t>
      </w:r>
      <w:r w:rsidRPr="005961F4">
        <w:t>(Accessed: 28 April 2022)</w:t>
      </w:r>
    </w:p>
    <w:p w14:paraId="37729DAC" w14:textId="225760BC" w:rsidR="00AE6A2F" w:rsidRPr="005961F4" w:rsidRDefault="00AE6A2F" w:rsidP="004330B1">
      <w:pPr>
        <w:pStyle w:val="ListParagraph"/>
        <w:numPr>
          <w:ilvl w:val="0"/>
          <w:numId w:val="23"/>
        </w:numPr>
        <w:jc w:val="left"/>
      </w:pPr>
      <w:r w:rsidRPr="005961F4">
        <w:t>‘</w:t>
      </w:r>
      <w:r w:rsidRPr="005961F4">
        <w:rPr>
          <w:i/>
          <w:iCs/>
        </w:rPr>
        <w:t>Regulation (EU) 2016/679 of the European Parliament and of the Council on the protection of natural persons with regard to the processing of personal data and on the free movement of such data, and repealing Directive 95/46/EC (General Data Protection Regulation)</w:t>
      </w:r>
      <w:r w:rsidRPr="005961F4">
        <w:t xml:space="preserve">’ (2016) </w:t>
      </w:r>
      <w:r w:rsidRPr="005961F4">
        <w:rPr>
          <w:i/>
          <w:iCs/>
        </w:rPr>
        <w:t>Official Journal</w:t>
      </w:r>
      <w:r w:rsidRPr="005961F4">
        <w:t xml:space="preserve"> L119 Available at: </w:t>
      </w:r>
      <w:r w:rsidRPr="008A6E8A">
        <w:rPr>
          <w:color w:val="8EAADB" w:themeColor="accent1" w:themeTint="99"/>
        </w:rPr>
        <w:t>https://www.legislation.gov.uk/eur/2016/679/contents</w:t>
      </w:r>
      <w:r w:rsidRPr="005961F4">
        <w:rPr>
          <w:color w:val="7F7F7F" w:themeColor="text1" w:themeTint="80"/>
        </w:rPr>
        <w:t xml:space="preserve"> </w:t>
      </w:r>
      <w:r w:rsidRPr="005961F4">
        <w:rPr>
          <w:color w:val="000000" w:themeColor="text1"/>
        </w:rPr>
        <w:t>(Accessed: 28 April 2022)</w:t>
      </w:r>
    </w:p>
    <w:p w14:paraId="7F0C8972" w14:textId="263CBD92" w:rsidR="00F54B22" w:rsidRPr="005961F4" w:rsidRDefault="00F54B22" w:rsidP="004330B1">
      <w:pPr>
        <w:pStyle w:val="ListParagraph"/>
        <w:numPr>
          <w:ilvl w:val="0"/>
          <w:numId w:val="23"/>
        </w:numPr>
        <w:jc w:val="left"/>
      </w:pPr>
      <w:r w:rsidRPr="005961F4">
        <w:t xml:space="preserve">ICO (2019) </w:t>
      </w:r>
      <w:r w:rsidRPr="005961F4">
        <w:rPr>
          <w:i/>
          <w:iCs/>
        </w:rPr>
        <w:t>Individual Rights</w:t>
      </w:r>
      <w:r w:rsidRPr="005961F4">
        <w:t xml:space="preserve"> Available at: </w:t>
      </w:r>
      <w:r w:rsidRPr="008A6E8A">
        <w:rPr>
          <w:color w:val="8EAADB" w:themeColor="accent1" w:themeTint="99"/>
        </w:rPr>
        <w:t xml:space="preserve">https://ico.org.uk/for-organisations/guide-to-data-protection/guide-to-the-general-data-protection-regulation-gdpr/individual-rights/ </w:t>
      </w:r>
      <w:r w:rsidRPr="005961F4">
        <w:t>(Accessed: 27 April 2022)</w:t>
      </w:r>
    </w:p>
    <w:p w14:paraId="6545F175" w14:textId="670FB099" w:rsidR="00FB6A3C" w:rsidRPr="005961F4" w:rsidRDefault="00FB6A3C" w:rsidP="004330B1">
      <w:pPr>
        <w:pStyle w:val="ListParagraph"/>
        <w:numPr>
          <w:ilvl w:val="0"/>
          <w:numId w:val="23"/>
        </w:numPr>
        <w:jc w:val="left"/>
      </w:pPr>
      <w:r w:rsidRPr="005961F4">
        <w:t xml:space="preserve">Snijders C., Matzat U., and Reips U. (2012) '“Big Data”: Big Gaps of Knowledge in the Field of Internet Science', </w:t>
      </w:r>
      <w:r w:rsidRPr="005961F4">
        <w:rPr>
          <w:i/>
          <w:iCs/>
        </w:rPr>
        <w:t>International Journal of Internet Science</w:t>
      </w:r>
      <w:r w:rsidRPr="005961F4">
        <w:t>, 7(1), pp. 1-5</w:t>
      </w:r>
    </w:p>
    <w:p w14:paraId="13EAEB66" w14:textId="5BA60E0F" w:rsidR="00404520" w:rsidRPr="005961F4" w:rsidRDefault="00404520" w:rsidP="004330B1">
      <w:pPr>
        <w:pStyle w:val="ListParagraph"/>
        <w:numPr>
          <w:ilvl w:val="0"/>
          <w:numId w:val="23"/>
        </w:numPr>
        <w:jc w:val="left"/>
      </w:pPr>
      <w:r w:rsidRPr="005961F4">
        <w:t xml:space="preserve">Data Protection Act 2018 c. 12 Available at: </w:t>
      </w:r>
      <w:r w:rsidRPr="008A6E8A">
        <w:rPr>
          <w:color w:val="8EAADB" w:themeColor="accent1" w:themeTint="99"/>
        </w:rPr>
        <w:t>https://www.legislation.gov.uk/ukpga‌/2018/12/contents</w:t>
      </w:r>
      <w:r w:rsidRPr="005961F4">
        <w:t xml:space="preserve"> (Accessed: 27 April 2022)</w:t>
      </w:r>
    </w:p>
    <w:p w14:paraId="5ECA61F5" w14:textId="0FBB714A" w:rsidR="007A17CC" w:rsidRPr="005961F4" w:rsidRDefault="007A17CC" w:rsidP="004330B1">
      <w:pPr>
        <w:pStyle w:val="ListParagraph"/>
        <w:numPr>
          <w:ilvl w:val="0"/>
          <w:numId w:val="23"/>
        </w:numPr>
        <w:jc w:val="left"/>
      </w:pPr>
      <w:r w:rsidRPr="005961F4">
        <w:t xml:space="preserve">Companies Act 2006 c. 46 Available at: </w:t>
      </w:r>
      <w:r w:rsidRPr="008A6E8A">
        <w:rPr>
          <w:color w:val="8EAADB" w:themeColor="accent1" w:themeTint="99"/>
        </w:rPr>
        <w:t>https://www.legislation.gov.uk/ukpga/2006/46/section/1161</w:t>
      </w:r>
      <w:r w:rsidRPr="005961F4">
        <w:rPr>
          <w:color w:val="7F7F7F" w:themeColor="text1" w:themeTint="80"/>
        </w:rPr>
        <w:t xml:space="preserve"> </w:t>
      </w:r>
      <w:r w:rsidRPr="005961F4">
        <w:t>(Accessed: 27 April 2022)</w:t>
      </w:r>
    </w:p>
    <w:p w14:paraId="1A262FB5" w14:textId="660E606E" w:rsidR="0045526C" w:rsidRPr="005961F4" w:rsidRDefault="0045526C" w:rsidP="004330B1">
      <w:pPr>
        <w:pStyle w:val="ListParagraph"/>
        <w:numPr>
          <w:ilvl w:val="0"/>
          <w:numId w:val="23"/>
        </w:numPr>
        <w:jc w:val="left"/>
      </w:pPr>
      <w:r w:rsidRPr="005961F4">
        <w:t>Savile G. (1750) A Character of King Charles the Second and Political, Moral and Miscellaneous Thoughts and Reflections. London: J. and R. Tonson</w:t>
      </w:r>
    </w:p>
    <w:p w14:paraId="78AD62ED" w14:textId="1F55D20F" w:rsidR="0045526C" w:rsidRPr="005961F4" w:rsidRDefault="0045526C" w:rsidP="004330B1">
      <w:pPr>
        <w:pStyle w:val="ListParagraph"/>
        <w:numPr>
          <w:ilvl w:val="0"/>
          <w:numId w:val="23"/>
        </w:numPr>
        <w:jc w:val="left"/>
      </w:pPr>
      <w:r w:rsidRPr="005961F4">
        <w:t xml:space="preserve">ICO (2016) ‘TalkTalk cyber attack – how the ICO’s investigation unfolded’ 2 November. Available at: </w:t>
      </w:r>
      <w:r w:rsidRPr="008A6E8A">
        <w:rPr>
          <w:color w:val="8EAADB" w:themeColor="accent1" w:themeTint="99"/>
        </w:rPr>
        <w:t xml:space="preserve">https://ico.org.uk/about-the-ico/news-and-events/talktalk-cyber-attack-how-the-ico-investigation-unfolded </w:t>
      </w:r>
      <w:r w:rsidRPr="005961F4">
        <w:t>(Accessed: 28 April 2022)</w:t>
      </w:r>
    </w:p>
    <w:p w14:paraId="3A4399AE" w14:textId="6D18F3B9" w:rsidR="00146D4E" w:rsidRPr="005961F4" w:rsidRDefault="00146D4E" w:rsidP="004330B1">
      <w:pPr>
        <w:pStyle w:val="ListParagraph"/>
        <w:numPr>
          <w:ilvl w:val="0"/>
          <w:numId w:val="23"/>
        </w:numPr>
        <w:jc w:val="left"/>
      </w:pPr>
      <w:r w:rsidRPr="005961F4">
        <w:t>BBC (2020) ‘</w:t>
      </w:r>
      <w:r w:rsidR="009D0180" w:rsidRPr="005961F4">
        <w:t>TalkTalk hack ‘affected 157,000 customers’</w:t>
      </w:r>
      <w:r w:rsidRPr="005961F4">
        <w:t xml:space="preserve">’, </w:t>
      </w:r>
      <w:r w:rsidR="00D93F3A" w:rsidRPr="005961F4">
        <w:rPr>
          <w:i/>
          <w:iCs/>
        </w:rPr>
        <w:t>BBC News</w:t>
      </w:r>
      <w:r w:rsidRPr="005961F4">
        <w:t xml:space="preserve">, 6 </w:t>
      </w:r>
      <w:r w:rsidR="001371B1" w:rsidRPr="005961F4">
        <w:t>Novem</w:t>
      </w:r>
      <w:r w:rsidRPr="005961F4">
        <w:t xml:space="preserve">ber. Available at:  </w:t>
      </w:r>
      <w:r w:rsidR="001371B1" w:rsidRPr="008A6E8A">
        <w:rPr>
          <w:color w:val="8EAADB" w:themeColor="accent1" w:themeTint="99"/>
        </w:rPr>
        <w:t>https://www.bbc.co.uk/news/business-34743185</w:t>
      </w:r>
      <w:r w:rsidR="001371B1" w:rsidRPr="005961F4">
        <w:rPr>
          <w:color w:val="7F7F7F" w:themeColor="text1" w:themeTint="80"/>
        </w:rPr>
        <w:t xml:space="preserve"> </w:t>
      </w:r>
      <w:r w:rsidRPr="005961F4">
        <w:t>(Accessed: 28 April 2022)</w:t>
      </w:r>
    </w:p>
    <w:p w14:paraId="33AC0FD7" w14:textId="442E7380" w:rsidR="009D7A78" w:rsidRPr="005961F4" w:rsidRDefault="00F367DF" w:rsidP="004330B1">
      <w:pPr>
        <w:pStyle w:val="ListParagraph"/>
        <w:numPr>
          <w:ilvl w:val="0"/>
          <w:numId w:val="23"/>
        </w:numPr>
        <w:jc w:val="left"/>
      </w:pPr>
      <w:r w:rsidRPr="005961F4">
        <w:t xml:space="preserve">TalkTalk Telecom Group PLC (2014) Annual Report 2014. Available at: </w:t>
      </w:r>
      <w:r w:rsidRPr="008A6E8A">
        <w:rPr>
          <w:color w:val="8EAADB" w:themeColor="accent1" w:themeTint="99"/>
        </w:rPr>
        <w:t>https://www.talktalkgroup.com/dam/jcr:9cdfcf7c-e7d9-4fb3-994d-2b9deade9cc0/4%20TalkTalk%20Annual%20Report%202014.pdf</w:t>
      </w:r>
      <w:r w:rsidRPr="005961F4">
        <w:rPr>
          <w:color w:val="7F7F7F" w:themeColor="text1" w:themeTint="80"/>
        </w:rPr>
        <w:t xml:space="preserve"> </w:t>
      </w:r>
      <w:r w:rsidRPr="005961F4">
        <w:t>(Accessed: 29 April 2022)</w:t>
      </w:r>
    </w:p>
    <w:p w14:paraId="73698E93" w14:textId="0C02E48D" w:rsidR="00F367DF" w:rsidRPr="005961F4" w:rsidRDefault="004A4726" w:rsidP="004330B1">
      <w:pPr>
        <w:pStyle w:val="ListParagraph"/>
        <w:numPr>
          <w:ilvl w:val="0"/>
          <w:numId w:val="23"/>
        </w:numPr>
        <w:jc w:val="left"/>
      </w:pPr>
      <w:r w:rsidRPr="005961F4">
        <w:t>ICO</w:t>
      </w:r>
      <w:r w:rsidR="002E1024" w:rsidRPr="005961F4">
        <w:t xml:space="preserve"> </w:t>
      </w:r>
      <w:r w:rsidR="00524B5C" w:rsidRPr="005961F4">
        <w:t>(</w:t>
      </w:r>
      <w:r w:rsidR="00E45BBF" w:rsidRPr="005961F4">
        <w:t>2020</w:t>
      </w:r>
      <w:r w:rsidR="009D7A78" w:rsidRPr="005961F4">
        <w:t>a</w:t>
      </w:r>
      <w:r w:rsidR="003C72AC" w:rsidRPr="005961F4">
        <w:t xml:space="preserve">) </w:t>
      </w:r>
      <w:r w:rsidR="003A04AF" w:rsidRPr="005961F4">
        <w:t>‘ICO fines British Airways £20m for data breach affecting more than 400,000 customers’</w:t>
      </w:r>
      <w:r w:rsidR="008B5504" w:rsidRPr="005961F4">
        <w:t xml:space="preserve"> </w:t>
      </w:r>
      <w:r w:rsidR="00E45BBF" w:rsidRPr="005961F4">
        <w:t>16 October</w:t>
      </w:r>
      <w:r w:rsidR="000559E3" w:rsidRPr="005961F4">
        <w:t xml:space="preserve">. Available at: </w:t>
      </w:r>
      <w:r w:rsidR="009C0A6C" w:rsidRPr="008A6E8A">
        <w:rPr>
          <w:color w:val="8EAADB" w:themeColor="accent1" w:themeTint="99"/>
        </w:rPr>
        <w:t>https://</w:t>
      </w:r>
      <w:r w:rsidR="009D7A78" w:rsidRPr="008A6E8A">
        <w:rPr>
          <w:color w:val="8EAADB" w:themeColor="accent1" w:themeTint="99"/>
        </w:rPr>
        <w:t>a</w:t>
      </w:r>
      <w:r w:rsidR="009C0A6C" w:rsidRPr="008A6E8A">
        <w:rPr>
          <w:color w:val="8EAADB" w:themeColor="accent1" w:themeTint="99"/>
        </w:rPr>
        <w:t>ico.org.uk/about-the-ico/news-and-events/news-</w:t>
      </w:r>
      <w:r w:rsidR="009C0A6C" w:rsidRPr="008A6E8A">
        <w:rPr>
          <w:color w:val="8EAADB" w:themeColor="accent1" w:themeTint="99"/>
        </w:rPr>
        <w:lastRenderedPageBreak/>
        <w:t>and-blogs/2020/10/ico-fines-british-airways-20m-for-data-breach-affecting-more-than-400-000-customers</w:t>
      </w:r>
      <w:r w:rsidR="00E1287C" w:rsidRPr="008A6E8A">
        <w:rPr>
          <w:color w:val="8EAADB" w:themeColor="accent1" w:themeTint="99"/>
        </w:rPr>
        <w:t xml:space="preserve"> </w:t>
      </w:r>
      <w:r w:rsidR="00E1287C" w:rsidRPr="005961F4">
        <w:t>(Accessed</w:t>
      </w:r>
      <w:r w:rsidR="000B4B1E" w:rsidRPr="005961F4">
        <w:t>:</w:t>
      </w:r>
      <w:r w:rsidR="00E1287C" w:rsidRPr="005961F4">
        <w:t xml:space="preserve"> </w:t>
      </w:r>
      <w:r w:rsidR="00F46485" w:rsidRPr="005961F4">
        <w:t>2</w:t>
      </w:r>
      <w:r w:rsidR="00493687" w:rsidRPr="005961F4">
        <w:t xml:space="preserve">7 </w:t>
      </w:r>
      <w:r w:rsidR="0002308B" w:rsidRPr="005961F4">
        <w:t>April</w:t>
      </w:r>
      <w:r w:rsidR="00493687" w:rsidRPr="005961F4">
        <w:t xml:space="preserve"> 2022)</w:t>
      </w:r>
    </w:p>
    <w:p w14:paraId="29B6FB9F" w14:textId="70D08219" w:rsidR="007F56DD" w:rsidRPr="005961F4" w:rsidRDefault="007F56DD" w:rsidP="004330B1">
      <w:pPr>
        <w:pStyle w:val="ListParagraph"/>
        <w:numPr>
          <w:ilvl w:val="0"/>
          <w:numId w:val="23"/>
        </w:numPr>
        <w:jc w:val="left"/>
      </w:pPr>
      <w:r w:rsidRPr="005961F4">
        <w:t xml:space="preserve">Topham G. (2020) ‘BA fined record £20m for customer data breach’, </w:t>
      </w:r>
      <w:r w:rsidRPr="005961F4">
        <w:rPr>
          <w:i/>
          <w:iCs/>
        </w:rPr>
        <w:t>The Guardian</w:t>
      </w:r>
      <w:r w:rsidRPr="005961F4">
        <w:t xml:space="preserve">, 16 October. Available at:  </w:t>
      </w:r>
      <w:r w:rsidRPr="008A6E8A">
        <w:rPr>
          <w:color w:val="8EAADB" w:themeColor="accent1" w:themeTint="99"/>
        </w:rPr>
        <w:t xml:space="preserve">https://www.theguardian.com/business/2020/oct/16/ba-fined-record-20m-for-customer-data-breach </w:t>
      </w:r>
      <w:r w:rsidRPr="005961F4">
        <w:t>(Accessed: 28 April 2022)</w:t>
      </w:r>
    </w:p>
    <w:p w14:paraId="31B6CF49" w14:textId="1E391A16" w:rsidR="00FC65C0" w:rsidRPr="005961F4" w:rsidRDefault="007F56DD" w:rsidP="004330B1">
      <w:pPr>
        <w:pStyle w:val="ListParagraph"/>
        <w:numPr>
          <w:ilvl w:val="0"/>
          <w:numId w:val="23"/>
        </w:numPr>
        <w:jc w:val="left"/>
      </w:pPr>
      <w:r w:rsidRPr="005961F4">
        <w:t xml:space="preserve">British Airways PLC (2019) Annual Report and Accounts 2019. Available at: </w:t>
      </w:r>
      <w:r w:rsidRPr="008A6E8A">
        <w:rPr>
          <w:color w:val="8EAADB" w:themeColor="accent1" w:themeTint="99"/>
        </w:rPr>
        <w:t xml:space="preserve">https://www.iairgroup.com/~/media/Files/I/IAG/documents/British%20Airways%20Plc%20Annual%20Report%20and%20Accounts%202019.pdf </w:t>
      </w:r>
      <w:r w:rsidRPr="005961F4">
        <w:t>(Accessed: 29 April 2022)</w:t>
      </w:r>
    </w:p>
    <w:p w14:paraId="28E61C46" w14:textId="77777777" w:rsidR="00F1704A" w:rsidRPr="005961F4" w:rsidRDefault="00F1704A" w:rsidP="004330B1">
      <w:pPr>
        <w:pStyle w:val="ListParagraph"/>
        <w:numPr>
          <w:ilvl w:val="0"/>
          <w:numId w:val="23"/>
        </w:numPr>
        <w:jc w:val="left"/>
      </w:pPr>
      <w:r w:rsidRPr="005961F4">
        <w:t xml:space="preserve">ICO (2020b) ‘ICO fines Marriott International Inc £18.4million for failing to keep customers’ personal data secure’ 30 October. Available at: </w:t>
      </w:r>
      <w:r w:rsidRPr="008A6E8A">
        <w:rPr>
          <w:color w:val="8EAADB" w:themeColor="accent1" w:themeTint="99"/>
        </w:rPr>
        <w:t xml:space="preserve">https://ico.org.uk/about-the-ico/news-and-events/news-and-blogs/2020/10/ico-fines-marriott-international-inc-184million-for-failing-to-keep-customers-personal-data-secure </w:t>
      </w:r>
      <w:r w:rsidRPr="005961F4">
        <w:t>(Accessed: 27 April 2022)</w:t>
      </w:r>
    </w:p>
    <w:p w14:paraId="153F8B9B" w14:textId="655A6D02" w:rsidR="006845E6" w:rsidRPr="005961F4" w:rsidRDefault="001B6AEA" w:rsidP="004330B1">
      <w:pPr>
        <w:pStyle w:val="ListParagraph"/>
        <w:numPr>
          <w:ilvl w:val="0"/>
          <w:numId w:val="23"/>
        </w:numPr>
        <w:jc w:val="left"/>
      </w:pPr>
      <w:r w:rsidRPr="005961F4">
        <w:t>Marriott International Ltd.</w:t>
      </w:r>
      <w:r w:rsidR="00FC65C0" w:rsidRPr="005961F4">
        <w:t xml:space="preserve"> (201</w:t>
      </w:r>
      <w:r w:rsidR="008E0D4F" w:rsidRPr="005961F4">
        <w:t>9</w:t>
      </w:r>
      <w:r w:rsidR="00FC65C0" w:rsidRPr="005961F4">
        <w:t xml:space="preserve">) </w:t>
      </w:r>
      <w:r w:rsidR="008E0D4F" w:rsidRPr="005961F4">
        <w:t xml:space="preserve">2019 </w:t>
      </w:r>
      <w:r w:rsidR="00FC65C0" w:rsidRPr="005961F4">
        <w:t xml:space="preserve">Annual Report. Available at: </w:t>
      </w:r>
      <w:r w:rsidR="008E0D4F" w:rsidRPr="008A6E8A">
        <w:rPr>
          <w:color w:val="8EAADB" w:themeColor="accent1" w:themeTint="99"/>
        </w:rPr>
        <w:t xml:space="preserve">https://marriott.gcs-web.com/static-files/178683c9-c9d9-47b0-b115-726588f43130#:~:text=In%202019%2C%20gross%20fee%20revenue,strong%20existing%20premium%20to%20competitors </w:t>
      </w:r>
      <w:r w:rsidR="00FC65C0" w:rsidRPr="005961F4">
        <w:t xml:space="preserve">(Accessed: </w:t>
      </w:r>
      <w:r w:rsidR="004A3B1E" w:rsidRPr="005961F4">
        <w:t>29</w:t>
      </w:r>
      <w:r w:rsidR="00FC65C0" w:rsidRPr="005961F4">
        <w:t xml:space="preserve"> April 2022)</w:t>
      </w:r>
    </w:p>
    <w:p w14:paraId="5914CD0D" w14:textId="328ABF8B" w:rsidR="00EB5DDA" w:rsidRPr="005961F4" w:rsidRDefault="00AE0CE0" w:rsidP="004330B1">
      <w:pPr>
        <w:pStyle w:val="ListParagraph"/>
        <w:numPr>
          <w:ilvl w:val="0"/>
          <w:numId w:val="23"/>
        </w:numPr>
        <w:jc w:val="left"/>
      </w:pPr>
      <w:r w:rsidRPr="005961F4">
        <w:t>DCMS (</w:t>
      </w:r>
      <w:r w:rsidR="00D664C3" w:rsidRPr="005961F4">
        <w:t>2018</w:t>
      </w:r>
      <w:r w:rsidRPr="005961F4">
        <w:t xml:space="preserve">) </w:t>
      </w:r>
      <w:r w:rsidR="00D664C3" w:rsidRPr="005961F4">
        <w:rPr>
          <w:i/>
          <w:iCs/>
        </w:rPr>
        <w:t>Data Protection Act 2018 Factsheet – The Information Commissioner and Enforcement</w:t>
      </w:r>
      <w:r w:rsidR="00436939" w:rsidRPr="005961F4">
        <w:rPr>
          <w:i/>
          <w:iCs/>
        </w:rPr>
        <w:t xml:space="preserve"> (Sections 114-181)</w:t>
      </w:r>
      <w:r w:rsidRPr="005961F4">
        <w:t xml:space="preserve"> Available at: </w:t>
      </w:r>
      <w:r w:rsidR="00436939" w:rsidRPr="008A6E8A">
        <w:rPr>
          <w:color w:val="8EAADB" w:themeColor="accent1" w:themeTint="99"/>
        </w:rPr>
        <w:t xml:space="preserve">https://assets.publishing.service.gov.uk/government/uploads/system/uploads/attachment_data/file/711238/2018-05-23_Factsheet_5_-_Information_Commissioner.pdf </w:t>
      </w:r>
      <w:r w:rsidRPr="005961F4">
        <w:t xml:space="preserve">(Accessed: </w:t>
      </w:r>
      <w:r w:rsidR="00436939" w:rsidRPr="005961F4">
        <w:t>29 April 2022</w:t>
      </w:r>
      <w:r w:rsidRPr="005961F4">
        <w:t>)</w:t>
      </w:r>
    </w:p>
    <w:p w14:paraId="7F43F6DD" w14:textId="77777777" w:rsidR="006845E6" w:rsidRPr="005961F4" w:rsidRDefault="007F76E2" w:rsidP="004330B1">
      <w:pPr>
        <w:pStyle w:val="ListParagraph"/>
        <w:numPr>
          <w:ilvl w:val="0"/>
          <w:numId w:val="23"/>
        </w:numPr>
        <w:jc w:val="left"/>
      </w:pPr>
      <w:r w:rsidRPr="005961F4">
        <w:t xml:space="preserve">Open Banking Implementation </w:t>
      </w:r>
      <w:r w:rsidR="00B77EA9" w:rsidRPr="005961F4">
        <w:t>Entity</w:t>
      </w:r>
      <w:r w:rsidRPr="005961F4">
        <w:t xml:space="preserve"> (2021) </w:t>
      </w:r>
      <w:r w:rsidR="000872F5" w:rsidRPr="005961F4">
        <w:t>Regulatory</w:t>
      </w:r>
      <w:r w:rsidRPr="005961F4">
        <w:t xml:space="preserve">. Available at: </w:t>
      </w:r>
      <w:r w:rsidR="000872F5" w:rsidRPr="005961F4">
        <w:rPr>
          <w:color w:val="7F7F7F" w:themeColor="text1" w:themeTint="80"/>
        </w:rPr>
        <w:t xml:space="preserve">https://www.openbanking.org.uk/regulatory </w:t>
      </w:r>
      <w:r w:rsidRPr="005961F4">
        <w:t>(Accessed: 2</w:t>
      </w:r>
      <w:r w:rsidR="000872F5" w:rsidRPr="005961F4">
        <w:t>9</w:t>
      </w:r>
      <w:r w:rsidRPr="005961F4">
        <w:t xml:space="preserve"> April 2022</w:t>
      </w:r>
      <w:r w:rsidR="006845E6" w:rsidRPr="005961F4">
        <w:t>)</w:t>
      </w:r>
    </w:p>
    <w:p w14:paraId="0151DF9F" w14:textId="7382E2CE" w:rsidR="00FC65C0" w:rsidRPr="005961F4" w:rsidRDefault="00485A17" w:rsidP="004330B1">
      <w:pPr>
        <w:pStyle w:val="ListParagraph"/>
        <w:numPr>
          <w:ilvl w:val="0"/>
          <w:numId w:val="23"/>
        </w:numPr>
        <w:jc w:val="left"/>
      </w:pPr>
      <w:r w:rsidRPr="005961F4">
        <w:t>Competition</w:t>
      </w:r>
      <w:r w:rsidR="00B21CC1" w:rsidRPr="005961F4">
        <w:t xml:space="preserve"> &amp; Markets Authority</w:t>
      </w:r>
      <w:r w:rsidR="002A105F" w:rsidRPr="005961F4">
        <w:t xml:space="preserve"> (2021) </w:t>
      </w:r>
      <w:r w:rsidR="00717ECA" w:rsidRPr="005961F4">
        <w:t>Update on Open Banking</w:t>
      </w:r>
      <w:r w:rsidR="002A105F" w:rsidRPr="005961F4">
        <w:t>.</w:t>
      </w:r>
      <w:r w:rsidR="00717ECA" w:rsidRPr="005961F4">
        <w:t xml:space="preserve"> 5 November</w:t>
      </w:r>
      <w:r w:rsidR="002A105F" w:rsidRPr="005961F4">
        <w:t xml:space="preserve"> Available at: </w:t>
      </w:r>
      <w:r w:rsidR="00717ECA" w:rsidRPr="008A6E8A">
        <w:rPr>
          <w:color w:val="8EAADB" w:themeColor="accent1" w:themeTint="99"/>
        </w:rPr>
        <w:t xml:space="preserve">https://www.gov.uk/government/publications/update-governance-of-open-banking/update-on-open-banking </w:t>
      </w:r>
      <w:r w:rsidR="002A105F" w:rsidRPr="005961F4">
        <w:t>(Accessed: 29 April 2022)</w:t>
      </w:r>
    </w:p>
    <w:sectPr w:rsidR="00FC65C0" w:rsidRPr="005961F4" w:rsidSect="00CC432D">
      <w:headerReference w:type="default" r:id="rId14"/>
      <w:footerReference w:type="default" r:id="rId15"/>
      <w:headerReference w:type="first" r:id="rId16"/>
      <w:footerReference w:type="first" r:id="rId17"/>
      <w:pgSz w:w="11906" w:h="16838"/>
      <w:pgMar w:top="1440" w:right="1440" w:bottom="1440" w:left="1440"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07F3" w14:textId="77777777" w:rsidR="00764BC0" w:rsidRDefault="00764BC0" w:rsidP="00A22BE8">
      <w:r>
        <w:separator/>
      </w:r>
    </w:p>
  </w:endnote>
  <w:endnote w:type="continuationSeparator" w:id="0">
    <w:p w14:paraId="0078F281" w14:textId="77777777" w:rsidR="00764BC0" w:rsidRDefault="00764BC0" w:rsidP="00A22BE8">
      <w:r>
        <w:continuationSeparator/>
      </w:r>
    </w:p>
  </w:endnote>
  <w:endnote w:type="continuationNotice" w:id="1">
    <w:p w14:paraId="6D7311F3" w14:textId="77777777" w:rsidR="00764BC0" w:rsidRDefault="00764BC0" w:rsidP="00A22B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Pro">
    <w:altName w:val="Verdana Pro"/>
    <w:panose1 w:val="020B0604030504040204"/>
    <w:charset w:val="00"/>
    <w:family w:val="swiss"/>
    <w:pitch w:val="variable"/>
    <w:sig w:usb0="80000287" w:usb1="0000004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01345"/>
      <w:docPartObj>
        <w:docPartGallery w:val="Page Numbers (Bottom of Page)"/>
        <w:docPartUnique/>
      </w:docPartObj>
    </w:sdtPr>
    <w:sdtEndPr>
      <w:rPr>
        <w:noProof/>
      </w:rPr>
    </w:sdtEndPr>
    <w:sdtContent>
      <w:p w14:paraId="2F2A8E9C" w14:textId="35AA7ACC" w:rsidR="00E47AE6" w:rsidRDefault="00E47AE6">
        <w:pPr>
          <w:pStyle w:val="Footer"/>
        </w:pPr>
        <w:r w:rsidRPr="0055600B">
          <w:rPr>
            <w:color w:val="1F3864" w:themeColor="accent1" w:themeShade="80"/>
          </w:rPr>
          <w:fldChar w:fldCharType="begin"/>
        </w:r>
        <w:r w:rsidRPr="0055600B">
          <w:rPr>
            <w:color w:val="1F3864" w:themeColor="accent1" w:themeShade="80"/>
          </w:rPr>
          <w:instrText xml:space="preserve"> PAGE   \* MERGEFORMAT </w:instrText>
        </w:r>
        <w:r w:rsidRPr="0055600B">
          <w:rPr>
            <w:color w:val="1F3864" w:themeColor="accent1" w:themeShade="80"/>
          </w:rPr>
          <w:fldChar w:fldCharType="separate"/>
        </w:r>
        <w:r w:rsidRPr="0055600B">
          <w:rPr>
            <w:noProof/>
            <w:color w:val="1F3864" w:themeColor="accent1" w:themeShade="80"/>
          </w:rPr>
          <w:t>2</w:t>
        </w:r>
        <w:r w:rsidRPr="0055600B">
          <w:rPr>
            <w:noProof/>
            <w:color w:val="1F3864" w:themeColor="accent1" w:themeShade="80"/>
          </w:rPr>
          <w:fldChar w:fldCharType="end"/>
        </w:r>
        <w:r w:rsidRPr="0055600B">
          <w:rPr>
            <w:noProof/>
            <w:color w:val="1F3864" w:themeColor="accent1" w:themeShade="80"/>
          </w:rPr>
          <w:t xml:space="preserve"> </w:t>
        </w:r>
        <w:r w:rsidRPr="0055600B">
          <w:rPr>
            <w:noProof/>
            <w:color w:val="2F5496" w:themeColor="accent1" w:themeShade="BF"/>
          </w:rPr>
          <w:t>| Page</w:t>
        </w:r>
      </w:p>
    </w:sdtContent>
  </w:sdt>
  <w:p w14:paraId="35B2631D" w14:textId="77777777" w:rsidR="00BF45A5" w:rsidRDefault="00BF4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328688"/>
      <w:docPartObj>
        <w:docPartGallery w:val="Page Numbers (Bottom of Page)"/>
        <w:docPartUnique/>
      </w:docPartObj>
    </w:sdtPr>
    <w:sdtEndPr/>
    <w:sdtContent>
      <w:p w14:paraId="5F123EDA" w14:textId="52144FB0" w:rsidR="00135756" w:rsidRDefault="00135756">
        <w:pPr>
          <w:pStyle w:val="Footer"/>
          <w:jc w:val="right"/>
        </w:pPr>
        <w:r>
          <w:t>Page |</w:t>
        </w:r>
        <w:r w:rsidRPr="00135756">
          <w:rPr>
            <w:color w:val="2F5496" w:themeColor="accent1" w:themeShade="BF"/>
          </w:rPr>
          <w:t xml:space="preserve"> </w:t>
        </w:r>
        <w:r w:rsidRPr="00135756">
          <w:rPr>
            <w:color w:val="2F5496" w:themeColor="accent1" w:themeShade="BF"/>
          </w:rPr>
          <w:fldChar w:fldCharType="begin"/>
        </w:r>
        <w:r w:rsidRPr="00135756">
          <w:rPr>
            <w:color w:val="2F5496" w:themeColor="accent1" w:themeShade="BF"/>
          </w:rPr>
          <w:instrText xml:space="preserve"> PAGE   \* MERGEFORMAT </w:instrText>
        </w:r>
        <w:r w:rsidRPr="00135756">
          <w:rPr>
            <w:color w:val="2F5496" w:themeColor="accent1" w:themeShade="BF"/>
          </w:rPr>
          <w:fldChar w:fldCharType="separate"/>
        </w:r>
        <w:r w:rsidRPr="00135756">
          <w:rPr>
            <w:noProof/>
            <w:color w:val="2F5496" w:themeColor="accent1" w:themeShade="BF"/>
          </w:rPr>
          <w:t>2</w:t>
        </w:r>
        <w:r w:rsidRPr="00135756">
          <w:rPr>
            <w:noProof/>
            <w:color w:val="2F5496" w:themeColor="accent1" w:themeShade="BF"/>
          </w:rPr>
          <w:fldChar w:fldCharType="end"/>
        </w:r>
        <w:r w:rsidRPr="00135756">
          <w:rPr>
            <w:color w:val="2F5496" w:themeColor="accent1" w:themeShade="BF"/>
          </w:rPr>
          <w:t xml:space="preserve"> </w:t>
        </w:r>
      </w:p>
    </w:sdtContent>
  </w:sdt>
  <w:p w14:paraId="349174B5" w14:textId="77777777" w:rsidR="00BF45A5" w:rsidRDefault="00BF4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49220"/>
      <w:docPartObj>
        <w:docPartGallery w:val="Page Numbers (Bottom of Page)"/>
        <w:docPartUnique/>
      </w:docPartObj>
    </w:sdtPr>
    <w:sdtEndPr>
      <w:rPr>
        <w:noProof/>
      </w:rPr>
    </w:sdtEndPr>
    <w:sdtContent>
      <w:sdt>
        <w:sdtPr>
          <w:id w:val="1621959702"/>
          <w:docPartObj>
            <w:docPartGallery w:val="Page Numbers (Bottom of Page)"/>
            <w:docPartUnique/>
          </w:docPartObj>
        </w:sdtPr>
        <w:sdtEndPr/>
        <w:sdtContent>
          <w:p w14:paraId="1555EC17" w14:textId="5E3F9A87" w:rsidR="00135D91" w:rsidRDefault="00135D91" w:rsidP="00135D91">
            <w:pPr>
              <w:pStyle w:val="Footer"/>
              <w:jc w:val="right"/>
            </w:pPr>
            <w:r>
              <w:t>Page |</w:t>
            </w:r>
            <w:r w:rsidRPr="00135756">
              <w:rPr>
                <w:color w:val="2F5496" w:themeColor="accent1" w:themeShade="BF"/>
              </w:rPr>
              <w:t xml:space="preserve"> </w:t>
            </w:r>
            <w:r w:rsidRPr="00135756">
              <w:rPr>
                <w:color w:val="2F5496" w:themeColor="accent1" w:themeShade="BF"/>
              </w:rPr>
              <w:fldChar w:fldCharType="begin"/>
            </w:r>
            <w:r w:rsidRPr="00135756">
              <w:rPr>
                <w:color w:val="2F5496" w:themeColor="accent1" w:themeShade="BF"/>
              </w:rPr>
              <w:instrText xml:space="preserve"> PAGE   \* MERGEFORMAT </w:instrText>
            </w:r>
            <w:r w:rsidRPr="00135756">
              <w:rPr>
                <w:color w:val="2F5496" w:themeColor="accent1" w:themeShade="BF"/>
              </w:rPr>
              <w:fldChar w:fldCharType="separate"/>
            </w:r>
            <w:r>
              <w:rPr>
                <w:color w:val="2F5496" w:themeColor="accent1" w:themeShade="BF"/>
              </w:rPr>
              <w:t>2</w:t>
            </w:r>
            <w:r w:rsidRPr="00135756">
              <w:rPr>
                <w:noProof/>
                <w:color w:val="2F5496" w:themeColor="accent1" w:themeShade="BF"/>
              </w:rPr>
              <w:fldChar w:fldCharType="end"/>
            </w:r>
          </w:p>
        </w:sdtContent>
      </w:sdt>
    </w:sdtContent>
  </w:sdt>
  <w:p w14:paraId="71565179" w14:textId="77777777" w:rsidR="00135D91" w:rsidRDefault="00135D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402404"/>
      <w:docPartObj>
        <w:docPartGallery w:val="Page Numbers (Bottom of Page)"/>
        <w:docPartUnique/>
      </w:docPartObj>
    </w:sdtPr>
    <w:sdtEndPr>
      <w:rPr>
        <w:noProof/>
      </w:rPr>
    </w:sdtEndPr>
    <w:sdtContent>
      <w:p w14:paraId="10FB7500" w14:textId="20F3F43C" w:rsidR="00E07FB1" w:rsidRDefault="00E07F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3095DB" w14:textId="77777777" w:rsidR="00E07FB1" w:rsidRDefault="00E07FB1" w:rsidP="00E07FB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203062"/>
      <w:docPartObj>
        <w:docPartGallery w:val="Page Numbers (Bottom of Page)"/>
        <w:docPartUnique/>
      </w:docPartObj>
    </w:sdtPr>
    <w:sdtEndPr>
      <w:rPr>
        <w:noProof/>
      </w:rPr>
    </w:sdtEndPr>
    <w:sdtContent>
      <w:p w14:paraId="4AFEC04C" w14:textId="1941FD78" w:rsidR="00634F3F" w:rsidRDefault="00634F3F" w:rsidP="00634F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252E17" w14:textId="77777777" w:rsidR="00135756" w:rsidRDefault="001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BA4F" w14:textId="77777777" w:rsidR="00764BC0" w:rsidRDefault="00764BC0" w:rsidP="00A22BE8">
      <w:r>
        <w:separator/>
      </w:r>
    </w:p>
  </w:footnote>
  <w:footnote w:type="continuationSeparator" w:id="0">
    <w:p w14:paraId="723BC14E" w14:textId="77777777" w:rsidR="00764BC0" w:rsidRDefault="00764BC0" w:rsidP="00A22BE8">
      <w:r>
        <w:continuationSeparator/>
      </w:r>
    </w:p>
  </w:footnote>
  <w:footnote w:type="continuationNotice" w:id="1">
    <w:p w14:paraId="66232C9C" w14:textId="77777777" w:rsidR="00764BC0" w:rsidRDefault="00764BC0" w:rsidP="00A22BE8"/>
  </w:footnote>
  <w:footnote w:id="2">
    <w:p w14:paraId="4A66FBE9" w14:textId="639DDE22" w:rsidR="002E32E2" w:rsidRDefault="002E32E2">
      <w:pPr>
        <w:pStyle w:val="FootnoteText"/>
      </w:pPr>
      <w:r>
        <w:rPr>
          <w:rStyle w:val="FootnoteReference"/>
        </w:rPr>
        <w:footnoteRef/>
      </w:r>
      <w:r>
        <w:t xml:space="preserve"> </w:t>
      </w:r>
      <w:r w:rsidRPr="002E32E2">
        <w:t>Convention for the Protection of Individuals with regard to Automatic Processing of Personal Data</w:t>
      </w:r>
    </w:p>
  </w:footnote>
  <w:footnote w:id="3">
    <w:p w14:paraId="4C5FDBC9" w14:textId="7D217327" w:rsidR="00847947" w:rsidRDefault="00847947">
      <w:pPr>
        <w:pStyle w:val="FootnoteText"/>
      </w:pPr>
      <w:r>
        <w:rPr>
          <w:rStyle w:val="FootnoteReference"/>
        </w:rPr>
        <w:footnoteRef/>
      </w:r>
      <w:r>
        <w:t xml:space="preserve"> </w:t>
      </w:r>
      <w:r w:rsidR="009D3A4F">
        <w:t>M</w:t>
      </w:r>
      <w:r w:rsidR="00852F9A">
        <w:t>assive</w:t>
      </w:r>
      <w:r w:rsidR="00470F67">
        <w:t xml:space="preserve"> </w:t>
      </w:r>
      <w:r w:rsidR="00852F9A">
        <w:t>data sets</w:t>
      </w:r>
      <w:r w:rsidR="009D3A4F">
        <w:t xml:space="preserve">, </w:t>
      </w:r>
      <w:r w:rsidR="002061AF">
        <w:t>complex</w:t>
      </w:r>
      <w:r w:rsidR="009D3A4F">
        <w:t xml:space="preserve"> </w:t>
      </w:r>
      <w:r w:rsidR="003E6914">
        <w:t>beyond</w:t>
      </w:r>
      <w:r w:rsidR="00B336C4">
        <w:t xml:space="preserve"> the</w:t>
      </w:r>
      <w:r w:rsidR="003E6914">
        <w:t xml:space="preserve"> capabilities of standard software</w:t>
      </w:r>
      <w:r w:rsidR="009C195F">
        <w:t xml:space="preserve"> </w:t>
      </w:r>
      <w:r w:rsidR="005C7D5E" w:rsidRPr="00A66AC2">
        <w:rPr>
          <w:rStyle w:val="ReferenceChar"/>
        </w:rPr>
        <w:t>(</w:t>
      </w:r>
      <w:r w:rsidR="00684508" w:rsidRPr="00A66AC2">
        <w:rPr>
          <w:rStyle w:val="ReferenceChar"/>
        </w:rPr>
        <w:t>Snijders</w:t>
      </w:r>
      <w:r w:rsidR="00630EEE" w:rsidRPr="00A66AC2">
        <w:rPr>
          <w:rStyle w:val="ReferenceChar"/>
        </w:rPr>
        <w:t>, Matzat,</w:t>
      </w:r>
      <w:r w:rsidR="00084946" w:rsidRPr="00A66AC2">
        <w:rPr>
          <w:rStyle w:val="ReferenceChar"/>
        </w:rPr>
        <w:t xml:space="preserve"> and</w:t>
      </w:r>
      <w:r w:rsidR="00630EEE" w:rsidRPr="00A66AC2">
        <w:rPr>
          <w:rStyle w:val="ReferenceChar"/>
        </w:rPr>
        <w:t xml:space="preserve"> Reips</w:t>
      </w:r>
      <w:r w:rsidR="00F13417">
        <w:rPr>
          <w:rStyle w:val="ReferenceChar"/>
        </w:rPr>
        <w:t>,</w:t>
      </w:r>
      <w:r w:rsidR="00084946" w:rsidRPr="00A66AC2">
        <w:rPr>
          <w:rStyle w:val="ReferenceChar"/>
        </w:rPr>
        <w:t xml:space="preserve"> </w:t>
      </w:r>
      <w:r w:rsidR="00684508" w:rsidRPr="00A66AC2">
        <w:rPr>
          <w:rStyle w:val="ReferenceChar"/>
        </w:rPr>
        <w:t>2012)</w:t>
      </w:r>
      <w:r w:rsidR="009C195F">
        <w:t>.</w:t>
      </w:r>
    </w:p>
  </w:footnote>
  <w:footnote w:id="4">
    <w:p w14:paraId="3BFAD9F4" w14:textId="77777777" w:rsidR="00786E62" w:rsidRDefault="00786E62" w:rsidP="00786E62">
      <w:pPr>
        <w:pStyle w:val="FootnoteText"/>
      </w:pPr>
      <w:r>
        <w:rPr>
          <w:rStyle w:val="FootnoteReference"/>
        </w:rPr>
        <w:footnoteRef/>
      </w:r>
      <w:r>
        <w:t xml:space="preserve"> </w:t>
      </w:r>
      <w:r w:rsidRPr="00DE4021">
        <w:t>The Data Protection, Privacy and Electronic Communications (Amendments etc) (EU Exit) Regulations 2019</w:t>
      </w:r>
    </w:p>
  </w:footnote>
  <w:footnote w:id="5">
    <w:p w14:paraId="3FB0AC5B" w14:textId="6D56EC96" w:rsidR="007845F6" w:rsidRDefault="007845F6" w:rsidP="007845F6">
      <w:pPr>
        <w:pStyle w:val="FootnoteText"/>
      </w:pPr>
      <w:r>
        <w:rPr>
          <w:rStyle w:val="FootnoteReference"/>
        </w:rPr>
        <w:footnoteRef/>
      </w:r>
      <w:r>
        <w:t xml:space="preserve"> </w:t>
      </w:r>
      <w:r w:rsidRPr="0059055D">
        <w:t xml:space="preserve">Further rights around automated </w:t>
      </w:r>
      <w:r w:rsidR="005A489C">
        <w:t>data</w:t>
      </w:r>
      <w:r w:rsidRPr="0059055D">
        <w:t xml:space="preserve"> processing are outlined in </w:t>
      </w:r>
      <w:r w:rsidRPr="0059055D">
        <w:rPr>
          <w:i/>
          <w:iCs/>
        </w:rPr>
        <w:t>Article 22</w:t>
      </w:r>
      <w:r w:rsidRPr="0059055D">
        <w:t xml:space="preserve"> of the UK GDPR </w:t>
      </w:r>
      <w:r w:rsidR="005A489C">
        <w:t>including</w:t>
      </w:r>
      <w:r w:rsidRPr="0059055D">
        <w:t xml:space="preserve"> requirements for controllers to gain explicit consent before </w:t>
      </w:r>
      <w:r w:rsidR="00083023">
        <w:t xml:space="preserve">programmatically </w:t>
      </w:r>
      <w:r w:rsidRPr="0059055D">
        <w:t xml:space="preserve">evaluating </w:t>
      </w:r>
      <w:r w:rsidR="003303A2">
        <w:t>a subject’s</w:t>
      </w:r>
      <w:r w:rsidRPr="0059055D">
        <w:t xml:space="preserve"> data.</w:t>
      </w:r>
    </w:p>
  </w:footnote>
  <w:footnote w:id="6">
    <w:p w14:paraId="7E60610A" w14:textId="3BD087AF" w:rsidR="00672345" w:rsidRPr="00E43C97" w:rsidRDefault="00672345">
      <w:pPr>
        <w:pStyle w:val="FootnoteText"/>
        <w:rPr>
          <w:color w:val="000000" w:themeColor="text1"/>
        </w:rPr>
      </w:pPr>
      <w:r>
        <w:rPr>
          <w:rStyle w:val="FootnoteReference"/>
        </w:rPr>
        <w:footnoteRef/>
      </w:r>
      <w:r>
        <w:t xml:space="preserve"> For </w:t>
      </w:r>
      <w:r w:rsidR="00F1337C">
        <w:t xml:space="preserve">most </w:t>
      </w:r>
      <w:r w:rsidR="00CF0070">
        <w:t xml:space="preserve">requests, this service must be free </w:t>
      </w:r>
      <w:r w:rsidR="00966CEF">
        <w:t xml:space="preserve">of charge </w:t>
      </w:r>
      <w:r w:rsidR="003228AD">
        <w:t>unless</w:t>
      </w:r>
      <w:r w:rsidR="00FC1E49">
        <w:t xml:space="preserve"> </w:t>
      </w:r>
      <w:r w:rsidR="00527523">
        <w:t xml:space="preserve">multiple copies </w:t>
      </w:r>
      <w:r w:rsidR="00BB0DCA">
        <w:t>are requested</w:t>
      </w:r>
      <w:r w:rsidR="0087201F">
        <w:t>,</w:t>
      </w:r>
      <w:r w:rsidR="00BB0DCA">
        <w:t xml:space="preserve"> or </w:t>
      </w:r>
      <w:r w:rsidR="00C509C9">
        <w:t>requests</w:t>
      </w:r>
      <w:r w:rsidR="00F238FB">
        <w:t xml:space="preserve"> </w:t>
      </w:r>
      <w:r w:rsidR="003228AD">
        <w:t>become</w:t>
      </w:r>
      <w:r w:rsidR="00FC1E49" w:rsidRPr="00FC1E49">
        <w:t xml:space="preserve"> </w:t>
      </w:r>
      <w:r w:rsidR="00C509C9">
        <w:t>“</w:t>
      </w:r>
      <w:r w:rsidR="00FC1E49" w:rsidRPr="00FC1E49">
        <w:t>unfounded or excessive</w:t>
      </w:r>
      <w:r w:rsidR="00FC1E49">
        <w:t xml:space="preserve">” </w:t>
      </w:r>
      <w:r w:rsidR="00724E48" w:rsidRPr="00426D57">
        <w:rPr>
          <w:rStyle w:val="ReferenceChar"/>
        </w:rPr>
        <w:t>(UK GDPR</w:t>
      </w:r>
      <w:r w:rsidR="002573F2">
        <w:rPr>
          <w:rStyle w:val="ReferenceChar"/>
        </w:rPr>
        <w:t>,</w:t>
      </w:r>
      <w:r w:rsidR="008A4B82" w:rsidRPr="00426D57">
        <w:rPr>
          <w:rStyle w:val="ReferenceChar"/>
        </w:rPr>
        <w:t xml:space="preserve"> </w:t>
      </w:r>
      <w:r w:rsidR="00E831B3" w:rsidRPr="00426D57">
        <w:rPr>
          <w:rStyle w:val="ReferenceChar"/>
        </w:rPr>
        <w:t>2016, Article 12</w:t>
      </w:r>
      <w:r w:rsidR="000F56B4" w:rsidRPr="00426D57">
        <w:rPr>
          <w:rStyle w:val="ReferenceChar"/>
        </w:rPr>
        <w:t>(5)</w:t>
      </w:r>
      <w:r w:rsidR="00E831B3" w:rsidRPr="00426D57">
        <w:rPr>
          <w:rStyle w:val="ReferenceChar"/>
        </w:rPr>
        <w:t>)</w:t>
      </w:r>
      <w:r w:rsidR="0087201F">
        <w:rPr>
          <w:rStyle w:val="ReferenceChar"/>
        </w:rPr>
        <w:t>,</w:t>
      </w:r>
      <w:r w:rsidR="00E43C97">
        <w:rPr>
          <w:rStyle w:val="ReferenceChar"/>
          <w:i w:val="0"/>
          <w:iCs/>
        </w:rPr>
        <w:t xml:space="preserve"> </w:t>
      </w:r>
      <w:r w:rsidR="00E43C97" w:rsidRPr="00705DC9">
        <w:t xml:space="preserve">the controller </w:t>
      </w:r>
      <w:r w:rsidR="00C509C9">
        <w:t>can then</w:t>
      </w:r>
      <w:r w:rsidR="00E43C97" w:rsidRPr="00705DC9">
        <w:t xml:space="preserve"> refuse</w:t>
      </w:r>
      <w:r w:rsidR="00960EB8" w:rsidRPr="00705DC9">
        <w:t xml:space="preserve"> or charge for fulfilmen</w:t>
      </w:r>
      <w:r w:rsidR="00C509C9">
        <w:t>t</w:t>
      </w:r>
      <w:r w:rsidR="00960EB8" w:rsidRPr="00705DC9">
        <w:t>.</w:t>
      </w:r>
    </w:p>
  </w:footnote>
  <w:footnote w:id="7">
    <w:p w14:paraId="5F108B55" w14:textId="11F1F1F4" w:rsidR="0075267C" w:rsidRDefault="0075267C" w:rsidP="0075267C">
      <w:pPr>
        <w:pStyle w:val="FootnoteText"/>
      </w:pPr>
      <w:r>
        <w:rPr>
          <w:rStyle w:val="FootnoteReference"/>
        </w:rPr>
        <w:footnoteRef/>
      </w:r>
      <w:r>
        <w:t xml:space="preserve"> “</w:t>
      </w:r>
      <w:r w:rsidRPr="00776AB8">
        <w:rPr>
          <w:rFonts w:cstheme="minorHAnsi"/>
        </w:rPr>
        <w:t xml:space="preserve">A </w:t>
      </w:r>
      <w:r w:rsidRPr="00776AB8">
        <w:rPr>
          <w:rFonts w:cstheme="minorHAnsi"/>
          <w:color w:val="000000"/>
          <w:shd w:val="clear" w:color="auto" w:fill="FFFFFF"/>
        </w:rPr>
        <w:t>body corpora</w:t>
      </w:r>
      <w:r w:rsidR="00F1337C">
        <w:rPr>
          <w:rFonts w:cstheme="minorHAnsi"/>
          <w:color w:val="000000"/>
          <w:shd w:val="clear" w:color="auto" w:fill="FFFFFF"/>
        </w:rPr>
        <w:t>t</w:t>
      </w:r>
      <w:r w:rsidRPr="00776AB8">
        <w:rPr>
          <w:rFonts w:cstheme="minorHAnsi"/>
          <w:color w:val="000000"/>
          <w:shd w:val="clear" w:color="auto" w:fill="FFFFFF"/>
        </w:rPr>
        <w:t>e or partnership, or</w:t>
      </w:r>
      <w:r>
        <w:rPr>
          <w:rFonts w:cstheme="minorHAnsi"/>
          <w:color w:val="000000"/>
          <w:shd w:val="clear" w:color="auto" w:fill="FFFFFF"/>
        </w:rPr>
        <w:t xml:space="preserve"> …</w:t>
      </w:r>
      <w:r w:rsidRPr="00776AB8">
        <w:rPr>
          <w:rFonts w:cstheme="minorHAnsi"/>
          <w:color w:val="000000"/>
          <w:shd w:val="clear" w:color="auto" w:fill="FFFFFF"/>
        </w:rPr>
        <w:t xml:space="preserve"> an unincorporated association carrying on a trade or business, with or without a view to profit.</w:t>
      </w:r>
      <w:r>
        <w:rPr>
          <w:rFonts w:cstheme="minorHAnsi"/>
          <w:color w:val="000000"/>
          <w:shd w:val="clear" w:color="auto" w:fill="FFFFFF"/>
        </w:rPr>
        <w:t>”</w:t>
      </w:r>
      <w:r w:rsidRPr="008D086B">
        <w:rPr>
          <w:rStyle w:val="ReferenceChar"/>
          <w:rFonts w:cstheme="minorHAnsi"/>
        </w:rPr>
        <w:t xml:space="preserve"> </w:t>
      </w:r>
      <w:r w:rsidRPr="00776AB8">
        <w:rPr>
          <w:rStyle w:val="ReferenceChar"/>
          <w:rFonts w:cstheme="minorHAnsi"/>
        </w:rPr>
        <w:t>(Companies Act 2006</w:t>
      </w:r>
      <w:r>
        <w:rPr>
          <w:rStyle w:val="ReferenceChar"/>
          <w:rFonts w:cstheme="minorHAnsi"/>
        </w:rPr>
        <w:t>, Part 38 Section 1161</w:t>
      </w:r>
      <w:r w:rsidRPr="00776AB8">
        <w:rPr>
          <w:rStyle w:val="ReferenceChar"/>
          <w:rFonts w:cstheme="minorHAnsi"/>
        </w:rPr>
        <w:t>)</w:t>
      </w:r>
    </w:p>
  </w:footnote>
  <w:footnote w:id="8">
    <w:p w14:paraId="4E3F4286" w14:textId="7DDA3675" w:rsidR="00B6766B" w:rsidRDefault="00B6766B">
      <w:pPr>
        <w:pStyle w:val="FootnoteText"/>
      </w:pPr>
      <w:r>
        <w:rPr>
          <w:rStyle w:val="FootnoteReference"/>
        </w:rPr>
        <w:footnoteRef/>
      </w:r>
      <w:r>
        <w:t xml:space="preserve"> </w:t>
      </w:r>
      <w:r w:rsidR="00460404">
        <w:t xml:space="preserve">In </w:t>
      </w:r>
      <w:r w:rsidR="003D0414" w:rsidRPr="00C37880">
        <w:rPr>
          <w:i/>
          <w:iCs/>
        </w:rPr>
        <w:t>Part 6</w:t>
      </w:r>
      <w:r w:rsidR="00460404">
        <w:t xml:space="preserve"> of the DPA 2018</w:t>
      </w:r>
      <w:r w:rsidR="003D0414">
        <w:t xml:space="preserve">, </w:t>
      </w:r>
      <w:r w:rsidR="00C37880" w:rsidRPr="00C37880">
        <w:rPr>
          <w:i/>
          <w:iCs/>
        </w:rPr>
        <w:t xml:space="preserve">subsection </w:t>
      </w:r>
      <w:r w:rsidR="00691CF8">
        <w:rPr>
          <w:i/>
          <w:iCs/>
        </w:rPr>
        <w:t>1</w:t>
      </w:r>
      <w:r w:rsidR="00C37880" w:rsidRPr="00C37880">
        <w:rPr>
          <w:i/>
          <w:iCs/>
        </w:rPr>
        <w:t xml:space="preserve"> </w:t>
      </w:r>
      <w:r w:rsidR="00C37880" w:rsidRPr="00C37880">
        <w:t>of</w:t>
      </w:r>
      <w:r w:rsidR="00C37880" w:rsidRPr="00C37880">
        <w:rPr>
          <w:i/>
          <w:iCs/>
        </w:rPr>
        <w:t xml:space="preserve"> </w:t>
      </w:r>
      <w:r w:rsidR="003D0414" w:rsidRPr="00C37880">
        <w:rPr>
          <w:i/>
          <w:iCs/>
        </w:rPr>
        <w:t>Section 159</w:t>
      </w:r>
      <w:r w:rsidR="002D1193">
        <w:t xml:space="preserve"> (Penalty notices)</w:t>
      </w:r>
      <w:r w:rsidR="00934645">
        <w:t xml:space="preserve">, </w:t>
      </w:r>
      <w:r w:rsidR="00CD67FD">
        <w:t>refers</w:t>
      </w:r>
      <w:r w:rsidR="00307F88">
        <w:t xml:space="preserve"> to </w:t>
      </w:r>
      <w:r w:rsidR="00CD67FD">
        <w:t xml:space="preserve">failures detailed in </w:t>
      </w:r>
      <w:r w:rsidR="00460404" w:rsidRPr="002A0A14">
        <w:rPr>
          <w:i/>
          <w:iCs/>
        </w:rPr>
        <w:t xml:space="preserve">Section </w:t>
      </w:r>
      <w:r w:rsidR="002D1193" w:rsidRPr="002A0A14">
        <w:rPr>
          <w:i/>
          <w:iCs/>
        </w:rPr>
        <w:t>149</w:t>
      </w:r>
      <w:r w:rsidR="002D1193">
        <w:t xml:space="preserve"> (Enforcement notices</w:t>
      </w:r>
      <w:r w:rsidR="008D086B">
        <w:t>),</w:t>
      </w:r>
      <w:r w:rsidR="00776AB8">
        <w:t xml:space="preserve"> so </w:t>
      </w:r>
      <w:r w:rsidR="0077290A">
        <w:t>they are often served togethe</w:t>
      </w:r>
      <w:r w:rsidR="003B0336">
        <w:t>r</w:t>
      </w:r>
      <w:r w:rsidR="007729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E04D" w14:textId="0FFEEDAC" w:rsidR="00B00427" w:rsidRDefault="00B00427">
    <w:pPr>
      <w:pStyle w:val="Header"/>
    </w:pPr>
    <w:r>
      <w:t>CTEC1905</w:t>
    </w:r>
    <w:r>
      <w:tab/>
    </w:r>
    <w:sdt>
      <w:sdtPr>
        <w:alias w:val="Title"/>
        <w:tag w:val=""/>
        <w:id w:val="-13241884"/>
        <w:placeholder>
          <w:docPart w:val="7D64AD5A952C44608C146AB6E427CF78"/>
        </w:placeholder>
        <w:dataBinding w:prefixMappings="xmlns:ns0='http://purl.org/dc/elements/1.1/' xmlns:ns1='http://schemas.openxmlformats.org/package/2006/metadata/core-properties' " w:xpath="/ns1:coreProperties[1]/ns0:title[1]" w:storeItemID="{6C3C8BC8-F283-45AE-878A-BAB7291924A1}"/>
        <w:text/>
      </w:sdtPr>
      <w:sdtEndPr/>
      <w:sdtContent>
        <w:r w:rsidR="00520478">
          <w:t>Computer Law Assessment</w:t>
        </w:r>
      </w:sdtContent>
    </w:sdt>
    <w:r>
      <w:tab/>
    </w:r>
    <w:r w:rsidR="00520478">
      <w:t>Question 3</w:t>
    </w:r>
    <w:r w:rsidR="00520478">
      <w:fldChar w:fldCharType="begin"/>
    </w:r>
    <w:r w:rsidR="00520478">
      <w:instrText xml:space="preserve"> STYLEREF  "Heading 1"  \* MERGEFORMAT </w:instrText>
    </w:r>
    <w:r w:rsidR="00520478">
      <w:fldChar w:fldCharType="end"/>
    </w:r>
    <w:r w:rsidR="00520478">
      <w:fldChar w:fldCharType="begin"/>
    </w:r>
    <w:r w:rsidR="00520478">
      <w:instrText xml:space="preserve"> STYLEREF  "Heading 1"  \* MERGEFORMAT </w:instrText>
    </w:r>
    <w:r w:rsidR="0052047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B2F8" w14:textId="225C33B1" w:rsidR="00C568AF" w:rsidRDefault="00C568AF" w:rsidP="00C568AF">
    <w:pPr>
      <w:pStyle w:val="Header"/>
    </w:pPr>
    <w:r>
      <w:t>CTEC1905</w:t>
    </w:r>
    <w:r>
      <w:tab/>
    </w:r>
    <w:r w:rsidR="00EB2831">
      <w:t>Law Component Essay</w:t>
    </w:r>
    <w:r>
      <w:tab/>
      <w:t>Question 3</w:t>
    </w:r>
    <w:r w:rsidR="00D0193B">
      <w:t xml:space="preserve"> </w:t>
    </w:r>
    <w:r w:rsidR="00D0193B" w:rsidRPr="00D0193B">
      <w:t>(</w:t>
    </w:r>
    <w:r w:rsidR="00D0193B" w:rsidRPr="00722C93">
      <w:t>cont.</w:t>
    </w:r>
    <w:r w:rsidR="00D0193B" w:rsidRPr="00D0193B">
      <w:t>)</w:t>
    </w:r>
    <w:r w:rsidR="000F4152">
      <w:t xml:space="preserve"> </w:t>
    </w:r>
  </w:p>
  <w:p w14:paraId="48698458" w14:textId="77777777" w:rsidR="00B00427" w:rsidRDefault="00B004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F852" w14:textId="489E1392" w:rsidR="00E07FB1" w:rsidRDefault="00E07FB1">
    <w:pPr>
      <w:pStyle w:val="Header"/>
    </w:pPr>
    <w:r>
      <w:t>CTEC</w:t>
    </w:r>
    <w:r w:rsidR="00EB46D9">
      <w:t>1</w:t>
    </w:r>
    <w:r w:rsidR="00B825DF">
      <w:t>905</w:t>
    </w:r>
    <w:r w:rsidR="00B825DF">
      <w:tab/>
    </w:r>
    <w:r w:rsidR="00AA4566">
      <w:t>Law Component Essay</w:t>
    </w:r>
    <w:r w:rsidR="00B825DF">
      <w:tab/>
      <w:t>References</w:t>
    </w:r>
    <w:r w:rsidR="00CC432D">
      <w:t xml:space="preserve"> </w:t>
    </w:r>
    <w:r w:rsidR="00CC432D" w:rsidRPr="00691717">
      <w:t>(cont.)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25D7" w14:textId="3C3E9676" w:rsidR="00135756" w:rsidRDefault="00135756" w:rsidP="00135756">
    <w:pPr>
      <w:pStyle w:val="Header"/>
    </w:pPr>
    <w:r>
      <w:t>CTEC1905</w:t>
    </w:r>
    <w:r>
      <w:tab/>
    </w:r>
    <w:r w:rsidR="00B968E2">
      <w:t>Law Component Essa</w:t>
    </w:r>
    <w:r w:rsidR="006C2577">
      <w:t>y</w:t>
    </w:r>
    <w:r>
      <w:tab/>
      <w:t>References</w:t>
    </w:r>
  </w:p>
  <w:p w14:paraId="01763CBD" w14:textId="77777777" w:rsidR="00135756" w:rsidRDefault="00135756">
    <w:pPr>
      <w:pStyle w:val="Header"/>
    </w:pPr>
  </w:p>
</w:hdr>
</file>

<file path=word/intelligence2.xml><?xml version="1.0" encoding="utf-8"?>
<int2:intelligence xmlns:int2="http://schemas.microsoft.com/office/intelligence/2020/intelligence" xmlns:oel="http://schemas.microsoft.com/office/2019/extlst">
  <int2:observations>
    <int2:textHash int2:hashCode="YRAIogtMEjg3jX" int2:id="F9GzJFYt">
      <int2:state int2:value="Rejected" int2:type="AugLoop_Text_Critique"/>
    </int2:textHash>
    <int2:bookmark int2:bookmarkName="_Int_lEgyDww7" int2:invalidationBookmarkName="" int2:hashCode="X/RaNlA7YS4q+g" int2:id="hRXHa5bG">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345"/>
    <w:multiLevelType w:val="hybridMultilevel"/>
    <w:tmpl w:val="FFFFFFFF"/>
    <w:lvl w:ilvl="0" w:tplc="6C3E10C4">
      <w:start w:val="1"/>
      <w:numFmt w:val="bullet"/>
      <w:lvlText w:val=""/>
      <w:lvlJc w:val="left"/>
      <w:pPr>
        <w:ind w:left="720" w:hanging="360"/>
      </w:pPr>
      <w:rPr>
        <w:rFonts w:ascii="Wingdings" w:hAnsi="Wingdings" w:hint="default"/>
      </w:rPr>
    </w:lvl>
    <w:lvl w:ilvl="1" w:tplc="B2864D7A">
      <w:start w:val="1"/>
      <w:numFmt w:val="bullet"/>
      <w:lvlText w:val="o"/>
      <w:lvlJc w:val="left"/>
      <w:pPr>
        <w:ind w:left="1440" w:hanging="360"/>
      </w:pPr>
      <w:rPr>
        <w:rFonts w:ascii="Courier New" w:hAnsi="Courier New" w:hint="default"/>
      </w:rPr>
    </w:lvl>
    <w:lvl w:ilvl="2" w:tplc="B1546CE0">
      <w:start w:val="1"/>
      <w:numFmt w:val="bullet"/>
      <w:lvlText w:val=""/>
      <w:lvlJc w:val="left"/>
      <w:pPr>
        <w:ind w:left="2160" w:hanging="360"/>
      </w:pPr>
      <w:rPr>
        <w:rFonts w:ascii="Wingdings" w:hAnsi="Wingdings" w:hint="default"/>
      </w:rPr>
    </w:lvl>
    <w:lvl w:ilvl="3" w:tplc="66403814">
      <w:start w:val="1"/>
      <w:numFmt w:val="bullet"/>
      <w:lvlText w:val=""/>
      <w:lvlJc w:val="left"/>
      <w:pPr>
        <w:ind w:left="2880" w:hanging="360"/>
      </w:pPr>
      <w:rPr>
        <w:rFonts w:ascii="Symbol" w:hAnsi="Symbol" w:hint="default"/>
      </w:rPr>
    </w:lvl>
    <w:lvl w:ilvl="4" w:tplc="E50EE40E">
      <w:start w:val="1"/>
      <w:numFmt w:val="bullet"/>
      <w:lvlText w:val="o"/>
      <w:lvlJc w:val="left"/>
      <w:pPr>
        <w:ind w:left="3600" w:hanging="360"/>
      </w:pPr>
      <w:rPr>
        <w:rFonts w:ascii="Courier New" w:hAnsi="Courier New" w:hint="default"/>
      </w:rPr>
    </w:lvl>
    <w:lvl w:ilvl="5" w:tplc="69C0642E">
      <w:start w:val="1"/>
      <w:numFmt w:val="bullet"/>
      <w:lvlText w:val=""/>
      <w:lvlJc w:val="left"/>
      <w:pPr>
        <w:ind w:left="4320" w:hanging="360"/>
      </w:pPr>
      <w:rPr>
        <w:rFonts w:ascii="Wingdings" w:hAnsi="Wingdings" w:hint="default"/>
      </w:rPr>
    </w:lvl>
    <w:lvl w:ilvl="6" w:tplc="A15A840C">
      <w:start w:val="1"/>
      <w:numFmt w:val="bullet"/>
      <w:lvlText w:val=""/>
      <w:lvlJc w:val="left"/>
      <w:pPr>
        <w:ind w:left="5040" w:hanging="360"/>
      </w:pPr>
      <w:rPr>
        <w:rFonts w:ascii="Symbol" w:hAnsi="Symbol" w:hint="default"/>
      </w:rPr>
    </w:lvl>
    <w:lvl w:ilvl="7" w:tplc="4D10BDA8">
      <w:start w:val="1"/>
      <w:numFmt w:val="bullet"/>
      <w:lvlText w:val="o"/>
      <w:lvlJc w:val="left"/>
      <w:pPr>
        <w:ind w:left="5760" w:hanging="360"/>
      </w:pPr>
      <w:rPr>
        <w:rFonts w:ascii="Courier New" w:hAnsi="Courier New" w:hint="default"/>
      </w:rPr>
    </w:lvl>
    <w:lvl w:ilvl="8" w:tplc="8BB8B56C">
      <w:start w:val="1"/>
      <w:numFmt w:val="bullet"/>
      <w:lvlText w:val=""/>
      <w:lvlJc w:val="left"/>
      <w:pPr>
        <w:ind w:left="6480" w:hanging="360"/>
      </w:pPr>
      <w:rPr>
        <w:rFonts w:ascii="Wingdings" w:hAnsi="Wingdings" w:hint="default"/>
      </w:rPr>
    </w:lvl>
  </w:abstractNum>
  <w:abstractNum w:abstractNumId="1" w15:restartNumberingAfterBreak="0">
    <w:nsid w:val="09CB610F"/>
    <w:multiLevelType w:val="multilevel"/>
    <w:tmpl w:val="5BBCD4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0205F19"/>
    <w:multiLevelType w:val="hybridMultilevel"/>
    <w:tmpl w:val="D3DAFE5C"/>
    <w:lvl w:ilvl="0" w:tplc="4B22D7BC">
      <w:start w:val="1"/>
      <w:numFmt w:val="bullet"/>
      <w:lvlText w:val="-"/>
      <w:lvlJc w:val="left"/>
      <w:pPr>
        <w:ind w:left="720" w:hanging="360"/>
      </w:pPr>
      <w:rPr>
        <w:rFonts w:ascii="Verdana Pro" w:hAnsi="Verdana Pr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E22EBE"/>
    <w:multiLevelType w:val="hybridMultilevel"/>
    <w:tmpl w:val="DCDC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E40695"/>
    <w:multiLevelType w:val="hybridMultilevel"/>
    <w:tmpl w:val="665075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155629B"/>
    <w:multiLevelType w:val="hybridMultilevel"/>
    <w:tmpl w:val="FFFFFFFF"/>
    <w:lvl w:ilvl="0" w:tplc="4F2CCDAE">
      <w:start w:val="1"/>
      <w:numFmt w:val="bullet"/>
      <w:lvlText w:val=""/>
      <w:lvlJc w:val="left"/>
      <w:pPr>
        <w:ind w:left="720" w:hanging="360"/>
      </w:pPr>
      <w:rPr>
        <w:rFonts w:ascii="Wingdings" w:hAnsi="Wingdings" w:hint="default"/>
      </w:rPr>
    </w:lvl>
    <w:lvl w:ilvl="1" w:tplc="41E8BAA0">
      <w:start w:val="1"/>
      <w:numFmt w:val="bullet"/>
      <w:lvlText w:val="o"/>
      <w:lvlJc w:val="left"/>
      <w:pPr>
        <w:ind w:left="1440" w:hanging="360"/>
      </w:pPr>
      <w:rPr>
        <w:rFonts w:ascii="Courier New" w:hAnsi="Courier New" w:hint="default"/>
      </w:rPr>
    </w:lvl>
    <w:lvl w:ilvl="2" w:tplc="2AE85C76">
      <w:start w:val="1"/>
      <w:numFmt w:val="bullet"/>
      <w:lvlText w:val=""/>
      <w:lvlJc w:val="left"/>
      <w:pPr>
        <w:ind w:left="2160" w:hanging="360"/>
      </w:pPr>
      <w:rPr>
        <w:rFonts w:ascii="Wingdings" w:hAnsi="Wingdings" w:hint="default"/>
      </w:rPr>
    </w:lvl>
    <w:lvl w:ilvl="3" w:tplc="79A0560E">
      <w:start w:val="1"/>
      <w:numFmt w:val="bullet"/>
      <w:lvlText w:val=""/>
      <w:lvlJc w:val="left"/>
      <w:pPr>
        <w:ind w:left="2880" w:hanging="360"/>
      </w:pPr>
      <w:rPr>
        <w:rFonts w:ascii="Symbol" w:hAnsi="Symbol" w:hint="default"/>
      </w:rPr>
    </w:lvl>
    <w:lvl w:ilvl="4" w:tplc="AE8A683C">
      <w:start w:val="1"/>
      <w:numFmt w:val="bullet"/>
      <w:lvlText w:val="o"/>
      <w:lvlJc w:val="left"/>
      <w:pPr>
        <w:ind w:left="3600" w:hanging="360"/>
      </w:pPr>
      <w:rPr>
        <w:rFonts w:ascii="Courier New" w:hAnsi="Courier New" w:hint="default"/>
      </w:rPr>
    </w:lvl>
    <w:lvl w:ilvl="5" w:tplc="623E820E">
      <w:start w:val="1"/>
      <w:numFmt w:val="bullet"/>
      <w:lvlText w:val=""/>
      <w:lvlJc w:val="left"/>
      <w:pPr>
        <w:ind w:left="4320" w:hanging="360"/>
      </w:pPr>
      <w:rPr>
        <w:rFonts w:ascii="Wingdings" w:hAnsi="Wingdings" w:hint="default"/>
      </w:rPr>
    </w:lvl>
    <w:lvl w:ilvl="6" w:tplc="E8E2B320">
      <w:start w:val="1"/>
      <w:numFmt w:val="bullet"/>
      <w:lvlText w:val=""/>
      <w:lvlJc w:val="left"/>
      <w:pPr>
        <w:ind w:left="5040" w:hanging="360"/>
      </w:pPr>
      <w:rPr>
        <w:rFonts w:ascii="Symbol" w:hAnsi="Symbol" w:hint="default"/>
      </w:rPr>
    </w:lvl>
    <w:lvl w:ilvl="7" w:tplc="6414D6C2">
      <w:start w:val="1"/>
      <w:numFmt w:val="bullet"/>
      <w:lvlText w:val="o"/>
      <w:lvlJc w:val="left"/>
      <w:pPr>
        <w:ind w:left="5760" w:hanging="360"/>
      </w:pPr>
      <w:rPr>
        <w:rFonts w:ascii="Courier New" w:hAnsi="Courier New" w:hint="default"/>
      </w:rPr>
    </w:lvl>
    <w:lvl w:ilvl="8" w:tplc="915298D6">
      <w:start w:val="1"/>
      <w:numFmt w:val="bullet"/>
      <w:lvlText w:val=""/>
      <w:lvlJc w:val="left"/>
      <w:pPr>
        <w:ind w:left="6480" w:hanging="360"/>
      </w:pPr>
      <w:rPr>
        <w:rFonts w:ascii="Wingdings" w:hAnsi="Wingdings" w:hint="default"/>
      </w:rPr>
    </w:lvl>
  </w:abstractNum>
  <w:abstractNum w:abstractNumId="6" w15:restartNumberingAfterBreak="0">
    <w:nsid w:val="23151689"/>
    <w:multiLevelType w:val="hybridMultilevel"/>
    <w:tmpl w:val="5518EC48"/>
    <w:lvl w:ilvl="0" w:tplc="4B22D7BC">
      <w:start w:val="1"/>
      <w:numFmt w:val="bullet"/>
      <w:lvlText w:val="-"/>
      <w:lvlJc w:val="left"/>
      <w:pPr>
        <w:ind w:left="1080" w:hanging="360"/>
      </w:pPr>
      <w:rPr>
        <w:rFonts w:ascii="Verdana Pro" w:hAnsi="Verdana Pr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671C7B"/>
    <w:multiLevelType w:val="hybridMultilevel"/>
    <w:tmpl w:val="665075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B06316B"/>
    <w:multiLevelType w:val="hybridMultilevel"/>
    <w:tmpl w:val="4154A01E"/>
    <w:lvl w:ilvl="0" w:tplc="FFFFFFFF">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E2F02"/>
    <w:multiLevelType w:val="hybridMultilevel"/>
    <w:tmpl w:val="2550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3920DC"/>
    <w:multiLevelType w:val="hybridMultilevel"/>
    <w:tmpl w:val="9EE07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07249"/>
    <w:multiLevelType w:val="hybridMultilevel"/>
    <w:tmpl w:val="FFFFFFFF"/>
    <w:lvl w:ilvl="0" w:tplc="635A00A4">
      <w:start w:val="1"/>
      <w:numFmt w:val="bullet"/>
      <w:lvlText w:val=""/>
      <w:lvlJc w:val="left"/>
      <w:pPr>
        <w:ind w:left="720" w:hanging="360"/>
      </w:pPr>
      <w:rPr>
        <w:rFonts w:ascii="Wingdings" w:hAnsi="Wingdings" w:hint="default"/>
      </w:rPr>
    </w:lvl>
    <w:lvl w:ilvl="1" w:tplc="CB2E3332">
      <w:start w:val="1"/>
      <w:numFmt w:val="bullet"/>
      <w:lvlText w:val="o"/>
      <w:lvlJc w:val="left"/>
      <w:pPr>
        <w:ind w:left="1440" w:hanging="360"/>
      </w:pPr>
      <w:rPr>
        <w:rFonts w:ascii="Courier New" w:hAnsi="Courier New" w:hint="default"/>
      </w:rPr>
    </w:lvl>
    <w:lvl w:ilvl="2" w:tplc="6838B2A2">
      <w:start w:val="1"/>
      <w:numFmt w:val="bullet"/>
      <w:lvlText w:val=""/>
      <w:lvlJc w:val="left"/>
      <w:pPr>
        <w:ind w:left="2160" w:hanging="360"/>
      </w:pPr>
      <w:rPr>
        <w:rFonts w:ascii="Wingdings" w:hAnsi="Wingdings" w:hint="default"/>
      </w:rPr>
    </w:lvl>
    <w:lvl w:ilvl="3" w:tplc="9E62C364">
      <w:start w:val="1"/>
      <w:numFmt w:val="bullet"/>
      <w:lvlText w:val=""/>
      <w:lvlJc w:val="left"/>
      <w:pPr>
        <w:ind w:left="2880" w:hanging="360"/>
      </w:pPr>
      <w:rPr>
        <w:rFonts w:ascii="Symbol" w:hAnsi="Symbol" w:hint="default"/>
      </w:rPr>
    </w:lvl>
    <w:lvl w:ilvl="4" w:tplc="7CE25B12">
      <w:start w:val="1"/>
      <w:numFmt w:val="bullet"/>
      <w:lvlText w:val="o"/>
      <w:lvlJc w:val="left"/>
      <w:pPr>
        <w:ind w:left="3600" w:hanging="360"/>
      </w:pPr>
      <w:rPr>
        <w:rFonts w:ascii="Courier New" w:hAnsi="Courier New" w:hint="default"/>
      </w:rPr>
    </w:lvl>
    <w:lvl w:ilvl="5" w:tplc="503A4386">
      <w:start w:val="1"/>
      <w:numFmt w:val="bullet"/>
      <w:lvlText w:val=""/>
      <w:lvlJc w:val="left"/>
      <w:pPr>
        <w:ind w:left="4320" w:hanging="360"/>
      </w:pPr>
      <w:rPr>
        <w:rFonts w:ascii="Wingdings" w:hAnsi="Wingdings" w:hint="default"/>
      </w:rPr>
    </w:lvl>
    <w:lvl w:ilvl="6" w:tplc="FE8C06B6">
      <w:start w:val="1"/>
      <w:numFmt w:val="bullet"/>
      <w:lvlText w:val=""/>
      <w:lvlJc w:val="left"/>
      <w:pPr>
        <w:ind w:left="5040" w:hanging="360"/>
      </w:pPr>
      <w:rPr>
        <w:rFonts w:ascii="Symbol" w:hAnsi="Symbol" w:hint="default"/>
      </w:rPr>
    </w:lvl>
    <w:lvl w:ilvl="7" w:tplc="ACF4B4DE">
      <w:start w:val="1"/>
      <w:numFmt w:val="bullet"/>
      <w:lvlText w:val="o"/>
      <w:lvlJc w:val="left"/>
      <w:pPr>
        <w:ind w:left="5760" w:hanging="360"/>
      </w:pPr>
      <w:rPr>
        <w:rFonts w:ascii="Courier New" w:hAnsi="Courier New" w:hint="default"/>
      </w:rPr>
    </w:lvl>
    <w:lvl w:ilvl="8" w:tplc="60F29134">
      <w:start w:val="1"/>
      <w:numFmt w:val="bullet"/>
      <w:lvlText w:val=""/>
      <w:lvlJc w:val="left"/>
      <w:pPr>
        <w:ind w:left="6480" w:hanging="360"/>
      </w:pPr>
      <w:rPr>
        <w:rFonts w:ascii="Wingdings" w:hAnsi="Wingdings" w:hint="default"/>
      </w:rPr>
    </w:lvl>
  </w:abstractNum>
  <w:abstractNum w:abstractNumId="12" w15:restartNumberingAfterBreak="0">
    <w:nsid w:val="3F83463A"/>
    <w:multiLevelType w:val="hybridMultilevel"/>
    <w:tmpl w:val="632AB7F0"/>
    <w:lvl w:ilvl="0" w:tplc="3E6AC4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9252B8"/>
    <w:multiLevelType w:val="hybridMultilevel"/>
    <w:tmpl w:val="40325438"/>
    <w:lvl w:ilvl="0" w:tplc="3C06FD38">
      <w:start w:val="1"/>
      <w:numFmt w:val="bullet"/>
      <w:lvlText w:val=""/>
      <w:lvlJc w:val="left"/>
      <w:pPr>
        <w:ind w:left="720" w:hanging="360"/>
      </w:pPr>
      <w:rPr>
        <w:rFonts w:ascii="Wingdings" w:hAnsi="Wingdings" w:hint="default"/>
      </w:rPr>
    </w:lvl>
    <w:lvl w:ilvl="1" w:tplc="DB8C4368">
      <w:start w:val="1"/>
      <w:numFmt w:val="bullet"/>
      <w:lvlText w:val="o"/>
      <w:lvlJc w:val="left"/>
      <w:pPr>
        <w:ind w:left="1440" w:hanging="360"/>
      </w:pPr>
      <w:rPr>
        <w:rFonts w:ascii="Courier New" w:hAnsi="Courier New" w:hint="default"/>
      </w:rPr>
    </w:lvl>
    <w:lvl w:ilvl="2" w:tplc="6E32D448">
      <w:start w:val="1"/>
      <w:numFmt w:val="bullet"/>
      <w:lvlText w:val=""/>
      <w:lvlJc w:val="left"/>
      <w:pPr>
        <w:ind w:left="2160" w:hanging="360"/>
      </w:pPr>
      <w:rPr>
        <w:rFonts w:ascii="Wingdings" w:hAnsi="Wingdings" w:hint="default"/>
      </w:rPr>
    </w:lvl>
    <w:lvl w:ilvl="3" w:tplc="568E0728">
      <w:start w:val="1"/>
      <w:numFmt w:val="bullet"/>
      <w:lvlText w:val=""/>
      <w:lvlJc w:val="left"/>
      <w:pPr>
        <w:ind w:left="2880" w:hanging="360"/>
      </w:pPr>
      <w:rPr>
        <w:rFonts w:ascii="Symbol" w:hAnsi="Symbol" w:hint="default"/>
      </w:rPr>
    </w:lvl>
    <w:lvl w:ilvl="4" w:tplc="C1F8BC22">
      <w:start w:val="1"/>
      <w:numFmt w:val="bullet"/>
      <w:lvlText w:val="o"/>
      <w:lvlJc w:val="left"/>
      <w:pPr>
        <w:ind w:left="3600" w:hanging="360"/>
      </w:pPr>
      <w:rPr>
        <w:rFonts w:ascii="Courier New" w:hAnsi="Courier New" w:hint="default"/>
      </w:rPr>
    </w:lvl>
    <w:lvl w:ilvl="5" w:tplc="17125BE6">
      <w:start w:val="1"/>
      <w:numFmt w:val="bullet"/>
      <w:lvlText w:val=""/>
      <w:lvlJc w:val="left"/>
      <w:pPr>
        <w:ind w:left="4320" w:hanging="360"/>
      </w:pPr>
      <w:rPr>
        <w:rFonts w:ascii="Wingdings" w:hAnsi="Wingdings" w:hint="default"/>
      </w:rPr>
    </w:lvl>
    <w:lvl w:ilvl="6" w:tplc="06C0584E">
      <w:start w:val="1"/>
      <w:numFmt w:val="bullet"/>
      <w:lvlText w:val=""/>
      <w:lvlJc w:val="left"/>
      <w:pPr>
        <w:ind w:left="5040" w:hanging="360"/>
      </w:pPr>
      <w:rPr>
        <w:rFonts w:ascii="Symbol" w:hAnsi="Symbol" w:hint="default"/>
      </w:rPr>
    </w:lvl>
    <w:lvl w:ilvl="7" w:tplc="3CAA96B4">
      <w:start w:val="1"/>
      <w:numFmt w:val="bullet"/>
      <w:lvlText w:val="o"/>
      <w:lvlJc w:val="left"/>
      <w:pPr>
        <w:ind w:left="5760" w:hanging="360"/>
      </w:pPr>
      <w:rPr>
        <w:rFonts w:ascii="Courier New" w:hAnsi="Courier New" w:hint="default"/>
      </w:rPr>
    </w:lvl>
    <w:lvl w:ilvl="8" w:tplc="22D247F4">
      <w:start w:val="1"/>
      <w:numFmt w:val="bullet"/>
      <w:lvlText w:val=""/>
      <w:lvlJc w:val="left"/>
      <w:pPr>
        <w:ind w:left="6480" w:hanging="360"/>
      </w:pPr>
      <w:rPr>
        <w:rFonts w:ascii="Wingdings" w:hAnsi="Wingdings" w:hint="default"/>
      </w:rPr>
    </w:lvl>
  </w:abstractNum>
  <w:abstractNum w:abstractNumId="14" w15:restartNumberingAfterBreak="0">
    <w:nsid w:val="523A519B"/>
    <w:multiLevelType w:val="hybridMultilevel"/>
    <w:tmpl w:val="FCE474E8"/>
    <w:lvl w:ilvl="0" w:tplc="9412FBF2">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BB8629F"/>
    <w:multiLevelType w:val="hybridMultilevel"/>
    <w:tmpl w:val="1E52B54A"/>
    <w:lvl w:ilvl="0" w:tplc="06261E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2E67CC"/>
    <w:multiLevelType w:val="hybridMultilevel"/>
    <w:tmpl w:val="665075E4"/>
    <w:lvl w:ilvl="0" w:tplc="F1F6FEE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3464F07"/>
    <w:multiLevelType w:val="hybridMultilevel"/>
    <w:tmpl w:val="F3BAB038"/>
    <w:lvl w:ilvl="0" w:tplc="4B22D7BC">
      <w:start w:val="1"/>
      <w:numFmt w:val="bullet"/>
      <w:lvlText w:val="-"/>
      <w:lvlJc w:val="left"/>
      <w:pPr>
        <w:ind w:left="1080" w:hanging="360"/>
      </w:pPr>
      <w:rPr>
        <w:rFonts w:ascii="Verdana Pro" w:hAnsi="Verdana Pr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54962FE"/>
    <w:multiLevelType w:val="hybridMultilevel"/>
    <w:tmpl w:val="D0EC7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DB0839"/>
    <w:multiLevelType w:val="hybridMultilevel"/>
    <w:tmpl w:val="6226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F6DC0"/>
    <w:multiLevelType w:val="hybridMultilevel"/>
    <w:tmpl w:val="4D5C4CDA"/>
    <w:lvl w:ilvl="0" w:tplc="A41A2A04">
      <w:start w:val="1"/>
      <w:numFmt w:val="bullet"/>
      <w:lvlText w:val=""/>
      <w:lvlJc w:val="left"/>
      <w:pPr>
        <w:ind w:left="720" w:hanging="360"/>
      </w:pPr>
      <w:rPr>
        <w:rFonts w:ascii="Wingdings" w:hAnsi="Wingdings" w:hint="default"/>
      </w:rPr>
    </w:lvl>
    <w:lvl w:ilvl="1" w:tplc="48567558">
      <w:start w:val="1"/>
      <w:numFmt w:val="bullet"/>
      <w:lvlText w:val="o"/>
      <w:lvlJc w:val="left"/>
      <w:pPr>
        <w:ind w:left="1440" w:hanging="360"/>
      </w:pPr>
      <w:rPr>
        <w:rFonts w:ascii="Courier New" w:hAnsi="Courier New" w:hint="default"/>
      </w:rPr>
    </w:lvl>
    <w:lvl w:ilvl="2" w:tplc="519E895C">
      <w:start w:val="1"/>
      <w:numFmt w:val="bullet"/>
      <w:lvlText w:val=""/>
      <w:lvlJc w:val="left"/>
      <w:pPr>
        <w:ind w:left="2160" w:hanging="360"/>
      </w:pPr>
      <w:rPr>
        <w:rFonts w:ascii="Wingdings" w:hAnsi="Wingdings" w:hint="default"/>
      </w:rPr>
    </w:lvl>
    <w:lvl w:ilvl="3" w:tplc="F15E3DC2">
      <w:start w:val="1"/>
      <w:numFmt w:val="bullet"/>
      <w:lvlText w:val=""/>
      <w:lvlJc w:val="left"/>
      <w:pPr>
        <w:ind w:left="2880" w:hanging="360"/>
      </w:pPr>
      <w:rPr>
        <w:rFonts w:ascii="Symbol" w:hAnsi="Symbol" w:hint="default"/>
      </w:rPr>
    </w:lvl>
    <w:lvl w:ilvl="4" w:tplc="85CED758">
      <w:start w:val="1"/>
      <w:numFmt w:val="bullet"/>
      <w:lvlText w:val="o"/>
      <w:lvlJc w:val="left"/>
      <w:pPr>
        <w:ind w:left="3600" w:hanging="360"/>
      </w:pPr>
      <w:rPr>
        <w:rFonts w:ascii="Courier New" w:hAnsi="Courier New" w:hint="default"/>
      </w:rPr>
    </w:lvl>
    <w:lvl w:ilvl="5" w:tplc="DDE07834">
      <w:start w:val="1"/>
      <w:numFmt w:val="bullet"/>
      <w:lvlText w:val=""/>
      <w:lvlJc w:val="left"/>
      <w:pPr>
        <w:ind w:left="4320" w:hanging="360"/>
      </w:pPr>
      <w:rPr>
        <w:rFonts w:ascii="Wingdings" w:hAnsi="Wingdings" w:hint="default"/>
      </w:rPr>
    </w:lvl>
    <w:lvl w:ilvl="6" w:tplc="CD42FE48">
      <w:start w:val="1"/>
      <w:numFmt w:val="bullet"/>
      <w:lvlText w:val=""/>
      <w:lvlJc w:val="left"/>
      <w:pPr>
        <w:ind w:left="5040" w:hanging="360"/>
      </w:pPr>
      <w:rPr>
        <w:rFonts w:ascii="Symbol" w:hAnsi="Symbol" w:hint="default"/>
      </w:rPr>
    </w:lvl>
    <w:lvl w:ilvl="7" w:tplc="CFC43E32">
      <w:start w:val="1"/>
      <w:numFmt w:val="bullet"/>
      <w:lvlText w:val="o"/>
      <w:lvlJc w:val="left"/>
      <w:pPr>
        <w:ind w:left="5760" w:hanging="360"/>
      </w:pPr>
      <w:rPr>
        <w:rFonts w:ascii="Courier New" w:hAnsi="Courier New" w:hint="default"/>
      </w:rPr>
    </w:lvl>
    <w:lvl w:ilvl="8" w:tplc="847C2C62">
      <w:start w:val="1"/>
      <w:numFmt w:val="bullet"/>
      <w:lvlText w:val=""/>
      <w:lvlJc w:val="left"/>
      <w:pPr>
        <w:ind w:left="6480" w:hanging="360"/>
      </w:pPr>
      <w:rPr>
        <w:rFonts w:ascii="Wingdings" w:hAnsi="Wingdings" w:hint="default"/>
      </w:rPr>
    </w:lvl>
  </w:abstractNum>
  <w:abstractNum w:abstractNumId="21" w15:restartNumberingAfterBreak="0">
    <w:nsid w:val="74937A21"/>
    <w:multiLevelType w:val="hybridMultilevel"/>
    <w:tmpl w:val="1AB4B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8B21F8"/>
    <w:multiLevelType w:val="hybridMultilevel"/>
    <w:tmpl w:val="9BC8DFB0"/>
    <w:lvl w:ilvl="0" w:tplc="26584404">
      <w:start w:val="1"/>
      <w:numFmt w:val="bullet"/>
      <w:lvlText w:val=""/>
      <w:lvlJc w:val="left"/>
      <w:pPr>
        <w:ind w:left="720" w:hanging="360"/>
      </w:pPr>
      <w:rPr>
        <w:rFonts w:ascii="Wingdings" w:hAnsi="Wingdings" w:hint="default"/>
      </w:rPr>
    </w:lvl>
    <w:lvl w:ilvl="1" w:tplc="A4525694">
      <w:start w:val="1"/>
      <w:numFmt w:val="bullet"/>
      <w:lvlText w:val="o"/>
      <w:lvlJc w:val="left"/>
      <w:pPr>
        <w:ind w:left="1440" w:hanging="360"/>
      </w:pPr>
      <w:rPr>
        <w:rFonts w:ascii="Courier New" w:hAnsi="Courier New" w:hint="default"/>
      </w:rPr>
    </w:lvl>
    <w:lvl w:ilvl="2" w:tplc="D4C042C2">
      <w:start w:val="1"/>
      <w:numFmt w:val="bullet"/>
      <w:lvlText w:val=""/>
      <w:lvlJc w:val="left"/>
      <w:pPr>
        <w:ind w:left="2160" w:hanging="360"/>
      </w:pPr>
      <w:rPr>
        <w:rFonts w:ascii="Wingdings" w:hAnsi="Wingdings" w:hint="default"/>
      </w:rPr>
    </w:lvl>
    <w:lvl w:ilvl="3" w:tplc="81E23F0E">
      <w:start w:val="1"/>
      <w:numFmt w:val="bullet"/>
      <w:lvlText w:val=""/>
      <w:lvlJc w:val="left"/>
      <w:pPr>
        <w:ind w:left="2880" w:hanging="360"/>
      </w:pPr>
      <w:rPr>
        <w:rFonts w:ascii="Symbol" w:hAnsi="Symbol" w:hint="default"/>
      </w:rPr>
    </w:lvl>
    <w:lvl w:ilvl="4" w:tplc="7EA05DCA">
      <w:start w:val="1"/>
      <w:numFmt w:val="bullet"/>
      <w:lvlText w:val="o"/>
      <w:lvlJc w:val="left"/>
      <w:pPr>
        <w:ind w:left="3600" w:hanging="360"/>
      </w:pPr>
      <w:rPr>
        <w:rFonts w:ascii="Courier New" w:hAnsi="Courier New" w:hint="default"/>
      </w:rPr>
    </w:lvl>
    <w:lvl w:ilvl="5" w:tplc="7F8CB31A">
      <w:start w:val="1"/>
      <w:numFmt w:val="bullet"/>
      <w:lvlText w:val=""/>
      <w:lvlJc w:val="left"/>
      <w:pPr>
        <w:ind w:left="4320" w:hanging="360"/>
      </w:pPr>
      <w:rPr>
        <w:rFonts w:ascii="Wingdings" w:hAnsi="Wingdings" w:hint="default"/>
      </w:rPr>
    </w:lvl>
    <w:lvl w:ilvl="6" w:tplc="880A5044">
      <w:start w:val="1"/>
      <w:numFmt w:val="bullet"/>
      <w:lvlText w:val=""/>
      <w:lvlJc w:val="left"/>
      <w:pPr>
        <w:ind w:left="5040" w:hanging="360"/>
      </w:pPr>
      <w:rPr>
        <w:rFonts w:ascii="Symbol" w:hAnsi="Symbol" w:hint="default"/>
      </w:rPr>
    </w:lvl>
    <w:lvl w:ilvl="7" w:tplc="D28CCC60">
      <w:start w:val="1"/>
      <w:numFmt w:val="bullet"/>
      <w:lvlText w:val="o"/>
      <w:lvlJc w:val="left"/>
      <w:pPr>
        <w:ind w:left="5760" w:hanging="360"/>
      </w:pPr>
      <w:rPr>
        <w:rFonts w:ascii="Courier New" w:hAnsi="Courier New" w:hint="default"/>
      </w:rPr>
    </w:lvl>
    <w:lvl w:ilvl="8" w:tplc="1832A862">
      <w:start w:val="1"/>
      <w:numFmt w:val="bullet"/>
      <w:lvlText w:val=""/>
      <w:lvlJc w:val="left"/>
      <w:pPr>
        <w:ind w:left="6480" w:hanging="360"/>
      </w:pPr>
      <w:rPr>
        <w:rFonts w:ascii="Wingdings" w:hAnsi="Wingdings" w:hint="default"/>
      </w:rPr>
    </w:lvl>
  </w:abstractNum>
  <w:num w:numId="1" w16cid:durableId="191961857">
    <w:abstractNumId w:val="13"/>
  </w:num>
  <w:num w:numId="2" w16cid:durableId="1144465556">
    <w:abstractNumId w:val="20"/>
  </w:num>
  <w:num w:numId="3" w16cid:durableId="168763740">
    <w:abstractNumId w:val="22"/>
  </w:num>
  <w:num w:numId="4" w16cid:durableId="286591385">
    <w:abstractNumId w:val="8"/>
  </w:num>
  <w:num w:numId="5" w16cid:durableId="1442339552">
    <w:abstractNumId w:val="19"/>
  </w:num>
  <w:num w:numId="6" w16cid:durableId="595287029">
    <w:abstractNumId w:val="21"/>
  </w:num>
  <w:num w:numId="7" w16cid:durableId="1603222039">
    <w:abstractNumId w:val="11"/>
  </w:num>
  <w:num w:numId="8" w16cid:durableId="971864959">
    <w:abstractNumId w:val="5"/>
  </w:num>
  <w:num w:numId="9" w16cid:durableId="396366642">
    <w:abstractNumId w:val="0"/>
  </w:num>
  <w:num w:numId="10" w16cid:durableId="699741338">
    <w:abstractNumId w:val="9"/>
  </w:num>
  <w:num w:numId="11" w16cid:durableId="183446943">
    <w:abstractNumId w:val="2"/>
  </w:num>
  <w:num w:numId="12" w16cid:durableId="1807045352">
    <w:abstractNumId w:val="17"/>
  </w:num>
  <w:num w:numId="13" w16cid:durableId="1400597585">
    <w:abstractNumId w:val="6"/>
  </w:num>
  <w:num w:numId="14" w16cid:durableId="1878349370">
    <w:abstractNumId w:val="14"/>
  </w:num>
  <w:num w:numId="15" w16cid:durableId="182287564">
    <w:abstractNumId w:val="18"/>
  </w:num>
  <w:num w:numId="16" w16cid:durableId="1849178144">
    <w:abstractNumId w:val="15"/>
  </w:num>
  <w:num w:numId="17" w16cid:durableId="1874614781">
    <w:abstractNumId w:val="3"/>
  </w:num>
  <w:num w:numId="18" w16cid:durableId="827020327">
    <w:abstractNumId w:val="12"/>
  </w:num>
  <w:num w:numId="19" w16cid:durableId="1767730316">
    <w:abstractNumId w:val="1"/>
  </w:num>
  <w:num w:numId="20" w16cid:durableId="1057700778">
    <w:abstractNumId w:val="10"/>
  </w:num>
  <w:num w:numId="21" w16cid:durableId="1312102077">
    <w:abstractNumId w:val="16"/>
  </w:num>
  <w:num w:numId="22" w16cid:durableId="1066761674">
    <w:abstractNumId w:val="4"/>
  </w:num>
  <w:num w:numId="23" w16cid:durableId="1181774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ocumentProtection w:edit="trackedChanges" w:formatting="1" w:enforcement="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29"/>
    <w:rsid w:val="0000072D"/>
    <w:rsid w:val="000023FD"/>
    <w:rsid w:val="000028A6"/>
    <w:rsid w:val="00003886"/>
    <w:rsid w:val="000042A2"/>
    <w:rsid w:val="000068D6"/>
    <w:rsid w:val="0000703D"/>
    <w:rsid w:val="0001034E"/>
    <w:rsid w:val="00012013"/>
    <w:rsid w:val="0001324B"/>
    <w:rsid w:val="000132BB"/>
    <w:rsid w:val="00013BE1"/>
    <w:rsid w:val="00017513"/>
    <w:rsid w:val="00021325"/>
    <w:rsid w:val="000222C3"/>
    <w:rsid w:val="000225D1"/>
    <w:rsid w:val="00022685"/>
    <w:rsid w:val="00022FC9"/>
    <w:rsid w:val="0002308B"/>
    <w:rsid w:val="00023A1D"/>
    <w:rsid w:val="0002496C"/>
    <w:rsid w:val="00024FCF"/>
    <w:rsid w:val="000266EE"/>
    <w:rsid w:val="00027EEA"/>
    <w:rsid w:val="0003548A"/>
    <w:rsid w:val="00035776"/>
    <w:rsid w:val="00036766"/>
    <w:rsid w:val="00037527"/>
    <w:rsid w:val="0003782B"/>
    <w:rsid w:val="00041B78"/>
    <w:rsid w:val="00042F12"/>
    <w:rsid w:val="000438B0"/>
    <w:rsid w:val="00043983"/>
    <w:rsid w:val="00045560"/>
    <w:rsid w:val="000468DD"/>
    <w:rsid w:val="000502DD"/>
    <w:rsid w:val="00051DAB"/>
    <w:rsid w:val="000522C7"/>
    <w:rsid w:val="000524F8"/>
    <w:rsid w:val="00053912"/>
    <w:rsid w:val="000542C9"/>
    <w:rsid w:val="0005537F"/>
    <w:rsid w:val="000559E3"/>
    <w:rsid w:val="00057400"/>
    <w:rsid w:val="00061650"/>
    <w:rsid w:val="00061F67"/>
    <w:rsid w:val="0006216A"/>
    <w:rsid w:val="00066EDD"/>
    <w:rsid w:val="000709D9"/>
    <w:rsid w:val="00072025"/>
    <w:rsid w:val="00072DB2"/>
    <w:rsid w:val="00073B36"/>
    <w:rsid w:val="00074378"/>
    <w:rsid w:val="00074C19"/>
    <w:rsid w:val="00075706"/>
    <w:rsid w:val="000764C3"/>
    <w:rsid w:val="000765CE"/>
    <w:rsid w:val="00080A31"/>
    <w:rsid w:val="000815E6"/>
    <w:rsid w:val="00081FA1"/>
    <w:rsid w:val="00082B3E"/>
    <w:rsid w:val="00083023"/>
    <w:rsid w:val="0008319C"/>
    <w:rsid w:val="000833FA"/>
    <w:rsid w:val="00084488"/>
    <w:rsid w:val="00084946"/>
    <w:rsid w:val="00085961"/>
    <w:rsid w:val="00086F89"/>
    <w:rsid w:val="0008716F"/>
    <w:rsid w:val="000872F5"/>
    <w:rsid w:val="00087779"/>
    <w:rsid w:val="00087BAE"/>
    <w:rsid w:val="00092349"/>
    <w:rsid w:val="00092771"/>
    <w:rsid w:val="00093F97"/>
    <w:rsid w:val="000945EA"/>
    <w:rsid w:val="000A162F"/>
    <w:rsid w:val="000A41B9"/>
    <w:rsid w:val="000A4365"/>
    <w:rsid w:val="000A48BD"/>
    <w:rsid w:val="000A6A4A"/>
    <w:rsid w:val="000A78AE"/>
    <w:rsid w:val="000A7923"/>
    <w:rsid w:val="000A7CAB"/>
    <w:rsid w:val="000B00D1"/>
    <w:rsid w:val="000B03CC"/>
    <w:rsid w:val="000B17B5"/>
    <w:rsid w:val="000B36AC"/>
    <w:rsid w:val="000B4B1E"/>
    <w:rsid w:val="000B55D9"/>
    <w:rsid w:val="000B5B9B"/>
    <w:rsid w:val="000B5FF2"/>
    <w:rsid w:val="000B7038"/>
    <w:rsid w:val="000C0B39"/>
    <w:rsid w:val="000C0F99"/>
    <w:rsid w:val="000C35C2"/>
    <w:rsid w:val="000C3A25"/>
    <w:rsid w:val="000C3F59"/>
    <w:rsid w:val="000C6D37"/>
    <w:rsid w:val="000C6D9C"/>
    <w:rsid w:val="000C6E35"/>
    <w:rsid w:val="000D0291"/>
    <w:rsid w:val="000D1915"/>
    <w:rsid w:val="000D36D6"/>
    <w:rsid w:val="000D601F"/>
    <w:rsid w:val="000D7300"/>
    <w:rsid w:val="000E13EA"/>
    <w:rsid w:val="000E275B"/>
    <w:rsid w:val="000E27B0"/>
    <w:rsid w:val="000E4B00"/>
    <w:rsid w:val="000E66D9"/>
    <w:rsid w:val="000E79F5"/>
    <w:rsid w:val="000F0062"/>
    <w:rsid w:val="000F2A37"/>
    <w:rsid w:val="000F2F62"/>
    <w:rsid w:val="000F3752"/>
    <w:rsid w:val="000F4152"/>
    <w:rsid w:val="000F466D"/>
    <w:rsid w:val="000F56B4"/>
    <w:rsid w:val="000F583C"/>
    <w:rsid w:val="000F7133"/>
    <w:rsid w:val="000F79D8"/>
    <w:rsid w:val="0010003E"/>
    <w:rsid w:val="001032AE"/>
    <w:rsid w:val="00103E41"/>
    <w:rsid w:val="00105FDC"/>
    <w:rsid w:val="0011149B"/>
    <w:rsid w:val="001133D4"/>
    <w:rsid w:val="00114519"/>
    <w:rsid w:val="0011772B"/>
    <w:rsid w:val="00121ABF"/>
    <w:rsid w:val="00122DB2"/>
    <w:rsid w:val="00123803"/>
    <w:rsid w:val="00125D3E"/>
    <w:rsid w:val="001267CA"/>
    <w:rsid w:val="00126BB3"/>
    <w:rsid w:val="00126D52"/>
    <w:rsid w:val="001274BB"/>
    <w:rsid w:val="00130C5C"/>
    <w:rsid w:val="00135756"/>
    <w:rsid w:val="00135D91"/>
    <w:rsid w:val="001371B1"/>
    <w:rsid w:val="001401BB"/>
    <w:rsid w:val="001413E2"/>
    <w:rsid w:val="001417C1"/>
    <w:rsid w:val="00141EE8"/>
    <w:rsid w:val="001422D2"/>
    <w:rsid w:val="00142396"/>
    <w:rsid w:val="0014362F"/>
    <w:rsid w:val="001450C5"/>
    <w:rsid w:val="0014697A"/>
    <w:rsid w:val="00146D4E"/>
    <w:rsid w:val="00146E43"/>
    <w:rsid w:val="00147D42"/>
    <w:rsid w:val="001513D9"/>
    <w:rsid w:val="001515A1"/>
    <w:rsid w:val="001515CF"/>
    <w:rsid w:val="00152C44"/>
    <w:rsid w:val="00153CB4"/>
    <w:rsid w:val="001540A9"/>
    <w:rsid w:val="001544EF"/>
    <w:rsid w:val="00156007"/>
    <w:rsid w:val="0016288A"/>
    <w:rsid w:val="0016395B"/>
    <w:rsid w:val="001647CF"/>
    <w:rsid w:val="0016566B"/>
    <w:rsid w:val="001657AA"/>
    <w:rsid w:val="00165AB7"/>
    <w:rsid w:val="00165B44"/>
    <w:rsid w:val="00166410"/>
    <w:rsid w:val="00167ECB"/>
    <w:rsid w:val="00171DDD"/>
    <w:rsid w:val="0017277A"/>
    <w:rsid w:val="001741D1"/>
    <w:rsid w:val="00176972"/>
    <w:rsid w:val="001809D8"/>
    <w:rsid w:val="00181683"/>
    <w:rsid w:val="00181D40"/>
    <w:rsid w:val="00181FB1"/>
    <w:rsid w:val="0018225D"/>
    <w:rsid w:val="00182B7C"/>
    <w:rsid w:val="00182CA4"/>
    <w:rsid w:val="00183172"/>
    <w:rsid w:val="0018360F"/>
    <w:rsid w:val="00184BDA"/>
    <w:rsid w:val="00191CF2"/>
    <w:rsid w:val="00193035"/>
    <w:rsid w:val="00193F83"/>
    <w:rsid w:val="00194A3A"/>
    <w:rsid w:val="001958DD"/>
    <w:rsid w:val="00196512"/>
    <w:rsid w:val="001966B9"/>
    <w:rsid w:val="00196BE5"/>
    <w:rsid w:val="00197F97"/>
    <w:rsid w:val="001A03B0"/>
    <w:rsid w:val="001A084E"/>
    <w:rsid w:val="001A09DB"/>
    <w:rsid w:val="001A0A79"/>
    <w:rsid w:val="001A35B9"/>
    <w:rsid w:val="001A4E70"/>
    <w:rsid w:val="001A6E47"/>
    <w:rsid w:val="001A7227"/>
    <w:rsid w:val="001A7877"/>
    <w:rsid w:val="001B1F6E"/>
    <w:rsid w:val="001B29ED"/>
    <w:rsid w:val="001B3101"/>
    <w:rsid w:val="001B3371"/>
    <w:rsid w:val="001B4D29"/>
    <w:rsid w:val="001B56D4"/>
    <w:rsid w:val="001B5B74"/>
    <w:rsid w:val="001B6AEA"/>
    <w:rsid w:val="001B6CBF"/>
    <w:rsid w:val="001C0458"/>
    <w:rsid w:val="001C2249"/>
    <w:rsid w:val="001C3BB6"/>
    <w:rsid w:val="001C4582"/>
    <w:rsid w:val="001D067B"/>
    <w:rsid w:val="001D1623"/>
    <w:rsid w:val="001D6587"/>
    <w:rsid w:val="001E12E9"/>
    <w:rsid w:val="001E3D83"/>
    <w:rsid w:val="001E4B64"/>
    <w:rsid w:val="001F0324"/>
    <w:rsid w:val="001F2B81"/>
    <w:rsid w:val="001F56F5"/>
    <w:rsid w:val="001F5C41"/>
    <w:rsid w:val="001F7CE1"/>
    <w:rsid w:val="00201338"/>
    <w:rsid w:val="00201AF2"/>
    <w:rsid w:val="00204B64"/>
    <w:rsid w:val="002061AF"/>
    <w:rsid w:val="0020642A"/>
    <w:rsid w:val="00206C4B"/>
    <w:rsid w:val="002110F8"/>
    <w:rsid w:val="002111D7"/>
    <w:rsid w:val="002112BA"/>
    <w:rsid w:val="00211F4A"/>
    <w:rsid w:val="00214E7B"/>
    <w:rsid w:val="00214F01"/>
    <w:rsid w:val="00215BFD"/>
    <w:rsid w:val="002200C1"/>
    <w:rsid w:val="0022076A"/>
    <w:rsid w:val="00220D67"/>
    <w:rsid w:val="002231F8"/>
    <w:rsid w:val="00223202"/>
    <w:rsid w:val="00223ADB"/>
    <w:rsid w:val="0022443A"/>
    <w:rsid w:val="0022455E"/>
    <w:rsid w:val="00227631"/>
    <w:rsid w:val="00230DF4"/>
    <w:rsid w:val="002342BD"/>
    <w:rsid w:val="00234C9F"/>
    <w:rsid w:val="00234DCB"/>
    <w:rsid w:val="00234DE4"/>
    <w:rsid w:val="00236B51"/>
    <w:rsid w:val="00236FCE"/>
    <w:rsid w:val="00237050"/>
    <w:rsid w:val="00237E94"/>
    <w:rsid w:val="002414B8"/>
    <w:rsid w:val="00242709"/>
    <w:rsid w:val="0024577C"/>
    <w:rsid w:val="00246B6D"/>
    <w:rsid w:val="00251DB6"/>
    <w:rsid w:val="002565D5"/>
    <w:rsid w:val="002573F2"/>
    <w:rsid w:val="00257882"/>
    <w:rsid w:val="00257B47"/>
    <w:rsid w:val="00257EC6"/>
    <w:rsid w:val="00261EB8"/>
    <w:rsid w:val="00267F0F"/>
    <w:rsid w:val="00270F50"/>
    <w:rsid w:val="00272053"/>
    <w:rsid w:val="00273E1A"/>
    <w:rsid w:val="00274ED0"/>
    <w:rsid w:val="0027549C"/>
    <w:rsid w:val="00282163"/>
    <w:rsid w:val="002837FB"/>
    <w:rsid w:val="00283E3A"/>
    <w:rsid w:val="0028464E"/>
    <w:rsid w:val="002859AF"/>
    <w:rsid w:val="00286581"/>
    <w:rsid w:val="00286FEB"/>
    <w:rsid w:val="0028710E"/>
    <w:rsid w:val="002913FC"/>
    <w:rsid w:val="00291FC7"/>
    <w:rsid w:val="002924D5"/>
    <w:rsid w:val="00292FFB"/>
    <w:rsid w:val="0029394E"/>
    <w:rsid w:val="00294B39"/>
    <w:rsid w:val="00294DA0"/>
    <w:rsid w:val="00295561"/>
    <w:rsid w:val="00295A4F"/>
    <w:rsid w:val="00296A73"/>
    <w:rsid w:val="002A0A14"/>
    <w:rsid w:val="002A105F"/>
    <w:rsid w:val="002A1F31"/>
    <w:rsid w:val="002A26C3"/>
    <w:rsid w:val="002A2B5D"/>
    <w:rsid w:val="002A2BAC"/>
    <w:rsid w:val="002A46AD"/>
    <w:rsid w:val="002A5A43"/>
    <w:rsid w:val="002A770E"/>
    <w:rsid w:val="002A7D26"/>
    <w:rsid w:val="002B11F1"/>
    <w:rsid w:val="002B1CAD"/>
    <w:rsid w:val="002B6014"/>
    <w:rsid w:val="002B65FA"/>
    <w:rsid w:val="002B7174"/>
    <w:rsid w:val="002C0C94"/>
    <w:rsid w:val="002C1187"/>
    <w:rsid w:val="002C3464"/>
    <w:rsid w:val="002C6144"/>
    <w:rsid w:val="002D1193"/>
    <w:rsid w:val="002D1FFB"/>
    <w:rsid w:val="002D2134"/>
    <w:rsid w:val="002D5880"/>
    <w:rsid w:val="002E00BE"/>
    <w:rsid w:val="002E057E"/>
    <w:rsid w:val="002E1024"/>
    <w:rsid w:val="002E135B"/>
    <w:rsid w:val="002E19DD"/>
    <w:rsid w:val="002E1D48"/>
    <w:rsid w:val="002E222E"/>
    <w:rsid w:val="002E31B1"/>
    <w:rsid w:val="002E32E2"/>
    <w:rsid w:val="002E3DDA"/>
    <w:rsid w:val="002E3FE9"/>
    <w:rsid w:val="002E4862"/>
    <w:rsid w:val="002E5432"/>
    <w:rsid w:val="002E7762"/>
    <w:rsid w:val="002F126F"/>
    <w:rsid w:val="002F19DF"/>
    <w:rsid w:val="002F3A3D"/>
    <w:rsid w:val="002F3B01"/>
    <w:rsid w:val="002F536B"/>
    <w:rsid w:val="002F6474"/>
    <w:rsid w:val="00300EE7"/>
    <w:rsid w:val="00301CC8"/>
    <w:rsid w:val="003028B9"/>
    <w:rsid w:val="00303BCC"/>
    <w:rsid w:val="00304B27"/>
    <w:rsid w:val="0030536C"/>
    <w:rsid w:val="003056AE"/>
    <w:rsid w:val="003068F3"/>
    <w:rsid w:val="00307F88"/>
    <w:rsid w:val="00310A40"/>
    <w:rsid w:val="003122F1"/>
    <w:rsid w:val="0031277E"/>
    <w:rsid w:val="00313F19"/>
    <w:rsid w:val="00315C27"/>
    <w:rsid w:val="00315E26"/>
    <w:rsid w:val="003172F3"/>
    <w:rsid w:val="00320154"/>
    <w:rsid w:val="0032161C"/>
    <w:rsid w:val="003228AD"/>
    <w:rsid w:val="00326684"/>
    <w:rsid w:val="003303A2"/>
    <w:rsid w:val="003318DA"/>
    <w:rsid w:val="00331AD9"/>
    <w:rsid w:val="0033202C"/>
    <w:rsid w:val="003325F0"/>
    <w:rsid w:val="0033296C"/>
    <w:rsid w:val="00334097"/>
    <w:rsid w:val="003343A3"/>
    <w:rsid w:val="00340290"/>
    <w:rsid w:val="0034067F"/>
    <w:rsid w:val="003422D7"/>
    <w:rsid w:val="00344D67"/>
    <w:rsid w:val="00345460"/>
    <w:rsid w:val="003461E0"/>
    <w:rsid w:val="003461E7"/>
    <w:rsid w:val="00347485"/>
    <w:rsid w:val="003477A0"/>
    <w:rsid w:val="00351D90"/>
    <w:rsid w:val="00351F9A"/>
    <w:rsid w:val="00353EC7"/>
    <w:rsid w:val="003542AE"/>
    <w:rsid w:val="003562B4"/>
    <w:rsid w:val="003606AB"/>
    <w:rsid w:val="003607F5"/>
    <w:rsid w:val="0036157B"/>
    <w:rsid w:val="00362FF9"/>
    <w:rsid w:val="00363795"/>
    <w:rsid w:val="003654FD"/>
    <w:rsid w:val="00365505"/>
    <w:rsid w:val="00366313"/>
    <w:rsid w:val="0037130B"/>
    <w:rsid w:val="0037370F"/>
    <w:rsid w:val="003738D7"/>
    <w:rsid w:val="00373AD7"/>
    <w:rsid w:val="00373E6D"/>
    <w:rsid w:val="00375029"/>
    <w:rsid w:val="003773AC"/>
    <w:rsid w:val="0038064A"/>
    <w:rsid w:val="00381680"/>
    <w:rsid w:val="0038245C"/>
    <w:rsid w:val="003825E6"/>
    <w:rsid w:val="0038389C"/>
    <w:rsid w:val="00383AE3"/>
    <w:rsid w:val="00385BE1"/>
    <w:rsid w:val="00385F60"/>
    <w:rsid w:val="00386460"/>
    <w:rsid w:val="00387C4C"/>
    <w:rsid w:val="00387FE1"/>
    <w:rsid w:val="00391BF0"/>
    <w:rsid w:val="00393330"/>
    <w:rsid w:val="00394FC3"/>
    <w:rsid w:val="00397C57"/>
    <w:rsid w:val="003A04AF"/>
    <w:rsid w:val="003A0E38"/>
    <w:rsid w:val="003A204E"/>
    <w:rsid w:val="003A21D5"/>
    <w:rsid w:val="003A3F54"/>
    <w:rsid w:val="003A5A4F"/>
    <w:rsid w:val="003A65B5"/>
    <w:rsid w:val="003A6E38"/>
    <w:rsid w:val="003A707C"/>
    <w:rsid w:val="003A772A"/>
    <w:rsid w:val="003A7A5E"/>
    <w:rsid w:val="003B02E3"/>
    <w:rsid w:val="003B0336"/>
    <w:rsid w:val="003B091A"/>
    <w:rsid w:val="003B1439"/>
    <w:rsid w:val="003B33E9"/>
    <w:rsid w:val="003B63FD"/>
    <w:rsid w:val="003B6C33"/>
    <w:rsid w:val="003C007B"/>
    <w:rsid w:val="003C23C1"/>
    <w:rsid w:val="003C48D0"/>
    <w:rsid w:val="003C4B5E"/>
    <w:rsid w:val="003C72AC"/>
    <w:rsid w:val="003C7CD6"/>
    <w:rsid w:val="003D0414"/>
    <w:rsid w:val="003D0CA1"/>
    <w:rsid w:val="003D15F9"/>
    <w:rsid w:val="003D16BD"/>
    <w:rsid w:val="003D1EB8"/>
    <w:rsid w:val="003D23A5"/>
    <w:rsid w:val="003D35CA"/>
    <w:rsid w:val="003D3F6F"/>
    <w:rsid w:val="003D42C9"/>
    <w:rsid w:val="003D440D"/>
    <w:rsid w:val="003D4FB1"/>
    <w:rsid w:val="003D516D"/>
    <w:rsid w:val="003D7524"/>
    <w:rsid w:val="003D7EA5"/>
    <w:rsid w:val="003E072A"/>
    <w:rsid w:val="003E2473"/>
    <w:rsid w:val="003E2503"/>
    <w:rsid w:val="003E3C77"/>
    <w:rsid w:val="003E4397"/>
    <w:rsid w:val="003E6914"/>
    <w:rsid w:val="003F1955"/>
    <w:rsid w:val="003F2016"/>
    <w:rsid w:val="003F2B69"/>
    <w:rsid w:val="003F39BA"/>
    <w:rsid w:val="003F52A7"/>
    <w:rsid w:val="003F5C27"/>
    <w:rsid w:val="003F5E62"/>
    <w:rsid w:val="003F5E63"/>
    <w:rsid w:val="003F6BC8"/>
    <w:rsid w:val="003F6F60"/>
    <w:rsid w:val="003F75EB"/>
    <w:rsid w:val="003F7A3B"/>
    <w:rsid w:val="0040305C"/>
    <w:rsid w:val="00404520"/>
    <w:rsid w:val="00406395"/>
    <w:rsid w:val="004064FB"/>
    <w:rsid w:val="00410871"/>
    <w:rsid w:val="004115A9"/>
    <w:rsid w:val="004129BB"/>
    <w:rsid w:val="00412C8F"/>
    <w:rsid w:val="00414F08"/>
    <w:rsid w:val="004157AB"/>
    <w:rsid w:val="00415D0A"/>
    <w:rsid w:val="0041690C"/>
    <w:rsid w:val="00416A38"/>
    <w:rsid w:val="0042057E"/>
    <w:rsid w:val="004211A4"/>
    <w:rsid w:val="00421E01"/>
    <w:rsid w:val="004223F2"/>
    <w:rsid w:val="004233FD"/>
    <w:rsid w:val="00425CD5"/>
    <w:rsid w:val="00426D57"/>
    <w:rsid w:val="0043106D"/>
    <w:rsid w:val="00432B2D"/>
    <w:rsid w:val="004330B1"/>
    <w:rsid w:val="00433ED7"/>
    <w:rsid w:val="00434DF5"/>
    <w:rsid w:val="00434E95"/>
    <w:rsid w:val="00435005"/>
    <w:rsid w:val="004360FB"/>
    <w:rsid w:val="00436939"/>
    <w:rsid w:val="004404FE"/>
    <w:rsid w:val="00441C1E"/>
    <w:rsid w:val="004453E2"/>
    <w:rsid w:val="00447EE1"/>
    <w:rsid w:val="00452930"/>
    <w:rsid w:val="0045526C"/>
    <w:rsid w:val="004561F1"/>
    <w:rsid w:val="0045626A"/>
    <w:rsid w:val="004569A8"/>
    <w:rsid w:val="00460404"/>
    <w:rsid w:val="004608CA"/>
    <w:rsid w:val="00463E88"/>
    <w:rsid w:val="00464094"/>
    <w:rsid w:val="004670B9"/>
    <w:rsid w:val="004677B5"/>
    <w:rsid w:val="00470F67"/>
    <w:rsid w:val="0047273C"/>
    <w:rsid w:val="0047291B"/>
    <w:rsid w:val="00473E1F"/>
    <w:rsid w:val="004748DD"/>
    <w:rsid w:val="00475CBD"/>
    <w:rsid w:val="00476EEF"/>
    <w:rsid w:val="00477447"/>
    <w:rsid w:val="00480E4F"/>
    <w:rsid w:val="004820E6"/>
    <w:rsid w:val="00483829"/>
    <w:rsid w:val="00484514"/>
    <w:rsid w:val="00485A17"/>
    <w:rsid w:val="00487CBD"/>
    <w:rsid w:val="00493687"/>
    <w:rsid w:val="0049460F"/>
    <w:rsid w:val="00496810"/>
    <w:rsid w:val="004976CF"/>
    <w:rsid w:val="0049787E"/>
    <w:rsid w:val="00497CAB"/>
    <w:rsid w:val="004A3B1E"/>
    <w:rsid w:val="004A3BF2"/>
    <w:rsid w:val="004A417A"/>
    <w:rsid w:val="004A4726"/>
    <w:rsid w:val="004A49B1"/>
    <w:rsid w:val="004A5A65"/>
    <w:rsid w:val="004A5D6D"/>
    <w:rsid w:val="004A6815"/>
    <w:rsid w:val="004A6BBE"/>
    <w:rsid w:val="004B0E87"/>
    <w:rsid w:val="004B1364"/>
    <w:rsid w:val="004B162F"/>
    <w:rsid w:val="004B1FC6"/>
    <w:rsid w:val="004B2697"/>
    <w:rsid w:val="004B278C"/>
    <w:rsid w:val="004B2B72"/>
    <w:rsid w:val="004B4405"/>
    <w:rsid w:val="004B6056"/>
    <w:rsid w:val="004B7E73"/>
    <w:rsid w:val="004C072E"/>
    <w:rsid w:val="004C0D41"/>
    <w:rsid w:val="004C264B"/>
    <w:rsid w:val="004C3649"/>
    <w:rsid w:val="004C377B"/>
    <w:rsid w:val="004C3DB7"/>
    <w:rsid w:val="004C4FF6"/>
    <w:rsid w:val="004C5FF6"/>
    <w:rsid w:val="004C75A6"/>
    <w:rsid w:val="004D02B1"/>
    <w:rsid w:val="004D3C5A"/>
    <w:rsid w:val="004D4A64"/>
    <w:rsid w:val="004D55AF"/>
    <w:rsid w:val="004E34EA"/>
    <w:rsid w:val="004E4DBE"/>
    <w:rsid w:val="004E4E1A"/>
    <w:rsid w:val="004E4F1E"/>
    <w:rsid w:val="004E5383"/>
    <w:rsid w:val="004E6613"/>
    <w:rsid w:val="004F0323"/>
    <w:rsid w:val="004F2217"/>
    <w:rsid w:val="004F33A0"/>
    <w:rsid w:val="004F37DC"/>
    <w:rsid w:val="00501015"/>
    <w:rsid w:val="0050189E"/>
    <w:rsid w:val="00501EF9"/>
    <w:rsid w:val="00502660"/>
    <w:rsid w:val="0050297D"/>
    <w:rsid w:val="00502CB7"/>
    <w:rsid w:val="00503474"/>
    <w:rsid w:val="00503D63"/>
    <w:rsid w:val="0051020B"/>
    <w:rsid w:val="00512730"/>
    <w:rsid w:val="00513287"/>
    <w:rsid w:val="005152A8"/>
    <w:rsid w:val="0051553F"/>
    <w:rsid w:val="00515FE7"/>
    <w:rsid w:val="005163F0"/>
    <w:rsid w:val="00516815"/>
    <w:rsid w:val="00520478"/>
    <w:rsid w:val="00520641"/>
    <w:rsid w:val="00522FAF"/>
    <w:rsid w:val="00524B5C"/>
    <w:rsid w:val="00525B81"/>
    <w:rsid w:val="00527523"/>
    <w:rsid w:val="005276BA"/>
    <w:rsid w:val="00527BA3"/>
    <w:rsid w:val="00530569"/>
    <w:rsid w:val="005306D4"/>
    <w:rsid w:val="00530D26"/>
    <w:rsid w:val="00531008"/>
    <w:rsid w:val="00531378"/>
    <w:rsid w:val="005315CA"/>
    <w:rsid w:val="005322EE"/>
    <w:rsid w:val="0053271C"/>
    <w:rsid w:val="00534A7E"/>
    <w:rsid w:val="00535213"/>
    <w:rsid w:val="005352DA"/>
    <w:rsid w:val="00535EC2"/>
    <w:rsid w:val="005363FD"/>
    <w:rsid w:val="00536499"/>
    <w:rsid w:val="00536B51"/>
    <w:rsid w:val="00537984"/>
    <w:rsid w:val="00537BB1"/>
    <w:rsid w:val="00537CE3"/>
    <w:rsid w:val="00537E36"/>
    <w:rsid w:val="005401DF"/>
    <w:rsid w:val="005419A8"/>
    <w:rsid w:val="0054362B"/>
    <w:rsid w:val="005437D0"/>
    <w:rsid w:val="00543C98"/>
    <w:rsid w:val="00545747"/>
    <w:rsid w:val="00545AED"/>
    <w:rsid w:val="005462D8"/>
    <w:rsid w:val="00551B3A"/>
    <w:rsid w:val="00553435"/>
    <w:rsid w:val="00554C63"/>
    <w:rsid w:val="00555DC9"/>
    <w:rsid w:val="0055600B"/>
    <w:rsid w:val="00556FCB"/>
    <w:rsid w:val="00560247"/>
    <w:rsid w:val="0056123F"/>
    <w:rsid w:val="005615DA"/>
    <w:rsid w:val="00562606"/>
    <w:rsid w:val="00562D5B"/>
    <w:rsid w:val="00562FCB"/>
    <w:rsid w:val="00565BC9"/>
    <w:rsid w:val="00565EA4"/>
    <w:rsid w:val="00566DC2"/>
    <w:rsid w:val="0057067E"/>
    <w:rsid w:val="0057133A"/>
    <w:rsid w:val="00571A70"/>
    <w:rsid w:val="0057286D"/>
    <w:rsid w:val="00575510"/>
    <w:rsid w:val="00575645"/>
    <w:rsid w:val="0057601B"/>
    <w:rsid w:val="0057714C"/>
    <w:rsid w:val="00577231"/>
    <w:rsid w:val="0057782D"/>
    <w:rsid w:val="00577F3D"/>
    <w:rsid w:val="005807E2"/>
    <w:rsid w:val="00583488"/>
    <w:rsid w:val="005838B5"/>
    <w:rsid w:val="00585F35"/>
    <w:rsid w:val="00586063"/>
    <w:rsid w:val="005863F9"/>
    <w:rsid w:val="0059055D"/>
    <w:rsid w:val="005910AB"/>
    <w:rsid w:val="00591703"/>
    <w:rsid w:val="0059298B"/>
    <w:rsid w:val="0059307F"/>
    <w:rsid w:val="00593A77"/>
    <w:rsid w:val="0059415E"/>
    <w:rsid w:val="00594B24"/>
    <w:rsid w:val="005961F4"/>
    <w:rsid w:val="0059663B"/>
    <w:rsid w:val="005A1EE3"/>
    <w:rsid w:val="005A220C"/>
    <w:rsid w:val="005A28DF"/>
    <w:rsid w:val="005A489C"/>
    <w:rsid w:val="005A5CE3"/>
    <w:rsid w:val="005A625C"/>
    <w:rsid w:val="005A6474"/>
    <w:rsid w:val="005A7017"/>
    <w:rsid w:val="005A74B4"/>
    <w:rsid w:val="005B0EF9"/>
    <w:rsid w:val="005B0F25"/>
    <w:rsid w:val="005B287F"/>
    <w:rsid w:val="005B3E68"/>
    <w:rsid w:val="005B54A4"/>
    <w:rsid w:val="005B6F8F"/>
    <w:rsid w:val="005B760A"/>
    <w:rsid w:val="005B798B"/>
    <w:rsid w:val="005C37E9"/>
    <w:rsid w:val="005C57F7"/>
    <w:rsid w:val="005C5AC7"/>
    <w:rsid w:val="005C7675"/>
    <w:rsid w:val="005C79FF"/>
    <w:rsid w:val="005C7B64"/>
    <w:rsid w:val="005C7D5E"/>
    <w:rsid w:val="005D1086"/>
    <w:rsid w:val="005D3F9A"/>
    <w:rsid w:val="005D4399"/>
    <w:rsid w:val="005D5568"/>
    <w:rsid w:val="005D6917"/>
    <w:rsid w:val="005D6E59"/>
    <w:rsid w:val="005D725A"/>
    <w:rsid w:val="005D77C0"/>
    <w:rsid w:val="005E1FC7"/>
    <w:rsid w:val="005E2794"/>
    <w:rsid w:val="005E5D07"/>
    <w:rsid w:val="005E723E"/>
    <w:rsid w:val="005E7A3F"/>
    <w:rsid w:val="005F007F"/>
    <w:rsid w:val="005F3CAF"/>
    <w:rsid w:val="005F564A"/>
    <w:rsid w:val="005F61AB"/>
    <w:rsid w:val="005F6BC8"/>
    <w:rsid w:val="005F74A3"/>
    <w:rsid w:val="00600785"/>
    <w:rsid w:val="00601C2E"/>
    <w:rsid w:val="00602669"/>
    <w:rsid w:val="00602EE2"/>
    <w:rsid w:val="00605002"/>
    <w:rsid w:val="00606538"/>
    <w:rsid w:val="0060661A"/>
    <w:rsid w:val="00607D62"/>
    <w:rsid w:val="00607EED"/>
    <w:rsid w:val="00610429"/>
    <w:rsid w:val="00610724"/>
    <w:rsid w:val="00610869"/>
    <w:rsid w:val="00613133"/>
    <w:rsid w:val="0061359E"/>
    <w:rsid w:val="006148ED"/>
    <w:rsid w:val="00615998"/>
    <w:rsid w:val="00617A98"/>
    <w:rsid w:val="00617CA7"/>
    <w:rsid w:val="006202D8"/>
    <w:rsid w:val="006205A6"/>
    <w:rsid w:val="00620FAA"/>
    <w:rsid w:val="006215F7"/>
    <w:rsid w:val="006219A4"/>
    <w:rsid w:val="00621B80"/>
    <w:rsid w:val="0062202C"/>
    <w:rsid w:val="006221B4"/>
    <w:rsid w:val="00623712"/>
    <w:rsid w:val="00623DD1"/>
    <w:rsid w:val="00624DFB"/>
    <w:rsid w:val="006263D7"/>
    <w:rsid w:val="006266A7"/>
    <w:rsid w:val="00630733"/>
    <w:rsid w:val="00630E90"/>
    <w:rsid w:val="00630EEE"/>
    <w:rsid w:val="00634F3F"/>
    <w:rsid w:val="00636633"/>
    <w:rsid w:val="00637CE5"/>
    <w:rsid w:val="00640835"/>
    <w:rsid w:val="00642105"/>
    <w:rsid w:val="00642987"/>
    <w:rsid w:val="00644DDB"/>
    <w:rsid w:val="0064640E"/>
    <w:rsid w:val="0064765F"/>
    <w:rsid w:val="00650D84"/>
    <w:rsid w:val="00650EEC"/>
    <w:rsid w:val="0065150F"/>
    <w:rsid w:val="00653BA8"/>
    <w:rsid w:val="00654DC6"/>
    <w:rsid w:val="006559B7"/>
    <w:rsid w:val="00657CDD"/>
    <w:rsid w:val="0066071F"/>
    <w:rsid w:val="00660A8B"/>
    <w:rsid w:val="00661842"/>
    <w:rsid w:val="00661DF1"/>
    <w:rsid w:val="006628C6"/>
    <w:rsid w:val="006649E0"/>
    <w:rsid w:val="00665DC2"/>
    <w:rsid w:val="006675BC"/>
    <w:rsid w:val="00670F6D"/>
    <w:rsid w:val="006710E1"/>
    <w:rsid w:val="00672137"/>
    <w:rsid w:val="00672345"/>
    <w:rsid w:val="00672665"/>
    <w:rsid w:val="0067486B"/>
    <w:rsid w:val="00675701"/>
    <w:rsid w:val="00676188"/>
    <w:rsid w:val="006764E9"/>
    <w:rsid w:val="00682D73"/>
    <w:rsid w:val="0068302D"/>
    <w:rsid w:val="00684508"/>
    <w:rsid w:val="006845E6"/>
    <w:rsid w:val="0068544F"/>
    <w:rsid w:val="00685CBA"/>
    <w:rsid w:val="0068754E"/>
    <w:rsid w:val="0068788C"/>
    <w:rsid w:val="0069085C"/>
    <w:rsid w:val="00690C20"/>
    <w:rsid w:val="00691717"/>
    <w:rsid w:val="00691CF8"/>
    <w:rsid w:val="00692686"/>
    <w:rsid w:val="006926A5"/>
    <w:rsid w:val="00693A15"/>
    <w:rsid w:val="00694640"/>
    <w:rsid w:val="00697660"/>
    <w:rsid w:val="006A116E"/>
    <w:rsid w:val="006A28CA"/>
    <w:rsid w:val="006A30BB"/>
    <w:rsid w:val="006A3A75"/>
    <w:rsid w:val="006A5920"/>
    <w:rsid w:val="006B0EEC"/>
    <w:rsid w:val="006B1639"/>
    <w:rsid w:val="006B52C3"/>
    <w:rsid w:val="006B5483"/>
    <w:rsid w:val="006B62DF"/>
    <w:rsid w:val="006B67D8"/>
    <w:rsid w:val="006C05D8"/>
    <w:rsid w:val="006C1E48"/>
    <w:rsid w:val="006C2577"/>
    <w:rsid w:val="006C2679"/>
    <w:rsid w:val="006C2BF8"/>
    <w:rsid w:val="006C3D5F"/>
    <w:rsid w:val="006C5272"/>
    <w:rsid w:val="006C5C1E"/>
    <w:rsid w:val="006C6F5E"/>
    <w:rsid w:val="006D101A"/>
    <w:rsid w:val="006D1B72"/>
    <w:rsid w:val="006D37B8"/>
    <w:rsid w:val="006D47EA"/>
    <w:rsid w:val="006D4C06"/>
    <w:rsid w:val="006E08C0"/>
    <w:rsid w:val="006E2FDA"/>
    <w:rsid w:val="006E482C"/>
    <w:rsid w:val="006E4A74"/>
    <w:rsid w:val="006E5827"/>
    <w:rsid w:val="006F158C"/>
    <w:rsid w:val="006F295A"/>
    <w:rsid w:val="006F3E73"/>
    <w:rsid w:val="006F498A"/>
    <w:rsid w:val="006F5BCA"/>
    <w:rsid w:val="006F6331"/>
    <w:rsid w:val="00700353"/>
    <w:rsid w:val="00700E53"/>
    <w:rsid w:val="007033F9"/>
    <w:rsid w:val="007047B3"/>
    <w:rsid w:val="007055F1"/>
    <w:rsid w:val="00705DC9"/>
    <w:rsid w:val="007074E1"/>
    <w:rsid w:val="00707FA3"/>
    <w:rsid w:val="0071119D"/>
    <w:rsid w:val="00712259"/>
    <w:rsid w:val="00712C3A"/>
    <w:rsid w:val="007142D7"/>
    <w:rsid w:val="007148CE"/>
    <w:rsid w:val="00716939"/>
    <w:rsid w:val="00716F8A"/>
    <w:rsid w:val="00717CA3"/>
    <w:rsid w:val="00717ECA"/>
    <w:rsid w:val="00720631"/>
    <w:rsid w:val="007207DE"/>
    <w:rsid w:val="00720B24"/>
    <w:rsid w:val="00722C93"/>
    <w:rsid w:val="00722D1D"/>
    <w:rsid w:val="00723765"/>
    <w:rsid w:val="00724E48"/>
    <w:rsid w:val="0072656A"/>
    <w:rsid w:val="00726E03"/>
    <w:rsid w:val="007275AD"/>
    <w:rsid w:val="00731554"/>
    <w:rsid w:val="00733224"/>
    <w:rsid w:val="00734963"/>
    <w:rsid w:val="00735077"/>
    <w:rsid w:val="00736548"/>
    <w:rsid w:val="00737B7B"/>
    <w:rsid w:val="00740264"/>
    <w:rsid w:val="0074031A"/>
    <w:rsid w:val="00741C95"/>
    <w:rsid w:val="00746A3C"/>
    <w:rsid w:val="00746D6D"/>
    <w:rsid w:val="00746E41"/>
    <w:rsid w:val="00747A37"/>
    <w:rsid w:val="007500AB"/>
    <w:rsid w:val="00750A0B"/>
    <w:rsid w:val="0075267C"/>
    <w:rsid w:val="00756F01"/>
    <w:rsid w:val="00757138"/>
    <w:rsid w:val="00761128"/>
    <w:rsid w:val="0076313C"/>
    <w:rsid w:val="00764BC0"/>
    <w:rsid w:val="007654BA"/>
    <w:rsid w:val="00765946"/>
    <w:rsid w:val="00766752"/>
    <w:rsid w:val="00766768"/>
    <w:rsid w:val="00767869"/>
    <w:rsid w:val="00770F16"/>
    <w:rsid w:val="0077188F"/>
    <w:rsid w:val="007728C5"/>
    <w:rsid w:val="0077290A"/>
    <w:rsid w:val="007739E3"/>
    <w:rsid w:val="00773C39"/>
    <w:rsid w:val="00773F2A"/>
    <w:rsid w:val="00774314"/>
    <w:rsid w:val="00774EB3"/>
    <w:rsid w:val="007752FB"/>
    <w:rsid w:val="00775384"/>
    <w:rsid w:val="00776007"/>
    <w:rsid w:val="0077646A"/>
    <w:rsid w:val="00776AB8"/>
    <w:rsid w:val="007772F5"/>
    <w:rsid w:val="00781258"/>
    <w:rsid w:val="00781632"/>
    <w:rsid w:val="00781A6A"/>
    <w:rsid w:val="00781E73"/>
    <w:rsid w:val="00782034"/>
    <w:rsid w:val="007823D3"/>
    <w:rsid w:val="00782497"/>
    <w:rsid w:val="007830CF"/>
    <w:rsid w:val="007840AD"/>
    <w:rsid w:val="007845F6"/>
    <w:rsid w:val="007855A0"/>
    <w:rsid w:val="00785B08"/>
    <w:rsid w:val="00786E62"/>
    <w:rsid w:val="007870C5"/>
    <w:rsid w:val="00790154"/>
    <w:rsid w:val="007922FF"/>
    <w:rsid w:val="00792691"/>
    <w:rsid w:val="00794004"/>
    <w:rsid w:val="007A0257"/>
    <w:rsid w:val="007A1452"/>
    <w:rsid w:val="007A17CC"/>
    <w:rsid w:val="007A25DD"/>
    <w:rsid w:val="007A3B67"/>
    <w:rsid w:val="007A3E7E"/>
    <w:rsid w:val="007A3E90"/>
    <w:rsid w:val="007A4C3D"/>
    <w:rsid w:val="007A4DB8"/>
    <w:rsid w:val="007A53CC"/>
    <w:rsid w:val="007A79EA"/>
    <w:rsid w:val="007B11C4"/>
    <w:rsid w:val="007B206D"/>
    <w:rsid w:val="007B3694"/>
    <w:rsid w:val="007B5884"/>
    <w:rsid w:val="007B786B"/>
    <w:rsid w:val="007C08FF"/>
    <w:rsid w:val="007C11AA"/>
    <w:rsid w:val="007C1B80"/>
    <w:rsid w:val="007C363F"/>
    <w:rsid w:val="007C66DB"/>
    <w:rsid w:val="007C7ABD"/>
    <w:rsid w:val="007D02E1"/>
    <w:rsid w:val="007D2020"/>
    <w:rsid w:val="007D2812"/>
    <w:rsid w:val="007D38CF"/>
    <w:rsid w:val="007D5001"/>
    <w:rsid w:val="007D5107"/>
    <w:rsid w:val="007D7DA1"/>
    <w:rsid w:val="007E003B"/>
    <w:rsid w:val="007E04DB"/>
    <w:rsid w:val="007E0A4C"/>
    <w:rsid w:val="007E0BB6"/>
    <w:rsid w:val="007E1006"/>
    <w:rsid w:val="007E1F9E"/>
    <w:rsid w:val="007E1FB4"/>
    <w:rsid w:val="007E2145"/>
    <w:rsid w:val="007E3F1B"/>
    <w:rsid w:val="007E6B0E"/>
    <w:rsid w:val="007F0ABD"/>
    <w:rsid w:val="007F12F4"/>
    <w:rsid w:val="007F3E55"/>
    <w:rsid w:val="007F404C"/>
    <w:rsid w:val="007F56DD"/>
    <w:rsid w:val="007F6601"/>
    <w:rsid w:val="007F76E2"/>
    <w:rsid w:val="008008B0"/>
    <w:rsid w:val="00802BA3"/>
    <w:rsid w:val="00802CE8"/>
    <w:rsid w:val="00803233"/>
    <w:rsid w:val="00805B27"/>
    <w:rsid w:val="00806811"/>
    <w:rsid w:val="008107D9"/>
    <w:rsid w:val="00811E7B"/>
    <w:rsid w:val="00815C63"/>
    <w:rsid w:val="00821284"/>
    <w:rsid w:val="00822DD3"/>
    <w:rsid w:val="00823698"/>
    <w:rsid w:val="008237FE"/>
    <w:rsid w:val="00825131"/>
    <w:rsid w:val="0082771C"/>
    <w:rsid w:val="00830543"/>
    <w:rsid w:val="00833F84"/>
    <w:rsid w:val="00834D81"/>
    <w:rsid w:val="00834DFE"/>
    <w:rsid w:val="00836AFC"/>
    <w:rsid w:val="00837A0E"/>
    <w:rsid w:val="00837BDA"/>
    <w:rsid w:val="00837DB8"/>
    <w:rsid w:val="00842630"/>
    <w:rsid w:val="00842D9B"/>
    <w:rsid w:val="00843EAB"/>
    <w:rsid w:val="00847947"/>
    <w:rsid w:val="0085108D"/>
    <w:rsid w:val="00852B00"/>
    <w:rsid w:val="00852F9A"/>
    <w:rsid w:val="008533AD"/>
    <w:rsid w:val="00853A2E"/>
    <w:rsid w:val="00853CF3"/>
    <w:rsid w:val="00854332"/>
    <w:rsid w:val="00854BE0"/>
    <w:rsid w:val="00857832"/>
    <w:rsid w:val="00857FA5"/>
    <w:rsid w:val="0086039B"/>
    <w:rsid w:val="00860B53"/>
    <w:rsid w:val="00861B60"/>
    <w:rsid w:val="008626D2"/>
    <w:rsid w:val="0086284C"/>
    <w:rsid w:val="00862AC4"/>
    <w:rsid w:val="00864F60"/>
    <w:rsid w:val="00866CF8"/>
    <w:rsid w:val="00867742"/>
    <w:rsid w:val="0087046D"/>
    <w:rsid w:val="0087201F"/>
    <w:rsid w:val="0087301B"/>
    <w:rsid w:val="00874938"/>
    <w:rsid w:val="00874D47"/>
    <w:rsid w:val="00874F93"/>
    <w:rsid w:val="00875842"/>
    <w:rsid w:val="00875B8F"/>
    <w:rsid w:val="008773E2"/>
    <w:rsid w:val="00877665"/>
    <w:rsid w:val="00877D17"/>
    <w:rsid w:val="008804BE"/>
    <w:rsid w:val="00880BAB"/>
    <w:rsid w:val="00882D5E"/>
    <w:rsid w:val="00882F2B"/>
    <w:rsid w:val="00883CF7"/>
    <w:rsid w:val="0088592F"/>
    <w:rsid w:val="00886304"/>
    <w:rsid w:val="0089029B"/>
    <w:rsid w:val="00892061"/>
    <w:rsid w:val="00892986"/>
    <w:rsid w:val="00894FA1"/>
    <w:rsid w:val="00895CB5"/>
    <w:rsid w:val="008A1303"/>
    <w:rsid w:val="008A2330"/>
    <w:rsid w:val="008A347B"/>
    <w:rsid w:val="008A4B82"/>
    <w:rsid w:val="008A5044"/>
    <w:rsid w:val="008A6B65"/>
    <w:rsid w:val="008A6E8A"/>
    <w:rsid w:val="008B108E"/>
    <w:rsid w:val="008B1DFE"/>
    <w:rsid w:val="008B226A"/>
    <w:rsid w:val="008B3B14"/>
    <w:rsid w:val="008B5504"/>
    <w:rsid w:val="008B5587"/>
    <w:rsid w:val="008B7438"/>
    <w:rsid w:val="008B7E48"/>
    <w:rsid w:val="008C054D"/>
    <w:rsid w:val="008C1308"/>
    <w:rsid w:val="008C1CA5"/>
    <w:rsid w:val="008C384E"/>
    <w:rsid w:val="008C46CD"/>
    <w:rsid w:val="008C59B2"/>
    <w:rsid w:val="008C7940"/>
    <w:rsid w:val="008C7953"/>
    <w:rsid w:val="008D0597"/>
    <w:rsid w:val="008D086B"/>
    <w:rsid w:val="008D0B9E"/>
    <w:rsid w:val="008D179A"/>
    <w:rsid w:val="008D243C"/>
    <w:rsid w:val="008D2A08"/>
    <w:rsid w:val="008D2D96"/>
    <w:rsid w:val="008D346D"/>
    <w:rsid w:val="008D4A46"/>
    <w:rsid w:val="008D768B"/>
    <w:rsid w:val="008D798E"/>
    <w:rsid w:val="008E0D4F"/>
    <w:rsid w:val="008E2BCF"/>
    <w:rsid w:val="008E2D92"/>
    <w:rsid w:val="008E2F31"/>
    <w:rsid w:val="008E3DC8"/>
    <w:rsid w:val="008E5A40"/>
    <w:rsid w:val="008E5C13"/>
    <w:rsid w:val="008E5FE3"/>
    <w:rsid w:val="008E603F"/>
    <w:rsid w:val="008E6063"/>
    <w:rsid w:val="008E7AAB"/>
    <w:rsid w:val="008F041F"/>
    <w:rsid w:val="008F04A1"/>
    <w:rsid w:val="008F1E66"/>
    <w:rsid w:val="008F277C"/>
    <w:rsid w:val="008F32F6"/>
    <w:rsid w:val="008F3793"/>
    <w:rsid w:val="008F487E"/>
    <w:rsid w:val="008F6E91"/>
    <w:rsid w:val="008F75AA"/>
    <w:rsid w:val="00900680"/>
    <w:rsid w:val="00900766"/>
    <w:rsid w:val="00900844"/>
    <w:rsid w:val="00900CB2"/>
    <w:rsid w:val="00902456"/>
    <w:rsid w:val="0090400F"/>
    <w:rsid w:val="00905B1F"/>
    <w:rsid w:val="00905D8D"/>
    <w:rsid w:val="00907008"/>
    <w:rsid w:val="00907ACC"/>
    <w:rsid w:val="009101A9"/>
    <w:rsid w:val="009101E3"/>
    <w:rsid w:val="00911179"/>
    <w:rsid w:val="0091166A"/>
    <w:rsid w:val="00911A96"/>
    <w:rsid w:val="009122A3"/>
    <w:rsid w:val="00914E87"/>
    <w:rsid w:val="00915ED1"/>
    <w:rsid w:val="0091611C"/>
    <w:rsid w:val="00916C6B"/>
    <w:rsid w:val="00916F20"/>
    <w:rsid w:val="00920805"/>
    <w:rsid w:val="00920CAB"/>
    <w:rsid w:val="00921569"/>
    <w:rsid w:val="009217C1"/>
    <w:rsid w:val="009219F6"/>
    <w:rsid w:val="009237F5"/>
    <w:rsid w:val="009266B4"/>
    <w:rsid w:val="009302AE"/>
    <w:rsid w:val="0093292A"/>
    <w:rsid w:val="00934645"/>
    <w:rsid w:val="0093785B"/>
    <w:rsid w:val="00940A1B"/>
    <w:rsid w:val="0094183F"/>
    <w:rsid w:val="00941C76"/>
    <w:rsid w:val="00941CD4"/>
    <w:rsid w:val="00941F7E"/>
    <w:rsid w:val="0094347A"/>
    <w:rsid w:val="00944BE8"/>
    <w:rsid w:val="0094584E"/>
    <w:rsid w:val="00945EC8"/>
    <w:rsid w:val="00947DE9"/>
    <w:rsid w:val="00951469"/>
    <w:rsid w:val="00952EEA"/>
    <w:rsid w:val="00953557"/>
    <w:rsid w:val="009544A6"/>
    <w:rsid w:val="009564B1"/>
    <w:rsid w:val="009578A6"/>
    <w:rsid w:val="0096077C"/>
    <w:rsid w:val="00960EB8"/>
    <w:rsid w:val="00961925"/>
    <w:rsid w:val="00961FDB"/>
    <w:rsid w:val="00965596"/>
    <w:rsid w:val="0096698E"/>
    <w:rsid w:val="00966CEF"/>
    <w:rsid w:val="00967584"/>
    <w:rsid w:val="00967F42"/>
    <w:rsid w:val="009705D5"/>
    <w:rsid w:val="00974541"/>
    <w:rsid w:val="009748A0"/>
    <w:rsid w:val="00974A67"/>
    <w:rsid w:val="00975359"/>
    <w:rsid w:val="009768CC"/>
    <w:rsid w:val="00976F90"/>
    <w:rsid w:val="00980E6B"/>
    <w:rsid w:val="009818D6"/>
    <w:rsid w:val="00981998"/>
    <w:rsid w:val="009831E2"/>
    <w:rsid w:val="00983B5D"/>
    <w:rsid w:val="00984593"/>
    <w:rsid w:val="009847DD"/>
    <w:rsid w:val="00990035"/>
    <w:rsid w:val="0099073A"/>
    <w:rsid w:val="0099220E"/>
    <w:rsid w:val="00993282"/>
    <w:rsid w:val="00993FC0"/>
    <w:rsid w:val="009947F5"/>
    <w:rsid w:val="00994E57"/>
    <w:rsid w:val="00995643"/>
    <w:rsid w:val="00996484"/>
    <w:rsid w:val="009A01D2"/>
    <w:rsid w:val="009A1B24"/>
    <w:rsid w:val="009A1B58"/>
    <w:rsid w:val="009A225D"/>
    <w:rsid w:val="009A3F6E"/>
    <w:rsid w:val="009A42D5"/>
    <w:rsid w:val="009A6238"/>
    <w:rsid w:val="009A7565"/>
    <w:rsid w:val="009A785E"/>
    <w:rsid w:val="009B12D0"/>
    <w:rsid w:val="009B3277"/>
    <w:rsid w:val="009B3EA1"/>
    <w:rsid w:val="009B40C2"/>
    <w:rsid w:val="009B4211"/>
    <w:rsid w:val="009B73F6"/>
    <w:rsid w:val="009C0A6C"/>
    <w:rsid w:val="009C0F00"/>
    <w:rsid w:val="009C195F"/>
    <w:rsid w:val="009C1BF2"/>
    <w:rsid w:val="009C30EF"/>
    <w:rsid w:val="009C4C33"/>
    <w:rsid w:val="009C5687"/>
    <w:rsid w:val="009C57FD"/>
    <w:rsid w:val="009C5DAC"/>
    <w:rsid w:val="009C70A7"/>
    <w:rsid w:val="009C70BB"/>
    <w:rsid w:val="009C7A8B"/>
    <w:rsid w:val="009C7D6D"/>
    <w:rsid w:val="009D0180"/>
    <w:rsid w:val="009D1E31"/>
    <w:rsid w:val="009D26C2"/>
    <w:rsid w:val="009D3565"/>
    <w:rsid w:val="009D3A4F"/>
    <w:rsid w:val="009D417F"/>
    <w:rsid w:val="009D5DA4"/>
    <w:rsid w:val="009D6F11"/>
    <w:rsid w:val="009D7A78"/>
    <w:rsid w:val="009D7BFB"/>
    <w:rsid w:val="009E055F"/>
    <w:rsid w:val="009E10BF"/>
    <w:rsid w:val="009E2D1C"/>
    <w:rsid w:val="009E3C0A"/>
    <w:rsid w:val="009E5C45"/>
    <w:rsid w:val="009E63FC"/>
    <w:rsid w:val="009E6DEA"/>
    <w:rsid w:val="009E7706"/>
    <w:rsid w:val="009F0714"/>
    <w:rsid w:val="009F0C6E"/>
    <w:rsid w:val="009F0EC0"/>
    <w:rsid w:val="009F1D89"/>
    <w:rsid w:val="009F37E6"/>
    <w:rsid w:val="009F3B92"/>
    <w:rsid w:val="009F3FA7"/>
    <w:rsid w:val="009F6AF7"/>
    <w:rsid w:val="009F74B3"/>
    <w:rsid w:val="00A007B0"/>
    <w:rsid w:val="00A0360F"/>
    <w:rsid w:val="00A044E2"/>
    <w:rsid w:val="00A047B5"/>
    <w:rsid w:val="00A050A6"/>
    <w:rsid w:val="00A062B1"/>
    <w:rsid w:val="00A0749C"/>
    <w:rsid w:val="00A079B1"/>
    <w:rsid w:val="00A07C6B"/>
    <w:rsid w:val="00A07E70"/>
    <w:rsid w:val="00A1083F"/>
    <w:rsid w:val="00A11C5A"/>
    <w:rsid w:val="00A122F0"/>
    <w:rsid w:val="00A1274C"/>
    <w:rsid w:val="00A13AA7"/>
    <w:rsid w:val="00A15622"/>
    <w:rsid w:val="00A16ABE"/>
    <w:rsid w:val="00A16DB9"/>
    <w:rsid w:val="00A17E00"/>
    <w:rsid w:val="00A20B14"/>
    <w:rsid w:val="00A21350"/>
    <w:rsid w:val="00A22BE8"/>
    <w:rsid w:val="00A22C59"/>
    <w:rsid w:val="00A2358B"/>
    <w:rsid w:val="00A23BBD"/>
    <w:rsid w:val="00A2658F"/>
    <w:rsid w:val="00A301FA"/>
    <w:rsid w:val="00A30D7D"/>
    <w:rsid w:val="00A32BEA"/>
    <w:rsid w:val="00A35711"/>
    <w:rsid w:val="00A35C70"/>
    <w:rsid w:val="00A37623"/>
    <w:rsid w:val="00A41547"/>
    <w:rsid w:val="00A4165F"/>
    <w:rsid w:val="00A41821"/>
    <w:rsid w:val="00A41908"/>
    <w:rsid w:val="00A41E32"/>
    <w:rsid w:val="00A42DF4"/>
    <w:rsid w:val="00A4427A"/>
    <w:rsid w:val="00A45801"/>
    <w:rsid w:val="00A505B0"/>
    <w:rsid w:val="00A51080"/>
    <w:rsid w:val="00A53C30"/>
    <w:rsid w:val="00A567A7"/>
    <w:rsid w:val="00A56E5C"/>
    <w:rsid w:val="00A57B97"/>
    <w:rsid w:val="00A653D5"/>
    <w:rsid w:val="00A65C45"/>
    <w:rsid w:val="00A66AC2"/>
    <w:rsid w:val="00A67527"/>
    <w:rsid w:val="00A70B42"/>
    <w:rsid w:val="00A72457"/>
    <w:rsid w:val="00A728C6"/>
    <w:rsid w:val="00A74909"/>
    <w:rsid w:val="00A76856"/>
    <w:rsid w:val="00A76EED"/>
    <w:rsid w:val="00A819BA"/>
    <w:rsid w:val="00A8576D"/>
    <w:rsid w:val="00A874D4"/>
    <w:rsid w:val="00A875EA"/>
    <w:rsid w:val="00A876D3"/>
    <w:rsid w:val="00A87D45"/>
    <w:rsid w:val="00A902BF"/>
    <w:rsid w:val="00A90926"/>
    <w:rsid w:val="00A91BDB"/>
    <w:rsid w:val="00A91EFD"/>
    <w:rsid w:val="00A92FD0"/>
    <w:rsid w:val="00A93EEB"/>
    <w:rsid w:val="00A94501"/>
    <w:rsid w:val="00A9508E"/>
    <w:rsid w:val="00A9533C"/>
    <w:rsid w:val="00A970E8"/>
    <w:rsid w:val="00A97ABE"/>
    <w:rsid w:val="00AA0F28"/>
    <w:rsid w:val="00AA15BC"/>
    <w:rsid w:val="00AA2DD0"/>
    <w:rsid w:val="00AA3B48"/>
    <w:rsid w:val="00AA4277"/>
    <w:rsid w:val="00AA4566"/>
    <w:rsid w:val="00AA50DA"/>
    <w:rsid w:val="00AA52B4"/>
    <w:rsid w:val="00AA70DB"/>
    <w:rsid w:val="00AB0468"/>
    <w:rsid w:val="00AB0CE0"/>
    <w:rsid w:val="00AB2339"/>
    <w:rsid w:val="00AB5871"/>
    <w:rsid w:val="00AB5C37"/>
    <w:rsid w:val="00AB5DC3"/>
    <w:rsid w:val="00AB60B0"/>
    <w:rsid w:val="00AB7433"/>
    <w:rsid w:val="00AB7592"/>
    <w:rsid w:val="00AC0EE6"/>
    <w:rsid w:val="00AC15D4"/>
    <w:rsid w:val="00AC1904"/>
    <w:rsid w:val="00AC219E"/>
    <w:rsid w:val="00AC6A71"/>
    <w:rsid w:val="00AC6B49"/>
    <w:rsid w:val="00AC714D"/>
    <w:rsid w:val="00AD0507"/>
    <w:rsid w:val="00AD25F0"/>
    <w:rsid w:val="00AD3CA7"/>
    <w:rsid w:val="00AD5051"/>
    <w:rsid w:val="00AD5265"/>
    <w:rsid w:val="00AE0CE0"/>
    <w:rsid w:val="00AE1106"/>
    <w:rsid w:val="00AE17D9"/>
    <w:rsid w:val="00AE26E8"/>
    <w:rsid w:val="00AE4034"/>
    <w:rsid w:val="00AE41A4"/>
    <w:rsid w:val="00AE4B9C"/>
    <w:rsid w:val="00AE6A2F"/>
    <w:rsid w:val="00AF1EA3"/>
    <w:rsid w:val="00AF21A0"/>
    <w:rsid w:val="00AF2F6B"/>
    <w:rsid w:val="00AF3F78"/>
    <w:rsid w:val="00AF6D02"/>
    <w:rsid w:val="00AF6EE3"/>
    <w:rsid w:val="00AF7CA2"/>
    <w:rsid w:val="00B00254"/>
    <w:rsid w:val="00B00427"/>
    <w:rsid w:val="00B019D8"/>
    <w:rsid w:val="00B04A30"/>
    <w:rsid w:val="00B07A69"/>
    <w:rsid w:val="00B10C5C"/>
    <w:rsid w:val="00B10DFD"/>
    <w:rsid w:val="00B11CB2"/>
    <w:rsid w:val="00B11EC6"/>
    <w:rsid w:val="00B13D0B"/>
    <w:rsid w:val="00B15518"/>
    <w:rsid w:val="00B1636F"/>
    <w:rsid w:val="00B17B85"/>
    <w:rsid w:val="00B21C43"/>
    <w:rsid w:val="00B21CC1"/>
    <w:rsid w:val="00B24B0D"/>
    <w:rsid w:val="00B252AB"/>
    <w:rsid w:val="00B2575B"/>
    <w:rsid w:val="00B26BD9"/>
    <w:rsid w:val="00B321E0"/>
    <w:rsid w:val="00B32629"/>
    <w:rsid w:val="00B32DC0"/>
    <w:rsid w:val="00B336C4"/>
    <w:rsid w:val="00B36261"/>
    <w:rsid w:val="00B37284"/>
    <w:rsid w:val="00B4092E"/>
    <w:rsid w:val="00B40A0B"/>
    <w:rsid w:val="00B40C8C"/>
    <w:rsid w:val="00B42447"/>
    <w:rsid w:val="00B43D87"/>
    <w:rsid w:val="00B44869"/>
    <w:rsid w:val="00B44EE6"/>
    <w:rsid w:val="00B472A6"/>
    <w:rsid w:val="00B47C12"/>
    <w:rsid w:val="00B47F6C"/>
    <w:rsid w:val="00B500DB"/>
    <w:rsid w:val="00B51203"/>
    <w:rsid w:val="00B52700"/>
    <w:rsid w:val="00B533BE"/>
    <w:rsid w:val="00B566ED"/>
    <w:rsid w:val="00B57705"/>
    <w:rsid w:val="00B61041"/>
    <w:rsid w:val="00B66A40"/>
    <w:rsid w:val="00B67369"/>
    <w:rsid w:val="00B6747C"/>
    <w:rsid w:val="00B6766B"/>
    <w:rsid w:val="00B67788"/>
    <w:rsid w:val="00B67922"/>
    <w:rsid w:val="00B67D8A"/>
    <w:rsid w:val="00B711CA"/>
    <w:rsid w:val="00B743B8"/>
    <w:rsid w:val="00B76B27"/>
    <w:rsid w:val="00B778BD"/>
    <w:rsid w:val="00B77EA9"/>
    <w:rsid w:val="00B80B42"/>
    <w:rsid w:val="00B81E06"/>
    <w:rsid w:val="00B825DF"/>
    <w:rsid w:val="00B85665"/>
    <w:rsid w:val="00B85789"/>
    <w:rsid w:val="00B86111"/>
    <w:rsid w:val="00B86221"/>
    <w:rsid w:val="00B86E2F"/>
    <w:rsid w:val="00B87473"/>
    <w:rsid w:val="00B87A24"/>
    <w:rsid w:val="00B9004B"/>
    <w:rsid w:val="00B90DF5"/>
    <w:rsid w:val="00B910A9"/>
    <w:rsid w:val="00B91D7D"/>
    <w:rsid w:val="00B91FAB"/>
    <w:rsid w:val="00B92323"/>
    <w:rsid w:val="00B92A6A"/>
    <w:rsid w:val="00B9364F"/>
    <w:rsid w:val="00B9433D"/>
    <w:rsid w:val="00B94459"/>
    <w:rsid w:val="00B9462B"/>
    <w:rsid w:val="00B968E2"/>
    <w:rsid w:val="00BA24C0"/>
    <w:rsid w:val="00BA2BA8"/>
    <w:rsid w:val="00BA3B8D"/>
    <w:rsid w:val="00BA42E8"/>
    <w:rsid w:val="00BA57E2"/>
    <w:rsid w:val="00BA5AFC"/>
    <w:rsid w:val="00BA5FA9"/>
    <w:rsid w:val="00BA7BB7"/>
    <w:rsid w:val="00BB0DCA"/>
    <w:rsid w:val="00BB174A"/>
    <w:rsid w:val="00BB67F1"/>
    <w:rsid w:val="00BB7DAD"/>
    <w:rsid w:val="00BC0499"/>
    <w:rsid w:val="00BC0C29"/>
    <w:rsid w:val="00BC3121"/>
    <w:rsid w:val="00BC4115"/>
    <w:rsid w:val="00BC62C0"/>
    <w:rsid w:val="00BC6FA6"/>
    <w:rsid w:val="00BD15B7"/>
    <w:rsid w:val="00BD2A10"/>
    <w:rsid w:val="00BD319B"/>
    <w:rsid w:val="00BD3DC8"/>
    <w:rsid w:val="00BD444C"/>
    <w:rsid w:val="00BD67FF"/>
    <w:rsid w:val="00BD6967"/>
    <w:rsid w:val="00BD6BC7"/>
    <w:rsid w:val="00BD7309"/>
    <w:rsid w:val="00BD790A"/>
    <w:rsid w:val="00BE0805"/>
    <w:rsid w:val="00BE0A9E"/>
    <w:rsid w:val="00BE11D1"/>
    <w:rsid w:val="00BE3371"/>
    <w:rsid w:val="00BE43CF"/>
    <w:rsid w:val="00BE5C66"/>
    <w:rsid w:val="00BF166C"/>
    <w:rsid w:val="00BF45A5"/>
    <w:rsid w:val="00BF4AA2"/>
    <w:rsid w:val="00BF5167"/>
    <w:rsid w:val="00BF5676"/>
    <w:rsid w:val="00BF6EBE"/>
    <w:rsid w:val="00C00EBA"/>
    <w:rsid w:val="00C01EA8"/>
    <w:rsid w:val="00C03897"/>
    <w:rsid w:val="00C03DD3"/>
    <w:rsid w:val="00C045D2"/>
    <w:rsid w:val="00C04A7B"/>
    <w:rsid w:val="00C0616E"/>
    <w:rsid w:val="00C079E0"/>
    <w:rsid w:val="00C07B8D"/>
    <w:rsid w:val="00C07CB2"/>
    <w:rsid w:val="00C115C1"/>
    <w:rsid w:val="00C12BF2"/>
    <w:rsid w:val="00C16180"/>
    <w:rsid w:val="00C16E08"/>
    <w:rsid w:val="00C2124E"/>
    <w:rsid w:val="00C24EAB"/>
    <w:rsid w:val="00C24EF4"/>
    <w:rsid w:val="00C25443"/>
    <w:rsid w:val="00C2595E"/>
    <w:rsid w:val="00C27A92"/>
    <w:rsid w:val="00C30601"/>
    <w:rsid w:val="00C336C6"/>
    <w:rsid w:val="00C37880"/>
    <w:rsid w:val="00C37969"/>
    <w:rsid w:val="00C40D0F"/>
    <w:rsid w:val="00C40D3F"/>
    <w:rsid w:val="00C41733"/>
    <w:rsid w:val="00C424D4"/>
    <w:rsid w:val="00C437E6"/>
    <w:rsid w:val="00C43DA1"/>
    <w:rsid w:val="00C46BC9"/>
    <w:rsid w:val="00C50259"/>
    <w:rsid w:val="00C508B4"/>
    <w:rsid w:val="00C509C9"/>
    <w:rsid w:val="00C52642"/>
    <w:rsid w:val="00C52D8F"/>
    <w:rsid w:val="00C5339C"/>
    <w:rsid w:val="00C55829"/>
    <w:rsid w:val="00C568AF"/>
    <w:rsid w:val="00C56935"/>
    <w:rsid w:val="00C571DB"/>
    <w:rsid w:val="00C614B6"/>
    <w:rsid w:val="00C61A86"/>
    <w:rsid w:val="00C62CBE"/>
    <w:rsid w:val="00C6331A"/>
    <w:rsid w:val="00C634CE"/>
    <w:rsid w:val="00C6491D"/>
    <w:rsid w:val="00C654FC"/>
    <w:rsid w:val="00C6585F"/>
    <w:rsid w:val="00C66328"/>
    <w:rsid w:val="00C67BA5"/>
    <w:rsid w:val="00C7268D"/>
    <w:rsid w:val="00C74E0C"/>
    <w:rsid w:val="00C7598B"/>
    <w:rsid w:val="00C75ABE"/>
    <w:rsid w:val="00C75C88"/>
    <w:rsid w:val="00C77830"/>
    <w:rsid w:val="00C801F6"/>
    <w:rsid w:val="00C803C7"/>
    <w:rsid w:val="00C81E02"/>
    <w:rsid w:val="00C822EC"/>
    <w:rsid w:val="00C84084"/>
    <w:rsid w:val="00C84720"/>
    <w:rsid w:val="00C86D42"/>
    <w:rsid w:val="00C87247"/>
    <w:rsid w:val="00C87948"/>
    <w:rsid w:val="00C91985"/>
    <w:rsid w:val="00C92603"/>
    <w:rsid w:val="00C92FF8"/>
    <w:rsid w:val="00C939A1"/>
    <w:rsid w:val="00C94603"/>
    <w:rsid w:val="00C95CF0"/>
    <w:rsid w:val="00C971C2"/>
    <w:rsid w:val="00CA049B"/>
    <w:rsid w:val="00CA0C7E"/>
    <w:rsid w:val="00CA16A1"/>
    <w:rsid w:val="00CA3376"/>
    <w:rsid w:val="00CA6776"/>
    <w:rsid w:val="00CA6E87"/>
    <w:rsid w:val="00CB0423"/>
    <w:rsid w:val="00CB1B31"/>
    <w:rsid w:val="00CB25E6"/>
    <w:rsid w:val="00CB2E81"/>
    <w:rsid w:val="00CB42B3"/>
    <w:rsid w:val="00CB5B6A"/>
    <w:rsid w:val="00CB5EEC"/>
    <w:rsid w:val="00CB6AF7"/>
    <w:rsid w:val="00CB7F2C"/>
    <w:rsid w:val="00CC1E7C"/>
    <w:rsid w:val="00CC394F"/>
    <w:rsid w:val="00CC3C2C"/>
    <w:rsid w:val="00CC432D"/>
    <w:rsid w:val="00CC4409"/>
    <w:rsid w:val="00CC443F"/>
    <w:rsid w:val="00CC4DF9"/>
    <w:rsid w:val="00CC5591"/>
    <w:rsid w:val="00CC7A67"/>
    <w:rsid w:val="00CC7F57"/>
    <w:rsid w:val="00CD004D"/>
    <w:rsid w:val="00CD2CA1"/>
    <w:rsid w:val="00CD3534"/>
    <w:rsid w:val="00CD5396"/>
    <w:rsid w:val="00CD653A"/>
    <w:rsid w:val="00CD67FD"/>
    <w:rsid w:val="00CE0732"/>
    <w:rsid w:val="00CE0A13"/>
    <w:rsid w:val="00CE365A"/>
    <w:rsid w:val="00CE4855"/>
    <w:rsid w:val="00CE4866"/>
    <w:rsid w:val="00CE4F25"/>
    <w:rsid w:val="00CE7666"/>
    <w:rsid w:val="00CF0070"/>
    <w:rsid w:val="00CF209E"/>
    <w:rsid w:val="00CF3404"/>
    <w:rsid w:val="00CF36F6"/>
    <w:rsid w:val="00CF40EF"/>
    <w:rsid w:val="00CF43EC"/>
    <w:rsid w:val="00CF4A42"/>
    <w:rsid w:val="00CF60A7"/>
    <w:rsid w:val="00D015AC"/>
    <w:rsid w:val="00D0193B"/>
    <w:rsid w:val="00D021EB"/>
    <w:rsid w:val="00D035C2"/>
    <w:rsid w:val="00D1049E"/>
    <w:rsid w:val="00D10610"/>
    <w:rsid w:val="00D10695"/>
    <w:rsid w:val="00D10C10"/>
    <w:rsid w:val="00D10E3E"/>
    <w:rsid w:val="00D127E3"/>
    <w:rsid w:val="00D12F01"/>
    <w:rsid w:val="00D12F95"/>
    <w:rsid w:val="00D13C1C"/>
    <w:rsid w:val="00D16B6F"/>
    <w:rsid w:val="00D171EF"/>
    <w:rsid w:val="00D1746D"/>
    <w:rsid w:val="00D22A39"/>
    <w:rsid w:val="00D24679"/>
    <w:rsid w:val="00D24AE6"/>
    <w:rsid w:val="00D24CB9"/>
    <w:rsid w:val="00D25346"/>
    <w:rsid w:val="00D25FCB"/>
    <w:rsid w:val="00D278C5"/>
    <w:rsid w:val="00D31C40"/>
    <w:rsid w:val="00D3214E"/>
    <w:rsid w:val="00D34903"/>
    <w:rsid w:val="00D34C79"/>
    <w:rsid w:val="00D36F24"/>
    <w:rsid w:val="00D37D3F"/>
    <w:rsid w:val="00D37FEF"/>
    <w:rsid w:val="00D40A9A"/>
    <w:rsid w:val="00D41A28"/>
    <w:rsid w:val="00D436D0"/>
    <w:rsid w:val="00D43996"/>
    <w:rsid w:val="00D443D2"/>
    <w:rsid w:val="00D45693"/>
    <w:rsid w:val="00D463F1"/>
    <w:rsid w:val="00D47B45"/>
    <w:rsid w:val="00D5206C"/>
    <w:rsid w:val="00D52606"/>
    <w:rsid w:val="00D52F6C"/>
    <w:rsid w:val="00D550BD"/>
    <w:rsid w:val="00D55688"/>
    <w:rsid w:val="00D56233"/>
    <w:rsid w:val="00D57B8F"/>
    <w:rsid w:val="00D606BA"/>
    <w:rsid w:val="00D63FA2"/>
    <w:rsid w:val="00D664C3"/>
    <w:rsid w:val="00D6669D"/>
    <w:rsid w:val="00D66BFA"/>
    <w:rsid w:val="00D67E72"/>
    <w:rsid w:val="00D70CF3"/>
    <w:rsid w:val="00D718E0"/>
    <w:rsid w:val="00D71E05"/>
    <w:rsid w:val="00D739B7"/>
    <w:rsid w:val="00D75D8C"/>
    <w:rsid w:val="00D77D95"/>
    <w:rsid w:val="00D807C5"/>
    <w:rsid w:val="00D81A86"/>
    <w:rsid w:val="00D83231"/>
    <w:rsid w:val="00D8607C"/>
    <w:rsid w:val="00D8719F"/>
    <w:rsid w:val="00D9004F"/>
    <w:rsid w:val="00D918C6"/>
    <w:rsid w:val="00D93CF6"/>
    <w:rsid w:val="00D93F3A"/>
    <w:rsid w:val="00D945C8"/>
    <w:rsid w:val="00D963E2"/>
    <w:rsid w:val="00D96E37"/>
    <w:rsid w:val="00DA34AE"/>
    <w:rsid w:val="00DA5933"/>
    <w:rsid w:val="00DA7CD2"/>
    <w:rsid w:val="00DB0967"/>
    <w:rsid w:val="00DB19F1"/>
    <w:rsid w:val="00DB5292"/>
    <w:rsid w:val="00DC1595"/>
    <w:rsid w:val="00DC1BFA"/>
    <w:rsid w:val="00DC3295"/>
    <w:rsid w:val="00DC37F5"/>
    <w:rsid w:val="00DC5297"/>
    <w:rsid w:val="00DC6C48"/>
    <w:rsid w:val="00DC7CFF"/>
    <w:rsid w:val="00DD3107"/>
    <w:rsid w:val="00DD69A1"/>
    <w:rsid w:val="00DD6A70"/>
    <w:rsid w:val="00DD724E"/>
    <w:rsid w:val="00DD7D30"/>
    <w:rsid w:val="00DE02A9"/>
    <w:rsid w:val="00DE1FD6"/>
    <w:rsid w:val="00DE2232"/>
    <w:rsid w:val="00DE3594"/>
    <w:rsid w:val="00DE4021"/>
    <w:rsid w:val="00DE494D"/>
    <w:rsid w:val="00DE5CF5"/>
    <w:rsid w:val="00DE7065"/>
    <w:rsid w:val="00DE79DD"/>
    <w:rsid w:val="00DF2276"/>
    <w:rsid w:val="00DF3162"/>
    <w:rsid w:val="00DF3404"/>
    <w:rsid w:val="00DF3B5A"/>
    <w:rsid w:val="00DF6861"/>
    <w:rsid w:val="00DF7E50"/>
    <w:rsid w:val="00E00AD6"/>
    <w:rsid w:val="00E05331"/>
    <w:rsid w:val="00E07014"/>
    <w:rsid w:val="00E07151"/>
    <w:rsid w:val="00E07C23"/>
    <w:rsid w:val="00E07C5E"/>
    <w:rsid w:val="00E07FB1"/>
    <w:rsid w:val="00E1167A"/>
    <w:rsid w:val="00E1287C"/>
    <w:rsid w:val="00E140B6"/>
    <w:rsid w:val="00E15D08"/>
    <w:rsid w:val="00E1713F"/>
    <w:rsid w:val="00E216D3"/>
    <w:rsid w:val="00E261DC"/>
    <w:rsid w:val="00E271AE"/>
    <w:rsid w:val="00E27AD7"/>
    <w:rsid w:val="00E3011B"/>
    <w:rsid w:val="00E30B31"/>
    <w:rsid w:val="00E30C5D"/>
    <w:rsid w:val="00E3290A"/>
    <w:rsid w:val="00E34783"/>
    <w:rsid w:val="00E3504D"/>
    <w:rsid w:val="00E35073"/>
    <w:rsid w:val="00E372EA"/>
    <w:rsid w:val="00E376CA"/>
    <w:rsid w:val="00E37A1F"/>
    <w:rsid w:val="00E41306"/>
    <w:rsid w:val="00E427E0"/>
    <w:rsid w:val="00E43789"/>
    <w:rsid w:val="00E43C97"/>
    <w:rsid w:val="00E43D26"/>
    <w:rsid w:val="00E44142"/>
    <w:rsid w:val="00E45B18"/>
    <w:rsid w:val="00E45BBF"/>
    <w:rsid w:val="00E461ED"/>
    <w:rsid w:val="00E47AE6"/>
    <w:rsid w:val="00E50CC5"/>
    <w:rsid w:val="00E516AF"/>
    <w:rsid w:val="00E53B71"/>
    <w:rsid w:val="00E571F9"/>
    <w:rsid w:val="00E57E3C"/>
    <w:rsid w:val="00E60B06"/>
    <w:rsid w:val="00E6321D"/>
    <w:rsid w:val="00E63C67"/>
    <w:rsid w:val="00E641AD"/>
    <w:rsid w:val="00E64F93"/>
    <w:rsid w:val="00E676DB"/>
    <w:rsid w:val="00E70D18"/>
    <w:rsid w:val="00E71CE3"/>
    <w:rsid w:val="00E725B2"/>
    <w:rsid w:val="00E72A55"/>
    <w:rsid w:val="00E72B4D"/>
    <w:rsid w:val="00E757CC"/>
    <w:rsid w:val="00E76D24"/>
    <w:rsid w:val="00E81E64"/>
    <w:rsid w:val="00E831B3"/>
    <w:rsid w:val="00E856F2"/>
    <w:rsid w:val="00E85816"/>
    <w:rsid w:val="00E86538"/>
    <w:rsid w:val="00E867E4"/>
    <w:rsid w:val="00E87CC0"/>
    <w:rsid w:val="00E900B4"/>
    <w:rsid w:val="00E95516"/>
    <w:rsid w:val="00E95EC6"/>
    <w:rsid w:val="00E97086"/>
    <w:rsid w:val="00E97392"/>
    <w:rsid w:val="00EA004B"/>
    <w:rsid w:val="00EA0E98"/>
    <w:rsid w:val="00EA16A1"/>
    <w:rsid w:val="00EA17EF"/>
    <w:rsid w:val="00EA17FF"/>
    <w:rsid w:val="00EA44F3"/>
    <w:rsid w:val="00EA5655"/>
    <w:rsid w:val="00EB197F"/>
    <w:rsid w:val="00EB2831"/>
    <w:rsid w:val="00EB2C59"/>
    <w:rsid w:val="00EB3632"/>
    <w:rsid w:val="00EB4608"/>
    <w:rsid w:val="00EB46D9"/>
    <w:rsid w:val="00EB4733"/>
    <w:rsid w:val="00EB55F7"/>
    <w:rsid w:val="00EB5B1B"/>
    <w:rsid w:val="00EB5DDA"/>
    <w:rsid w:val="00EC17E6"/>
    <w:rsid w:val="00EC1FE5"/>
    <w:rsid w:val="00EC3444"/>
    <w:rsid w:val="00EC3852"/>
    <w:rsid w:val="00EC4D5F"/>
    <w:rsid w:val="00EC6B0D"/>
    <w:rsid w:val="00EC6BEA"/>
    <w:rsid w:val="00EC6C86"/>
    <w:rsid w:val="00EC71ED"/>
    <w:rsid w:val="00EC720C"/>
    <w:rsid w:val="00EC7359"/>
    <w:rsid w:val="00EC7A94"/>
    <w:rsid w:val="00ED19E0"/>
    <w:rsid w:val="00ED2653"/>
    <w:rsid w:val="00ED2BBF"/>
    <w:rsid w:val="00ED3A91"/>
    <w:rsid w:val="00EE14F2"/>
    <w:rsid w:val="00EE243D"/>
    <w:rsid w:val="00EE3704"/>
    <w:rsid w:val="00EE649F"/>
    <w:rsid w:val="00EE67E6"/>
    <w:rsid w:val="00EE717C"/>
    <w:rsid w:val="00EE7816"/>
    <w:rsid w:val="00EF3296"/>
    <w:rsid w:val="00EF36EB"/>
    <w:rsid w:val="00EF482A"/>
    <w:rsid w:val="00EF7A19"/>
    <w:rsid w:val="00F0158B"/>
    <w:rsid w:val="00F015A7"/>
    <w:rsid w:val="00F01E19"/>
    <w:rsid w:val="00F01F03"/>
    <w:rsid w:val="00F03569"/>
    <w:rsid w:val="00F03C4E"/>
    <w:rsid w:val="00F043A1"/>
    <w:rsid w:val="00F06772"/>
    <w:rsid w:val="00F07040"/>
    <w:rsid w:val="00F07516"/>
    <w:rsid w:val="00F07835"/>
    <w:rsid w:val="00F07921"/>
    <w:rsid w:val="00F12D25"/>
    <w:rsid w:val="00F1337C"/>
    <w:rsid w:val="00F13417"/>
    <w:rsid w:val="00F13D03"/>
    <w:rsid w:val="00F13DB1"/>
    <w:rsid w:val="00F13EAA"/>
    <w:rsid w:val="00F1521A"/>
    <w:rsid w:val="00F1527A"/>
    <w:rsid w:val="00F1704A"/>
    <w:rsid w:val="00F20E83"/>
    <w:rsid w:val="00F21CBA"/>
    <w:rsid w:val="00F22FB4"/>
    <w:rsid w:val="00F23382"/>
    <w:rsid w:val="00F23542"/>
    <w:rsid w:val="00F238FB"/>
    <w:rsid w:val="00F23FD0"/>
    <w:rsid w:val="00F24808"/>
    <w:rsid w:val="00F25B19"/>
    <w:rsid w:val="00F26A80"/>
    <w:rsid w:val="00F26BB6"/>
    <w:rsid w:val="00F2767E"/>
    <w:rsid w:val="00F32141"/>
    <w:rsid w:val="00F328A2"/>
    <w:rsid w:val="00F33706"/>
    <w:rsid w:val="00F33CAD"/>
    <w:rsid w:val="00F367DF"/>
    <w:rsid w:val="00F36CBD"/>
    <w:rsid w:val="00F376E8"/>
    <w:rsid w:val="00F37CA9"/>
    <w:rsid w:val="00F413B8"/>
    <w:rsid w:val="00F4217A"/>
    <w:rsid w:val="00F450B7"/>
    <w:rsid w:val="00F46485"/>
    <w:rsid w:val="00F479BD"/>
    <w:rsid w:val="00F5069C"/>
    <w:rsid w:val="00F50D3D"/>
    <w:rsid w:val="00F51181"/>
    <w:rsid w:val="00F53E21"/>
    <w:rsid w:val="00F54B22"/>
    <w:rsid w:val="00F54F35"/>
    <w:rsid w:val="00F54F44"/>
    <w:rsid w:val="00F5631E"/>
    <w:rsid w:val="00F57F88"/>
    <w:rsid w:val="00F619EE"/>
    <w:rsid w:val="00F63C55"/>
    <w:rsid w:val="00F6556B"/>
    <w:rsid w:val="00F65E22"/>
    <w:rsid w:val="00F66E74"/>
    <w:rsid w:val="00F700E8"/>
    <w:rsid w:val="00F70865"/>
    <w:rsid w:val="00F7390E"/>
    <w:rsid w:val="00F80120"/>
    <w:rsid w:val="00F810A8"/>
    <w:rsid w:val="00F82584"/>
    <w:rsid w:val="00F83055"/>
    <w:rsid w:val="00F832D7"/>
    <w:rsid w:val="00F8386C"/>
    <w:rsid w:val="00F83979"/>
    <w:rsid w:val="00F83F60"/>
    <w:rsid w:val="00F8455A"/>
    <w:rsid w:val="00F847AE"/>
    <w:rsid w:val="00F847D6"/>
    <w:rsid w:val="00F84D5B"/>
    <w:rsid w:val="00F87DDA"/>
    <w:rsid w:val="00F91CBA"/>
    <w:rsid w:val="00F92056"/>
    <w:rsid w:val="00F92101"/>
    <w:rsid w:val="00F93543"/>
    <w:rsid w:val="00F93FF4"/>
    <w:rsid w:val="00F9425E"/>
    <w:rsid w:val="00FA455B"/>
    <w:rsid w:val="00FA46E2"/>
    <w:rsid w:val="00FA5783"/>
    <w:rsid w:val="00FA6A66"/>
    <w:rsid w:val="00FA71E4"/>
    <w:rsid w:val="00FB0931"/>
    <w:rsid w:val="00FB0A18"/>
    <w:rsid w:val="00FB0CAB"/>
    <w:rsid w:val="00FB1D86"/>
    <w:rsid w:val="00FB4241"/>
    <w:rsid w:val="00FB4944"/>
    <w:rsid w:val="00FB6A3C"/>
    <w:rsid w:val="00FB6ABD"/>
    <w:rsid w:val="00FB6F3F"/>
    <w:rsid w:val="00FB7D95"/>
    <w:rsid w:val="00FC0027"/>
    <w:rsid w:val="00FC1E49"/>
    <w:rsid w:val="00FC235B"/>
    <w:rsid w:val="00FC2684"/>
    <w:rsid w:val="00FC2AFD"/>
    <w:rsid w:val="00FC4544"/>
    <w:rsid w:val="00FC4AA8"/>
    <w:rsid w:val="00FC65C0"/>
    <w:rsid w:val="00FD11E5"/>
    <w:rsid w:val="00FD33F5"/>
    <w:rsid w:val="00FD4320"/>
    <w:rsid w:val="00FD4370"/>
    <w:rsid w:val="00FD5EBE"/>
    <w:rsid w:val="00FD6D70"/>
    <w:rsid w:val="00FE227F"/>
    <w:rsid w:val="00FE3B30"/>
    <w:rsid w:val="00FE3EC1"/>
    <w:rsid w:val="00FE5564"/>
    <w:rsid w:val="00FE59BA"/>
    <w:rsid w:val="00FE60C1"/>
    <w:rsid w:val="00FE74D2"/>
    <w:rsid w:val="00FF1FB2"/>
    <w:rsid w:val="00FF3D4F"/>
    <w:rsid w:val="00FF5E8E"/>
    <w:rsid w:val="00FF7C0A"/>
    <w:rsid w:val="027CF34D"/>
    <w:rsid w:val="0332E28E"/>
    <w:rsid w:val="03C5B916"/>
    <w:rsid w:val="08D1DF75"/>
    <w:rsid w:val="0A512E75"/>
    <w:rsid w:val="0D0D1D3B"/>
    <w:rsid w:val="0D179886"/>
    <w:rsid w:val="0D6C9B5C"/>
    <w:rsid w:val="0E2D4638"/>
    <w:rsid w:val="150F11B4"/>
    <w:rsid w:val="152D96E6"/>
    <w:rsid w:val="1718DC68"/>
    <w:rsid w:val="175B41B0"/>
    <w:rsid w:val="1AF2A0E3"/>
    <w:rsid w:val="2145874E"/>
    <w:rsid w:val="253023EA"/>
    <w:rsid w:val="257C9634"/>
    <w:rsid w:val="26130424"/>
    <w:rsid w:val="26C8F365"/>
    <w:rsid w:val="26C9580C"/>
    <w:rsid w:val="26CBF44B"/>
    <w:rsid w:val="27186695"/>
    <w:rsid w:val="27A4BDE1"/>
    <w:rsid w:val="2867C4AC"/>
    <w:rsid w:val="2A03950D"/>
    <w:rsid w:val="2A60B73F"/>
    <w:rsid w:val="2B9CC92F"/>
    <w:rsid w:val="2C47400B"/>
    <w:rsid w:val="2C5F06A7"/>
    <w:rsid w:val="2FC5378C"/>
    <w:rsid w:val="314282BB"/>
    <w:rsid w:val="338EB2B7"/>
    <w:rsid w:val="34B364A3"/>
    <w:rsid w:val="39BE1DB3"/>
    <w:rsid w:val="3AF4536D"/>
    <w:rsid w:val="3C41471B"/>
    <w:rsid w:val="3CDA0758"/>
    <w:rsid w:val="3D68ED64"/>
    <w:rsid w:val="417F193D"/>
    <w:rsid w:val="41C4B332"/>
    <w:rsid w:val="4210F3A6"/>
    <w:rsid w:val="43ACC407"/>
    <w:rsid w:val="446FCBC8"/>
    <w:rsid w:val="46370614"/>
    <w:rsid w:val="47B9AE18"/>
    <w:rsid w:val="4AE06E12"/>
    <w:rsid w:val="4B0A7737"/>
    <w:rsid w:val="4BFB3944"/>
    <w:rsid w:val="4C17945D"/>
    <w:rsid w:val="4C9DB70C"/>
    <w:rsid w:val="4CA64798"/>
    <w:rsid w:val="4E4217F9"/>
    <w:rsid w:val="4EF07F56"/>
    <w:rsid w:val="4F9C4B6A"/>
    <w:rsid w:val="500EA482"/>
    <w:rsid w:val="52F3D033"/>
    <w:rsid w:val="52FC60BF"/>
    <w:rsid w:val="58B088FE"/>
    <w:rsid w:val="58DF1921"/>
    <w:rsid w:val="593B72FB"/>
    <w:rsid w:val="59E5AA82"/>
    <w:rsid w:val="5A6581BC"/>
    <w:rsid w:val="5AD7435C"/>
    <w:rsid w:val="5C2598CB"/>
    <w:rsid w:val="5C7313BD"/>
    <w:rsid w:val="5D940512"/>
    <w:rsid w:val="5D9705F8"/>
    <w:rsid w:val="60730B96"/>
    <w:rsid w:val="65B352B4"/>
    <w:rsid w:val="65F677AD"/>
    <w:rsid w:val="672ADC67"/>
    <w:rsid w:val="684B0564"/>
    <w:rsid w:val="692E186F"/>
    <w:rsid w:val="69881FFC"/>
    <w:rsid w:val="69BA6FBB"/>
    <w:rsid w:val="6C037889"/>
    <w:rsid w:val="6E200EC4"/>
    <w:rsid w:val="6E54942A"/>
    <w:rsid w:val="6F9D59F3"/>
    <w:rsid w:val="71392A54"/>
    <w:rsid w:val="726F600E"/>
    <w:rsid w:val="728B7BD2"/>
    <w:rsid w:val="74817AFE"/>
    <w:rsid w:val="74F9F943"/>
    <w:rsid w:val="7717FEBE"/>
    <w:rsid w:val="78B3CF1F"/>
    <w:rsid w:val="78EF3963"/>
    <w:rsid w:val="79C77619"/>
    <w:rsid w:val="7A69912B"/>
    <w:rsid w:val="7B58F177"/>
    <w:rsid w:val="7B63467A"/>
    <w:rsid w:val="7B664760"/>
    <w:rsid w:val="7CEF0BEA"/>
    <w:rsid w:val="7E1AB8DA"/>
    <w:rsid w:val="7FC0D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98ECC"/>
  <w15:chartTrackingRefBased/>
  <w15:docId w15:val="{0597762D-D040-4294-B898-2934511D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D4E"/>
    <w:pPr>
      <w:jc w:val="both"/>
    </w:pPr>
  </w:style>
  <w:style w:type="paragraph" w:styleId="Heading1">
    <w:name w:val="heading 1"/>
    <w:basedOn w:val="Normal"/>
    <w:next w:val="Normal"/>
    <w:link w:val="Heading1Char"/>
    <w:uiPriority w:val="9"/>
    <w:qFormat/>
    <w:rsid w:val="009A7565"/>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565"/>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565"/>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622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622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622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622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622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622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38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3829"/>
    <w:rPr>
      <w:rFonts w:eastAsiaTheme="minorEastAsia"/>
      <w:lang w:val="en-US"/>
    </w:rPr>
  </w:style>
  <w:style w:type="paragraph" w:styleId="Header">
    <w:name w:val="header"/>
    <w:basedOn w:val="Normal"/>
    <w:link w:val="HeaderChar"/>
    <w:uiPriority w:val="99"/>
    <w:unhideWhenUsed/>
    <w:rsid w:val="00483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829"/>
  </w:style>
  <w:style w:type="paragraph" w:styleId="Footer">
    <w:name w:val="footer"/>
    <w:basedOn w:val="Normal"/>
    <w:link w:val="FooterChar"/>
    <w:uiPriority w:val="99"/>
    <w:unhideWhenUsed/>
    <w:rsid w:val="00483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829"/>
  </w:style>
  <w:style w:type="paragraph" w:styleId="Title">
    <w:name w:val="Title"/>
    <w:basedOn w:val="Normal"/>
    <w:next w:val="Normal"/>
    <w:link w:val="TitleChar"/>
    <w:uiPriority w:val="10"/>
    <w:qFormat/>
    <w:rsid w:val="00182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565"/>
    <w:rPr>
      <w:rFonts w:eastAsiaTheme="minorEastAsia"/>
      <w:color w:val="5A5A5A" w:themeColor="text1" w:themeTint="A5"/>
      <w:spacing w:val="15"/>
    </w:rPr>
  </w:style>
  <w:style w:type="character" w:styleId="PlaceholderText">
    <w:name w:val="Placeholder Text"/>
    <w:basedOn w:val="DefaultParagraphFont"/>
    <w:uiPriority w:val="99"/>
    <w:semiHidden/>
    <w:rsid w:val="00182CA4"/>
    <w:rPr>
      <w:color w:val="808080"/>
    </w:rPr>
  </w:style>
  <w:style w:type="character" w:customStyle="1" w:styleId="Heading1Char">
    <w:name w:val="Heading 1 Char"/>
    <w:basedOn w:val="DefaultParagraphFont"/>
    <w:link w:val="Heading1"/>
    <w:uiPriority w:val="9"/>
    <w:rsid w:val="009A7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5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284C"/>
    <w:pPr>
      <w:ind w:left="720"/>
      <w:contextualSpacing/>
    </w:pPr>
  </w:style>
  <w:style w:type="character" w:styleId="Strong">
    <w:name w:val="Strong"/>
    <w:basedOn w:val="DefaultParagraphFont"/>
    <w:uiPriority w:val="22"/>
    <w:qFormat/>
    <w:rsid w:val="00283E3A"/>
    <w:rPr>
      <w:b/>
      <w:bCs/>
    </w:rPr>
  </w:style>
  <w:style w:type="character" w:styleId="Emphasis">
    <w:name w:val="Emphasis"/>
    <w:basedOn w:val="DefaultParagraphFont"/>
    <w:uiPriority w:val="20"/>
    <w:qFormat/>
    <w:rsid w:val="00283E3A"/>
    <w:rPr>
      <w:i/>
      <w:iCs/>
    </w:rPr>
  </w:style>
  <w:style w:type="character" w:styleId="Hyperlink">
    <w:name w:val="Hyperlink"/>
    <w:basedOn w:val="DefaultParagraphFont"/>
    <w:uiPriority w:val="99"/>
    <w:unhideWhenUsed/>
    <w:rsid w:val="00A875EA"/>
    <w:rPr>
      <w:color w:val="0563C1" w:themeColor="hyperlink"/>
      <w:u w:val="single"/>
    </w:rPr>
  </w:style>
  <w:style w:type="character" w:styleId="UnresolvedMention">
    <w:name w:val="Unresolved Mention"/>
    <w:basedOn w:val="DefaultParagraphFont"/>
    <w:uiPriority w:val="99"/>
    <w:semiHidden/>
    <w:unhideWhenUsed/>
    <w:rsid w:val="00A875E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Reference">
    <w:name w:val="Reference"/>
    <w:basedOn w:val="Normal"/>
    <w:link w:val="ReferenceChar"/>
    <w:qFormat/>
    <w:rsid w:val="009A7565"/>
    <w:rPr>
      <w:i/>
      <w:color w:val="7F7F7F" w:themeColor="text1" w:themeTint="80"/>
    </w:rPr>
  </w:style>
  <w:style w:type="character" w:styleId="FollowedHyperlink">
    <w:name w:val="FollowedHyperlink"/>
    <w:basedOn w:val="DefaultParagraphFont"/>
    <w:uiPriority w:val="99"/>
    <w:semiHidden/>
    <w:unhideWhenUsed/>
    <w:rsid w:val="004A4726"/>
    <w:rPr>
      <w:color w:val="954F72" w:themeColor="followedHyperlink"/>
      <w:u w:val="single"/>
    </w:rPr>
  </w:style>
  <w:style w:type="character" w:customStyle="1" w:styleId="ReferenceChar">
    <w:name w:val="Reference Char"/>
    <w:basedOn w:val="DefaultParagraphFont"/>
    <w:link w:val="Reference"/>
    <w:rsid w:val="009A7565"/>
    <w:rPr>
      <w:i/>
      <w:color w:val="7F7F7F" w:themeColor="text1" w:themeTint="80"/>
    </w:rPr>
  </w:style>
  <w:style w:type="paragraph" w:styleId="FootnoteText">
    <w:name w:val="footnote text"/>
    <w:basedOn w:val="Normal"/>
    <w:link w:val="FootnoteTextChar"/>
    <w:uiPriority w:val="99"/>
    <w:unhideWhenUsed/>
    <w:rsid w:val="00E35073"/>
    <w:pPr>
      <w:spacing w:after="0" w:line="240" w:lineRule="auto"/>
    </w:pPr>
    <w:rPr>
      <w:sz w:val="20"/>
      <w:szCs w:val="20"/>
    </w:rPr>
  </w:style>
  <w:style w:type="character" w:customStyle="1" w:styleId="FootnoteTextChar">
    <w:name w:val="Footnote Text Char"/>
    <w:basedOn w:val="DefaultParagraphFont"/>
    <w:link w:val="FootnoteText"/>
    <w:uiPriority w:val="99"/>
    <w:rsid w:val="00E35073"/>
    <w:rPr>
      <w:sz w:val="20"/>
      <w:szCs w:val="20"/>
    </w:rPr>
  </w:style>
  <w:style w:type="character" w:styleId="FootnoteReference">
    <w:name w:val="footnote reference"/>
    <w:basedOn w:val="DefaultParagraphFont"/>
    <w:uiPriority w:val="99"/>
    <w:semiHidden/>
    <w:unhideWhenUsed/>
    <w:rsid w:val="00E35073"/>
    <w:rPr>
      <w:vertAlign w:val="superscript"/>
    </w:rPr>
  </w:style>
  <w:style w:type="paragraph" w:styleId="IntenseQuote">
    <w:name w:val="Intense Quote"/>
    <w:basedOn w:val="Normal"/>
    <w:next w:val="Normal"/>
    <w:link w:val="IntenseQuoteChar"/>
    <w:uiPriority w:val="30"/>
    <w:qFormat/>
    <w:rsid w:val="006A3A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3A75"/>
    <w:rPr>
      <w:i/>
      <w:iCs/>
      <w:color w:val="4472C4" w:themeColor="accent1"/>
    </w:rPr>
  </w:style>
  <w:style w:type="character" w:customStyle="1" w:styleId="Heading3Char">
    <w:name w:val="Heading 3 Char"/>
    <w:basedOn w:val="DefaultParagraphFont"/>
    <w:link w:val="Heading3"/>
    <w:uiPriority w:val="9"/>
    <w:rsid w:val="009A7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862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62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62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62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62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622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4B1364"/>
    <w:rPr>
      <w:smallCaps/>
      <w:color w:val="5A5A5A" w:themeColor="text1" w:themeTint="A5"/>
    </w:rPr>
  </w:style>
  <w:style w:type="paragraph" w:styleId="TOCHeading">
    <w:name w:val="TOC Heading"/>
    <w:basedOn w:val="Heading1"/>
    <w:next w:val="Normal"/>
    <w:uiPriority w:val="39"/>
    <w:unhideWhenUsed/>
    <w:qFormat/>
    <w:rsid w:val="004A417A"/>
    <w:pPr>
      <w:numPr>
        <w:numId w:val="0"/>
      </w:numPr>
      <w:jc w:val="left"/>
      <w:outlineLvl w:val="9"/>
    </w:pPr>
    <w:rPr>
      <w:vanish/>
      <w:lang w:val="en-US"/>
    </w:rPr>
  </w:style>
  <w:style w:type="paragraph" w:styleId="TOC1">
    <w:name w:val="toc 1"/>
    <w:basedOn w:val="Normal"/>
    <w:next w:val="Normal"/>
    <w:autoRedefine/>
    <w:uiPriority w:val="39"/>
    <w:unhideWhenUsed/>
    <w:rsid w:val="004A417A"/>
    <w:pPr>
      <w:spacing w:after="100"/>
    </w:pPr>
  </w:style>
  <w:style w:type="paragraph" w:styleId="TOC2">
    <w:name w:val="toc 2"/>
    <w:basedOn w:val="Normal"/>
    <w:next w:val="Normal"/>
    <w:autoRedefine/>
    <w:uiPriority w:val="39"/>
    <w:unhideWhenUsed/>
    <w:rsid w:val="004A417A"/>
    <w:pPr>
      <w:spacing w:after="100"/>
      <w:ind w:left="220"/>
    </w:pPr>
  </w:style>
  <w:style w:type="paragraph" w:styleId="TOC3">
    <w:name w:val="toc 3"/>
    <w:basedOn w:val="Normal"/>
    <w:next w:val="Normal"/>
    <w:autoRedefine/>
    <w:uiPriority w:val="39"/>
    <w:unhideWhenUsed/>
    <w:rsid w:val="00B00427"/>
    <w:pPr>
      <w:spacing w:after="100"/>
      <w:ind w:left="440"/>
      <w:jc w:val="left"/>
    </w:pPr>
    <w:rPr>
      <w:rFonts w:eastAsiaTheme="minorEastAsia" w:cs="Times New Roman"/>
      <w:lang w:val="en-US"/>
    </w:rPr>
  </w:style>
  <w:style w:type="paragraph" w:styleId="CommentSubject">
    <w:name w:val="annotation subject"/>
    <w:basedOn w:val="CommentText"/>
    <w:next w:val="CommentText"/>
    <w:link w:val="CommentSubjectChar"/>
    <w:uiPriority w:val="99"/>
    <w:semiHidden/>
    <w:unhideWhenUsed/>
    <w:rsid w:val="001E12E9"/>
    <w:rPr>
      <w:b/>
      <w:bCs/>
    </w:rPr>
  </w:style>
  <w:style w:type="character" w:customStyle="1" w:styleId="CommentSubjectChar">
    <w:name w:val="Comment Subject Char"/>
    <w:basedOn w:val="CommentTextChar"/>
    <w:link w:val="CommentSubject"/>
    <w:uiPriority w:val="99"/>
    <w:semiHidden/>
    <w:rsid w:val="001E1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3702">
      <w:bodyDiv w:val="1"/>
      <w:marLeft w:val="0"/>
      <w:marRight w:val="0"/>
      <w:marTop w:val="0"/>
      <w:marBottom w:val="0"/>
      <w:divBdr>
        <w:top w:val="none" w:sz="0" w:space="0" w:color="auto"/>
        <w:left w:val="none" w:sz="0" w:space="0" w:color="auto"/>
        <w:bottom w:val="none" w:sz="0" w:space="0" w:color="auto"/>
        <w:right w:val="none" w:sz="0" w:space="0" w:color="auto"/>
      </w:divBdr>
    </w:div>
    <w:div w:id="226964651">
      <w:bodyDiv w:val="1"/>
      <w:marLeft w:val="0"/>
      <w:marRight w:val="0"/>
      <w:marTop w:val="0"/>
      <w:marBottom w:val="0"/>
      <w:divBdr>
        <w:top w:val="none" w:sz="0" w:space="0" w:color="auto"/>
        <w:left w:val="none" w:sz="0" w:space="0" w:color="auto"/>
        <w:bottom w:val="none" w:sz="0" w:space="0" w:color="auto"/>
        <w:right w:val="none" w:sz="0" w:space="0" w:color="auto"/>
      </w:divBdr>
    </w:div>
    <w:div w:id="307445601">
      <w:bodyDiv w:val="1"/>
      <w:marLeft w:val="0"/>
      <w:marRight w:val="0"/>
      <w:marTop w:val="0"/>
      <w:marBottom w:val="0"/>
      <w:divBdr>
        <w:top w:val="none" w:sz="0" w:space="0" w:color="auto"/>
        <w:left w:val="none" w:sz="0" w:space="0" w:color="auto"/>
        <w:bottom w:val="none" w:sz="0" w:space="0" w:color="auto"/>
        <w:right w:val="none" w:sz="0" w:space="0" w:color="auto"/>
      </w:divBdr>
    </w:div>
    <w:div w:id="337269151">
      <w:bodyDiv w:val="1"/>
      <w:marLeft w:val="0"/>
      <w:marRight w:val="0"/>
      <w:marTop w:val="0"/>
      <w:marBottom w:val="0"/>
      <w:divBdr>
        <w:top w:val="none" w:sz="0" w:space="0" w:color="auto"/>
        <w:left w:val="none" w:sz="0" w:space="0" w:color="auto"/>
        <w:bottom w:val="none" w:sz="0" w:space="0" w:color="auto"/>
        <w:right w:val="none" w:sz="0" w:space="0" w:color="auto"/>
      </w:divBdr>
    </w:div>
    <w:div w:id="601037347">
      <w:bodyDiv w:val="1"/>
      <w:marLeft w:val="0"/>
      <w:marRight w:val="0"/>
      <w:marTop w:val="0"/>
      <w:marBottom w:val="0"/>
      <w:divBdr>
        <w:top w:val="none" w:sz="0" w:space="0" w:color="auto"/>
        <w:left w:val="none" w:sz="0" w:space="0" w:color="auto"/>
        <w:bottom w:val="none" w:sz="0" w:space="0" w:color="auto"/>
        <w:right w:val="none" w:sz="0" w:space="0" w:color="auto"/>
      </w:divBdr>
    </w:div>
    <w:div w:id="818038700">
      <w:bodyDiv w:val="1"/>
      <w:marLeft w:val="0"/>
      <w:marRight w:val="0"/>
      <w:marTop w:val="0"/>
      <w:marBottom w:val="0"/>
      <w:divBdr>
        <w:top w:val="none" w:sz="0" w:space="0" w:color="auto"/>
        <w:left w:val="none" w:sz="0" w:space="0" w:color="auto"/>
        <w:bottom w:val="none" w:sz="0" w:space="0" w:color="auto"/>
        <w:right w:val="none" w:sz="0" w:space="0" w:color="auto"/>
      </w:divBdr>
    </w:div>
    <w:div w:id="1258096636">
      <w:bodyDiv w:val="1"/>
      <w:marLeft w:val="0"/>
      <w:marRight w:val="0"/>
      <w:marTop w:val="0"/>
      <w:marBottom w:val="0"/>
      <w:divBdr>
        <w:top w:val="none" w:sz="0" w:space="0" w:color="auto"/>
        <w:left w:val="none" w:sz="0" w:space="0" w:color="auto"/>
        <w:bottom w:val="none" w:sz="0" w:space="0" w:color="auto"/>
        <w:right w:val="none" w:sz="0" w:space="0" w:color="auto"/>
      </w:divBdr>
    </w:div>
    <w:div w:id="1262638518">
      <w:bodyDiv w:val="1"/>
      <w:marLeft w:val="0"/>
      <w:marRight w:val="0"/>
      <w:marTop w:val="0"/>
      <w:marBottom w:val="0"/>
      <w:divBdr>
        <w:top w:val="none" w:sz="0" w:space="0" w:color="auto"/>
        <w:left w:val="none" w:sz="0" w:space="0" w:color="auto"/>
        <w:bottom w:val="none" w:sz="0" w:space="0" w:color="auto"/>
        <w:right w:val="none" w:sz="0" w:space="0" w:color="auto"/>
      </w:divBdr>
    </w:div>
    <w:div w:id="1956327908">
      <w:bodyDiv w:val="1"/>
      <w:marLeft w:val="0"/>
      <w:marRight w:val="0"/>
      <w:marTop w:val="0"/>
      <w:marBottom w:val="0"/>
      <w:divBdr>
        <w:top w:val="none" w:sz="0" w:space="0" w:color="auto"/>
        <w:left w:val="none" w:sz="0" w:space="0" w:color="auto"/>
        <w:bottom w:val="none" w:sz="0" w:space="0" w:color="auto"/>
        <w:right w:val="none" w:sz="0" w:space="0" w:color="auto"/>
      </w:divBdr>
    </w:div>
    <w:div w:id="2023776718">
      <w:bodyDiv w:val="1"/>
      <w:marLeft w:val="0"/>
      <w:marRight w:val="0"/>
      <w:marTop w:val="0"/>
      <w:marBottom w:val="0"/>
      <w:divBdr>
        <w:top w:val="none" w:sz="0" w:space="0" w:color="auto"/>
        <w:left w:val="none" w:sz="0" w:space="0" w:color="auto"/>
        <w:bottom w:val="none" w:sz="0" w:space="0" w:color="auto"/>
        <w:right w:val="none" w:sz="0" w:space="0" w:color="auto"/>
      </w:divBdr>
    </w:div>
    <w:div w:id="21017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64AD5A952C44608C146AB6E427CF78"/>
        <w:category>
          <w:name w:val="General"/>
          <w:gallery w:val="placeholder"/>
        </w:category>
        <w:types>
          <w:type w:val="bbPlcHdr"/>
        </w:types>
        <w:behaviors>
          <w:behavior w:val="content"/>
        </w:behaviors>
        <w:guid w:val="{38469F07-5F3F-432D-AF84-B33B0DCA8BE7}"/>
      </w:docPartPr>
      <w:docPartBody>
        <w:p w:rsidR="005C4050" w:rsidRDefault="004107D7">
          <w:r w:rsidRPr="00E0670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Pro">
    <w:altName w:val="Verdana Pro"/>
    <w:panose1 w:val="020B0604030504040204"/>
    <w:charset w:val="00"/>
    <w:family w:val="swiss"/>
    <w:pitch w:val="variable"/>
    <w:sig w:usb0="80000287" w:usb1="0000004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B5"/>
    <w:rsid w:val="003D69A6"/>
    <w:rsid w:val="004107D7"/>
    <w:rsid w:val="005779EF"/>
    <w:rsid w:val="005C4050"/>
    <w:rsid w:val="00895CB5"/>
    <w:rsid w:val="009E6E5C"/>
    <w:rsid w:val="00A22368"/>
    <w:rsid w:val="00AA2E37"/>
    <w:rsid w:val="00D83F59"/>
    <w:rsid w:val="00F47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9DFA0-809F-4D83-9869-473F5EACC7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11584</TotalTime>
  <Pages>7</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Computer Law Assessment</vt:lpstr>
    </vt:vector>
  </TitlesOfParts>
  <Company>De Montfort University</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Law Assessment</dc:title>
  <dc:subject>CTEC1905</dc:subject>
  <dc:creator>Adm Evans</dc:creator>
  <cp:keywords/>
  <dc:description/>
  <cp:lastModifiedBy>Adam Evans</cp:lastModifiedBy>
  <cp:revision>1856</cp:revision>
  <dcterms:created xsi:type="dcterms:W3CDTF">2022-03-17T12:28:00Z</dcterms:created>
  <dcterms:modified xsi:type="dcterms:W3CDTF">2022-06-06T21:49:00Z</dcterms:modified>
</cp:coreProperties>
</file>