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USJT – UNIVERSIDADE SÃO JUDAS TADEU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ATIVIDADE 02 – GRUPO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</w:t>
        <w:tab/>
        <w:tab/>
        <w:tab/>
        <w:t xml:space="preserve">: </w:t>
        <w:tab/>
        <w:t xml:space="preserve">Modelagem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  <w:tab/>
        <w:tab/>
        <w:t xml:space="preserve">: </w:t>
        <w:tab/>
        <w:t xml:space="preserve">Edgard Luiz Bernardes Valderramas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</w:t>
        <w:tab/>
        <w:tab/>
        <w:t xml:space="preserve">: </w:t>
        <w:tab/>
        <w:t xml:space="preserve">1º Semestre - 2024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00" w:right="-695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Enunciado: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Cada grupo vai escolher três dos aplicativos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i w:val="1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-food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Uber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Waze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Relacionar cinco requisitos funcionais de cada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adastro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esignação de requisitos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Publicação de conteúdo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Uber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signação de requisitos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gamento;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Solicitação da viagem;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Tinder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astro;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Perfil do usuário;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Chat;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match;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Verificação de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Redigir cinco requisitos não funcionais de cada sistema.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  Instagram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ortabilidade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quisitos éticos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ortabilidade; -requisitos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ticos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Localização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egu</w:t>
      </w:r>
      <w:r w:rsidDel="00000000" w:rsidR="00000000" w:rsidRPr="00000000">
        <w:rPr>
          <w:rtl w:val="0"/>
        </w:rPr>
        <w:t xml:space="preserve">rança;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Tinder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ortabilidade;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equisitos éticos;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Localização;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Segurança;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Material de apoio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PRESSMAN, Roger; MAXIM, Bruce.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. Uma abordagem profissional. 8a. Ed. Bookman, 2016.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VitalSource Bookshelf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381F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AA1919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86F2B"/>
  </w:style>
  <w:style w:type="paragraph" w:styleId="Rodap">
    <w:name w:val="footer"/>
    <w:basedOn w:val="Normal"/>
    <w:link w:val="RodapChar"/>
    <w:uiPriority w:val="99"/>
    <w:unhideWhenUsed w:val="1"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86F2B"/>
  </w:style>
  <w:style w:type="character" w:styleId="Hyperlink">
    <w:name w:val="Hyperlink"/>
    <w:basedOn w:val="Fontepargpadro"/>
    <w:uiPriority w:val="99"/>
    <w:unhideWhenUsed w:val="1"/>
    <w:rsid w:val="00F86F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86F2B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ntegrada.minhabiblioteca.com.br/#/books/9788580555349/cfi/3!/4/2@100:0.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uuTOoReqF7vGSl9WbKCPUd4TQ==">CgMxLjA4AHIhMUoxVlo1M3FsOU41WVpmS0RYXzNFNEVMSFpGZWN0cmNz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2020-09-04T20:31:00Z</dcterms:created>
  <dc:creator>ELBV</dc:creator>
</cp:coreProperties>
</file>