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EC3B" w14:textId="580C38C7" w:rsidR="005C2508" w:rsidRDefault="00B9668B">
      <w:r>
        <w:t>Model comparison</w:t>
      </w:r>
      <w:r>
        <w:br/>
      </w:r>
      <w:r w:rsidRPr="00B9668B">
        <w:drawing>
          <wp:inline distT="0" distB="0" distL="0" distR="0" wp14:anchorId="67EAFEF6" wp14:editId="3D4406F3">
            <wp:extent cx="2533780" cy="495325"/>
            <wp:effectExtent l="0" t="0" r="0" b="0"/>
            <wp:docPr id="15158985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98530" name="Picture 1" descr="A black background with white text&#10;&#10;Description automatically generated"/>
                    <pic:cNvPicPr/>
                  </pic:nvPicPr>
                  <pic:blipFill>
                    <a:blip r:embed="rId4"/>
                    <a:stretch>
                      <a:fillRect/>
                    </a:stretch>
                  </pic:blipFill>
                  <pic:spPr>
                    <a:xfrm>
                      <a:off x="0" y="0"/>
                      <a:ext cx="2533780" cy="495325"/>
                    </a:xfrm>
                    <a:prstGeom prst="rect">
                      <a:avLst/>
                    </a:prstGeom>
                  </pic:spPr>
                </pic:pic>
              </a:graphicData>
            </a:graphic>
          </wp:inline>
        </w:drawing>
      </w:r>
    </w:p>
    <w:p w14:paraId="15734247" w14:textId="3DB46441" w:rsidR="00B9668B" w:rsidRDefault="00B9668B">
      <w:r>
        <w:t>Latency comparison</w:t>
      </w:r>
      <w:r>
        <w:br/>
      </w:r>
      <w:r w:rsidRPr="00B9668B">
        <w:drawing>
          <wp:inline distT="0" distB="0" distL="0" distR="0" wp14:anchorId="4C76E2FC" wp14:editId="07EEC16E">
            <wp:extent cx="4559534" cy="361969"/>
            <wp:effectExtent l="0" t="0" r="0" b="0"/>
            <wp:docPr id="47215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53197" name=""/>
                    <pic:cNvPicPr/>
                  </pic:nvPicPr>
                  <pic:blipFill>
                    <a:blip r:embed="rId5"/>
                    <a:stretch>
                      <a:fillRect/>
                    </a:stretch>
                  </pic:blipFill>
                  <pic:spPr>
                    <a:xfrm>
                      <a:off x="0" y="0"/>
                      <a:ext cx="4559534" cy="361969"/>
                    </a:xfrm>
                    <a:prstGeom prst="rect">
                      <a:avLst/>
                    </a:prstGeom>
                  </pic:spPr>
                </pic:pic>
              </a:graphicData>
            </a:graphic>
          </wp:inline>
        </w:drawing>
      </w:r>
    </w:p>
    <w:p w14:paraId="485F0DF4" w14:textId="3F3A7252" w:rsidR="00B9668B" w:rsidRDefault="00B9668B">
      <w:r>
        <w:t xml:space="preserve">Accuracy </w:t>
      </w:r>
      <w:r>
        <w:br/>
      </w:r>
      <w:r w:rsidRPr="00B9668B">
        <w:drawing>
          <wp:inline distT="0" distB="0" distL="0" distR="0" wp14:anchorId="10165FD7" wp14:editId="53EA5FF0">
            <wp:extent cx="5943600" cy="462280"/>
            <wp:effectExtent l="0" t="0" r="0" b="0"/>
            <wp:docPr id="134452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24313" name=""/>
                    <pic:cNvPicPr/>
                  </pic:nvPicPr>
                  <pic:blipFill>
                    <a:blip r:embed="rId6"/>
                    <a:stretch>
                      <a:fillRect/>
                    </a:stretch>
                  </pic:blipFill>
                  <pic:spPr>
                    <a:xfrm>
                      <a:off x="0" y="0"/>
                      <a:ext cx="5943600" cy="462280"/>
                    </a:xfrm>
                    <a:prstGeom prst="rect">
                      <a:avLst/>
                    </a:prstGeom>
                  </pic:spPr>
                </pic:pic>
              </a:graphicData>
            </a:graphic>
          </wp:inline>
        </w:drawing>
      </w:r>
      <w:r>
        <w:br/>
        <w:t>We can see that the INT8 model has a similar mean to the output values produced by the original floating point 32 numbers, indicating that the INT8 model does not stray away that much from the range we get from the full FP32 model numbers.</w:t>
      </w:r>
    </w:p>
    <w:sectPr w:rsidR="00B9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E0"/>
    <w:rsid w:val="005C2508"/>
    <w:rsid w:val="00B9668B"/>
    <w:rsid w:val="00D4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5517"/>
  <w15:chartTrackingRefBased/>
  <w15:docId w15:val="{F707F4E7-C304-4640-8FD6-3D25C42C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Traboulsi</dc:creator>
  <cp:keywords/>
  <dc:description/>
  <cp:lastModifiedBy>Ahmad Traboulsi</cp:lastModifiedBy>
  <cp:revision>2</cp:revision>
  <dcterms:created xsi:type="dcterms:W3CDTF">2023-12-11T11:57:00Z</dcterms:created>
  <dcterms:modified xsi:type="dcterms:W3CDTF">2023-12-11T12:05:00Z</dcterms:modified>
</cp:coreProperties>
</file>