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GL304</w:t>
      </w:r>
      <w:r>
        <w:t xml:space="preserve"> </w:t>
      </w:r>
      <w:r>
        <w:t xml:space="preserve">·</w:t>
      </w:r>
      <w:r>
        <w:t xml:space="preserve"> </w:t>
      </w:r>
      <w:r>
        <w:t xml:space="preserve">Projeto</w:t>
      </w:r>
      <w:r>
        <w:t xml:space="preserve"> </w:t>
      </w:r>
      <w:r>
        <w:t xml:space="preserve">1</w:t>
      </w:r>
      <w:r>
        <w:t xml:space="preserve"> </w:t>
      </w:r>
      <w:r>
        <w:t xml:space="preserve">·</w:t>
      </w:r>
      <w:r>
        <w:t xml:space="preserve"> </w:t>
      </w:r>
      <w:r>
        <w:t xml:space="preserve">Roteiro</w:t>
      </w:r>
      <w:r>
        <w:t xml:space="preserve"> </w:t>
      </w:r>
      <w:r>
        <w:t xml:space="preserve">do</w:t>
      </w:r>
      <w:r>
        <w:t xml:space="preserve"> </w:t>
      </w:r>
      <w:r>
        <w:t xml:space="preserve">vídeo</w:t>
      </w:r>
    </w:p>
    <w:p>
      <w:pPr>
        <w:pStyle w:val="Subtitle"/>
      </w:pPr>
      <w:r>
        <w:t xml:space="preserve">Onde</w:t>
      </w:r>
      <w:r>
        <w:t xml:space="preserve"> </w:t>
      </w:r>
      <w:r>
        <w:t xml:space="preserve">a</w:t>
      </w:r>
      <w:r>
        <w:t xml:space="preserve"> </w:t>
      </w:r>
      <w:r>
        <w:t xml:space="preserve">eleição</w:t>
      </w:r>
      <w:r>
        <w:t xml:space="preserve"> </w:t>
      </w:r>
      <w:r>
        <w:t xml:space="preserve">de</w:t>
      </w:r>
      <w:r>
        <w:t xml:space="preserve"> </w:t>
      </w:r>
      <w:r>
        <w:t xml:space="preserve">2030</w:t>
      </w:r>
      <w:r>
        <w:t xml:space="preserve"> </w:t>
      </w:r>
      <w:r>
        <w:t xml:space="preserve">vai</w:t>
      </w:r>
      <w:r>
        <w:t xml:space="preserve"> </w:t>
      </w:r>
      <w:r>
        <w:t xml:space="preserve">ser</w:t>
      </w:r>
      <w:r>
        <w:t xml:space="preserve"> </w:t>
      </w:r>
      <w:r>
        <w:t xml:space="preserve">decidida</w:t>
      </w:r>
    </w:p>
    <w:p>
      <w:pPr>
        <w:pStyle w:val="FirstParagraph"/>
      </w:pPr>
      <w:r>
        <w:rPr>
          <w:bCs/>
          <w:b/>
        </w:rPr>
        <w:t xml:space="preserve">Disciplina:</w:t>
      </w:r>
      <w:r>
        <w:t xml:space="preserve"> </w:t>
      </w:r>
      <w:r>
        <w:t xml:space="preserve">GL304 Métodos Quantitativos Aplicados, turma B, prof. Anibal Tavares de Azevedo (Unicamp, FCA)</w:t>
      </w:r>
      <w:r>
        <w:br/>
      </w:r>
      <w:r>
        <w:rPr>
          <w:bCs/>
          <w:b/>
        </w:rPr>
        <w:t xml:space="preserve">Grupo:</w:t>
      </w:r>
      <w:r>
        <w:t xml:space="preserve"> </w:t>
      </w:r>
      <w:r>
        <w:t xml:space="preserve">André Traquia, Vinícius de Souza Côrte Brilho, Victor Olivetti Regina ·</w:t>
      </w:r>
      <w:r>
        <w:t xml:space="preserve"> </w:t>
      </w:r>
      <w:r>
        <w:rPr>
          <w:bCs/>
          <w:b/>
        </w:rPr>
        <w:t xml:space="preserve">Representante:</w:t>
      </w:r>
      <w:r>
        <w:t xml:space="preserve"> </w:t>
      </w:r>
      <w:r>
        <w:t xml:space="preserve">André Traquia</w:t>
      </w:r>
      <w:r>
        <w:br/>
      </w:r>
      <w:r>
        <w:rPr>
          <w:bCs/>
          <w:b/>
        </w:rPr>
        <w:t xml:space="preserve">Versão:</w:t>
      </w:r>
      <w:r>
        <w:t xml:space="preserve"> </w:t>
      </w:r>
      <w:r>
        <w:t xml:space="preserve">29/10/2026 ·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roteiro. Os números entre [colchetes] saem do programa e entram quando ele rodar.</w:t>
      </w:r>
    </w:p>
    <w:bookmarkStart w:id="20" w:name="tema-e-dor-q2"/>
    <w:p>
      <w:pPr>
        <w:pStyle w:val="Heading1"/>
      </w:pPr>
      <w:r>
        <w:t xml:space="preserve">1. Tema e dor (Q2)</w:t>
      </w:r>
    </w:p>
    <w:p>
      <w:pPr>
        <w:pStyle w:val="FirstParagraph"/>
      </w:pPr>
      <w:r>
        <w:rPr>
          <w:bCs/>
          <w:b/>
        </w:rPr>
        <w:t xml:space="preserve">Título do vídeo:</w:t>
      </w:r>
      <w:r>
        <w:t xml:space="preserve"> </w:t>
      </w:r>
      <w:r>
        <w:t xml:space="preserve">Onde a eleição de 2030 vai ser decidida</w:t>
      </w:r>
    </w:p>
    <w:p>
      <w:pPr>
        <w:pStyle w:val="BodyText"/>
      </w:pPr>
      <w:r>
        <w:rPr>
          <w:bCs/>
          <w:b/>
        </w:rPr>
        <w:t xml:space="preserve">Decisor:</w:t>
      </w:r>
      <w:r>
        <w:t xml:space="preserve"> </w:t>
      </w:r>
      <w:r>
        <w:t xml:space="preserve">a coordenação nacional de campanha de qualquer partido. O método é o mesmo para qualquer candidato: os critérios medem disputa e tamanho, não lado político.</w:t>
      </w:r>
    </w:p>
    <w:p>
      <w:pPr>
        <w:pStyle w:val="BodyText"/>
      </w:pPr>
      <w:r>
        <w:rPr>
          <w:bCs/>
          <w:b/>
        </w:rPr>
        <w:t xml:space="preserve">Dor:</w:t>
      </w:r>
      <w:r>
        <w:t xml:space="preserve"> </w:t>
      </w:r>
      <w:r>
        <w:t xml:space="preserve">o Brasil tem 5.570 municípios e a campanha tem verba, agenda do candidato e equipe limitadas. Hoje a escolha de onde ir costuma partir de feeling ou de olhar só as capitais. O erro tem custo: ir onde a vitória ou a derrota já é certa queima dinheiro e dias de agenda que não mudam o resultado.</w:t>
      </w:r>
    </w:p>
    <w:p>
      <w:pPr>
        <w:pStyle w:val="BodyText"/>
      </w:pPr>
      <w:r>
        <w:rPr>
          <w:bCs/>
          <w:b/>
        </w:rPr>
        <w:t xml:space="preserve">Decisão que o produto apoia:</w:t>
      </w:r>
      <w:r>
        <w:t xml:space="preserve"> </w:t>
      </w:r>
      <w:r>
        <w:t xml:space="preserve">quais municípios priorizar para presença do candidato, mídia local e mobilização de comparecimento no ciclo de 2030.</w:t>
      </w:r>
    </w:p>
    <w:p>
      <w:pPr>
        <w:pStyle w:val="BodyText"/>
      </w:pPr>
      <w:r>
        <w:rPr>
          <w:bCs/>
          <w:b/>
        </w:rPr>
        <w:t xml:space="preserve">Fato que abre o vídeo (dado real, TSE):</w:t>
      </w:r>
      <w:r>
        <w:t xml:space="preserve"> </w:t>
      </w:r>
      <w:r>
        <w:t xml:space="preserve">entre o 2º turno de 2022 (Lula × Bolsonaro) e o de 2026 (Lula × Flávio Bolsonaro),</w:t>
      </w:r>
      <w:r>
        <w:t xml:space="preserve"> </w:t>
      </w:r>
      <w:r>
        <w:rPr>
          <w:bCs/>
          <w:b/>
        </w:rPr>
        <w:t xml:space="preserve">309 municípios trocaram de vencedor</w:t>
      </w:r>
      <w:r>
        <w:t xml:space="preserve">, onde votam</w:t>
      </w:r>
      <w:r>
        <w:t xml:space="preserve"> </w:t>
      </w:r>
      <w:r>
        <w:rPr>
          <w:bCs/>
          <w:b/>
        </w:rPr>
        <w:t xml:space="preserve">9,36 milhões de eleitores aptos</w:t>
      </w:r>
      <w:r>
        <w:t xml:space="preserve">. Em 278 deles o vencedor passou a ser o candidato 22 e em 31 o 13. Mesmo assim, o 13 ganhou com margem maior no total nacional. Isso mostra que contar municípios não basta: é preciso ponderar tamanho e margem. Em</w:t>
      </w:r>
      <w:r>
        <w:t xml:space="preserve"> </w:t>
      </w:r>
      <w:r>
        <w:rPr>
          <w:bCs/>
          <w:b/>
        </w:rPr>
        <w:t xml:space="preserve">464 municípios</w:t>
      </w:r>
      <w:r>
        <w:t xml:space="preserve"> </w:t>
      </w:r>
      <w:r>
        <w:t xml:space="preserve">a margem de 2026 ficou abaixo de 5 pontos percentuais.</w:t>
      </w:r>
    </w:p>
    <w:p>
      <w:pPr>
        <w:pStyle w:val="BodyText"/>
      </w:pPr>
      <w:r>
        <w:rPr>
          <w:bCs/>
          <w:b/>
        </w:rPr>
        <w:t xml:space="preserve">Recorte SP (bloco ISDEL):</w:t>
      </w:r>
      <w:r>
        <w:t xml:space="preserve"> </w:t>
      </w:r>
      <w:r>
        <w:t xml:space="preserve">33 dos 645 municípios viraram (29 para o 22, 4 para o 13), com 625.523 eleitores aptos. As 4 que foram para o 13 são médias ou grandes, e as 29 que foram para o 22 são quase todas pequenas. Os maiores: São Vicente (256 mil aptos, margem 2026 de 0,75 p.p.), Poá, Ribeirão Pires (0,15 p.p.) e Mongaguá.</w:t>
      </w:r>
    </w:p>
    <w:p>
      <w:pPr>
        <w:pStyle w:val="BodyText"/>
      </w:pPr>
      <w:r>
        <w:rPr>
          <w:bCs/>
          <w:b/>
        </w:rPr>
        <w:t xml:space="preserve">Alternativas:</w:t>
      </w:r>
      <w:r>
        <w:t xml:space="preserve"> </w:t>
      </w:r>
      <w:r>
        <w:t xml:space="preserve">os 5.570 municípios com dado nos dois anos. Boa Esperança do Norte (MT) foi instalado depois de 2022 e fica fora. Empate não conta como virada (ex.: Marquinho-PR empatou em 2026).</w:t>
      </w:r>
    </w:p>
    <w:p>
      <w:pPr>
        <w:pStyle w:val="BodyText"/>
      </w:pPr>
      <w:r>
        <w:rPr>
          <w:bCs/>
          <w:b/>
        </w:rPr>
        <w:t xml:space="preserve">Critérios do ranking nacional (TSE):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 (soma ponderada)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Disputa em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|margem 2026| em p.p. dos votos válidos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menor é melhor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Eleitorado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eleitores aptos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maior é melhor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Virou de 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se o vencedor de 2022 ≠ o de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maior é melhor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Volatilidade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|margem 2026 − margem 2022|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maior é melhor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Abstenção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abstenções / aptos (voto a mobilizar)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maior é melhor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0,15</w:t>
            </w:r>
          </w:p>
        </w:tc>
      </w:tr>
    </w:tbl>
    <w:p>
      <w:pPr>
        <w:pStyle w:val="BodyText"/>
      </w:pPr>
      <w:r>
        <w:rPr>
          <w:bCs/>
          <w:b/>
        </w:rPr>
        <w:t xml:space="preserve">Bloco SP:</w:t>
      </w:r>
      <w:r>
        <w:t xml:space="preserve"> </w:t>
      </w:r>
      <w:r>
        <w:t xml:space="preserve">C1 a C5 mais os quatro fatores do ISDEL (Educação, Densidade Empresarial, Tecido Empresarial, Gestão Pública). A leitura é de capacidade local: mais base empresarial e gestão estruturada significam mais associações comerciais, imprensa local e lideranças para levar a mensagem, ou seja, menor custo por eleitor alcançado. Os pesos ficam [a definir no grupo]. Proposta: 60% eleitoral e 40% ISDEL. Nos fatores do ISDEL, quanto maior, melhor.</w:t>
      </w:r>
    </w:p>
    <w:p>
      <w:pPr>
        <w:pStyle w:val="BodyText"/>
      </w:pPr>
      <w:r>
        <w:rPr>
          <w:bCs/>
          <w:b/>
        </w:rPr>
        <w:t xml:space="preserve">Dois rankings, como pede o enunciado:</w:t>
      </w:r>
      <w:r>
        <w:t xml:space="preserve"> </w:t>
      </w:r>
      <w:r>
        <w:t xml:space="preserve">(1) soma ponderada com normalização mín.–máx., no estilo do ISDEL; (2) PROMETHEE II com os mesmos critérios e pesos (fluxo líquido φ). Comparamos os dois: quem está no top 10 dos dois é aposta robusta, e quem aparece só em um é sensível ao método.</w:t>
      </w:r>
    </w:p>
    <w:p>
      <w:pPr>
        <w:pStyle w:val="BodyText"/>
      </w:pPr>
      <w:r>
        <w:rPr>
          <w:bCs/>
          <w:b/>
        </w:rPr>
        <w:t xml:space="preserve">Ganho do produto:</w:t>
      </w:r>
    </w:p>
    <w:p>
      <w:pPr>
        <w:numPr>
          <w:ilvl w:val="0"/>
          <w:numId w:val="1001"/>
        </w:numPr>
        <w:pStyle w:val="Compact"/>
      </w:pPr>
      <w:r>
        <w:t xml:space="preserve">Tempo: a análise manual de 5.570 municípios em planilha levaria [X horas], o programa roda em [Y min] e se atualiza a cada eleição só trocando o arquivo do TSE.</w:t>
      </w:r>
    </w:p>
    <w:p>
      <w:pPr>
        <w:numPr>
          <w:ilvl w:val="0"/>
          <w:numId w:val="1001"/>
        </w:numPr>
        <w:pStyle w:val="Compact"/>
      </w:pPr>
      <w:r>
        <w:t xml:space="preserve">Financeiro (pesa mais na nota): realocar [Z%] da verba de agenda e mídia de municípios definidos (margem &gt; 20 p.p.) para o top 100. A estimativa usa o teto de gastos do 2º turno [valor do TSE para 2030 ou referência de 2026] e precisa ser apresentada como cenário, não como promessa.</w:t>
      </w:r>
    </w:p>
    <w:bookmarkEnd w:id="20"/>
    <w:bookmarkStart w:id="21" w:name="mapas-e-o-que-cada-um-mostra-q3"/>
    <w:p>
      <w:pPr>
        <w:pStyle w:val="Heading1"/>
      </w:pPr>
      <w:r>
        <w:t xml:space="preserve">2. Mapas e o que cada um mostra (Q3)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Mapa /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mostra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 que responde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map 2022 × 2026 (lado a lado, sincronizado), vermelho = 13, azul = 22, intensidade = margem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  <w:r>
              <w:t xml:space="preserve"> </w:t>
            </w:r>
            <w:r>
              <w:t xml:space="preserve">“</w:t>
            </w:r>
            <w:r>
              <w:t xml:space="preserve">frente a frente</w:t>
            </w:r>
            <w:r>
              <w:t xml:space="preserve">”</w:t>
            </w:r>
            <w:r>
              <w:t xml:space="preserve">: onde o mapa mudou de cor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a eleição mudou?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Coroplético do ranking soma ponderada (escala sequencial pelo índice 0–1)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Prioridade de cada município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concentrar a campanha?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Coroplético PROMETHEE II (φ líquido, escala divergente)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Mesma decisão por outro 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ranking muda com o método?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map M2 × M3 com camadas (LayerControl)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Concordância e discordância entre métodos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Quais escolhas são robustas?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Pins nas 10 primeiras com popup HTML (votos 22/26, margem, aptos, abstenção, posição nos dois rankings)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Ficha de decisão por município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que este município está no topo?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Gráfico de barras: top 10 por método + barras de municípios que viraram por 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Estatística de apoio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Quanto pesa cada estado?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Bloco SP: coroplético com ISDEL + eleitoral, pins top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Aplicação com o índice do professor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ISDEL muda a prioridade em SP?</w:t>
            </w:r>
          </w:p>
        </w:tc>
      </w:tr>
    </w:tbl>
    <w:p>
      <w:pPr>
        <w:pStyle w:val="BodyText"/>
      </w:pPr>
      <w:r>
        <w:t xml:space="preserve">Estética: inspirada em painéis de apuração (fundo quase preto #0F0E0D, título serifado, vermelho × azul), mobile first. Texto e cores apartidários: as cores seguem a convenção usada pela imprensa para cada número de urna.</w:t>
      </w:r>
    </w:p>
    <w:bookmarkEnd w:id="21"/>
    <w:bookmarkStart w:id="22" w:name="fontes-de-dados-e-tratamento-q4"/>
    <w:p>
      <w:pPr>
        <w:pStyle w:val="Heading1"/>
      </w:pPr>
      <w:r>
        <w:t xml:space="preserve">3. Fontes de dados e tratamento (Q4)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Endereço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Tratamento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TSE, votação por candidato, município e zona, 2022 (2º turno, eleição 545)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https://cdn.tse.jus.br/estatistica/sead/odsele/votacao_candidato_munzona/votacao_candidato_munzona_2022.zip (dadosabertos.tse.jus.br)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(latin-1,</w:t>
            </w:r>
            <w:r>
              <w:t xml:space="preserve"> </w:t>
            </w:r>
            <w:r>
              <w:t xml:space="preserve">“</w:t>
            </w:r>
            <w:r>
              <w:t xml:space="preserve">;</w:t>
            </w:r>
            <w:r>
              <w:t xml:space="preserve">”</w:t>
            </w:r>
            <w:r>
              <w:t xml:space="preserve">) dentro de ZIP de 620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</w:t>
            </w:r>
            <w:r>
              <w:t xml:space="preserve"> </w:t>
            </w:r>
            <w:r>
              <w:rPr>
                <w:rStyle w:val="VerbatimChar"/>
              </w:rPr>
              <w:t xml:space="preserve">_BR</w:t>
            </w:r>
            <w:r>
              <w:t xml:space="preserve"> </w:t>
            </w:r>
            <w:r>
              <w:t xml:space="preserve">(cargos nacionais), filtro turno 2 e cargo 1, soma das zonas por município, exterior (ZZ) excluído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TSE, mesma base, 2026 (2º turno, eleição 6258)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https://cdn.tse.jus.br/estatistica/sead/odsele/votacao_candidato_munzona/votacao_candidato_munzona_2026.zip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em 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Idem. Os códigos de município vêm com zeros à esquerda neste arquivo e foram normalizados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TSE, detalhe da votação por município e zona,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https://cdn.tse.jus.br/estatistica/sead/odsele/detalhe_votacao_munzona/detalhe_votacao_munzona_2026.zip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em 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Aptos e abstenções do 2º turno somados por município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TSE, cadastro de municípios do sistema de resultados (código TSE ↔ código IBGE)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https://resultados.tse.jus.br/oficial/ele2026/6258/config/mun-e006258-cm.json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(API)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Chave de ligação TSE → IBGE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IBGE, malha municipal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https://servicodados.ibge.gov.br/api/v3/malhas/paises/BR?intrarregiao=municipio&amp;formato=application/vnd.geo+json&amp;qualidade=minima (SP: …/malhas/estados/35?…)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GeoJSON (API)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Junção pelo código IBGE de 7 dígitos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IBGE, localidades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https://servicodados.ibge.gov.br/api/v1/localidades/municipios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(API)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Nome, UF e região para popups e filtros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ISDEL SP (cópia do professor, 645 municípios)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https://drive.google.com/uc?export=download&amp;id=1OWOpjw4lU9fN2JYNEYhjM16LFqla0x7_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Chave = nome do município, sem código: normalizar acento e caixa e validar 645/645 contra o IBGE</w:t>
            </w:r>
          </w:p>
        </w:tc>
      </w:tr>
    </w:tbl>
    <w:p>
      <w:pPr>
        <w:pStyle w:val="BodyText"/>
      </w:pPr>
      <w:r>
        <w:rPr>
          <w:bCs/>
          <w:b/>
        </w:rPr>
        <w:t xml:space="preserve">Validação já feita (29/10):</w:t>
      </w:r>
      <w:r>
        <w:t xml:space="preserve"> </w:t>
      </w:r>
      <w:r>
        <w:t xml:space="preserve">o total do 2º turno de 2022 no Brasil (sem exterior) é Lula 60.193.094 × Bolsonaro 58.061.090. Em Adamantina-SP, a contagem de 2026 do CSV bate com a API de resultados do TSE (5.260 × 14.667, 25.498 aptos). A junção TSE → IBGE fecha 5.570/5.570, sem município sem código. Programa:</w:t>
      </w:r>
      <w:r>
        <w:t xml:space="preserve"> </w:t>
      </w:r>
      <w:r>
        <w:rPr>
          <w:rStyle w:val="VerbatimChar"/>
        </w:rPr>
        <w:t xml:space="preserve">vp1/viradas.py</w:t>
      </w:r>
      <w:r>
        <w:t xml:space="preserve"> </w:t>
      </w:r>
      <w:r>
        <w:t xml:space="preserve">no repositório do grupo.</w:t>
      </w:r>
    </w:p>
    <w:p>
      <w:pPr>
        <w:pStyle w:val="BodyText"/>
      </w:pPr>
      <w:r>
        <w:rPr>
          <w:bCs/>
          <w:b/>
        </w:rPr>
        <w:t xml:space="preserve">Estatística descritiva prevista:</w:t>
      </w:r>
      <w:r>
        <w:t xml:space="preserve"> </w:t>
      </w:r>
      <w:r>
        <w:t xml:space="preserve">média, mediana e desvio das margens 2022 e 2026, histograma da volatilidade, abstenção média (19,4% por município em 2026) e correlação entre os dois rankings (Spearman), com o número exato entre [colchetes] até rodar.</w:t>
      </w:r>
    </w:p>
    <w:bookmarkEnd w:id="22"/>
    <w:bookmarkStart w:id="23" w:name="fluxos-de-ia-q5"/>
    <w:p>
      <w:pPr>
        <w:pStyle w:val="Heading1"/>
      </w:pPr>
      <w:r>
        <w:t xml:space="preserve">4. Fluxos de IA (Q5)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Controle humano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(Claude Code)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Achar e baixar as bases do TSE e do IBGE, escrever o código de fusão e validação, rascunhar o roteiro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grupo confere os números contra a fonte oficial (validação Adamantina, totais nacionais)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[ChatGPT / Gemini / Copilot, conforme o grupo usar]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[revisar código, gerar a capa, revisar a fala]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[quem revisa]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[Ferramenta de capa, ex.: Canva com IA]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 do vídeo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escolhe entre 3 opções</w:t>
            </w:r>
          </w:p>
        </w:tc>
      </w:tr>
    </w:tbl>
    <w:p>
      <w:pPr>
        <w:pStyle w:val="BodyText"/>
      </w:pPr>
      <w:r>
        <w:t xml:space="preserve">Regra do grupo: nenhum número vai para o vídeo sem sair do programa ou da fonte oficial.</w:t>
      </w:r>
    </w:p>
    <w:bookmarkEnd w:id="23"/>
    <w:bookmarkStart w:id="24" w:name="Xa2482e3a72410474ba0cc4f17e112c57c8e30da"/>
    <w:p>
      <w:pPr>
        <w:pStyle w:val="Heading1"/>
      </w:pPr>
      <w:r>
        <w:t xml:space="preserve">5. Cenas do vídeo (meta de [6] min, confirmar o limite no enunciado)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Quem fala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Fala (resumo)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0:00–0:30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Em 2026, 309 municípios mudaram de lado. 9 milhões de eleitores. Se você coordena uma campanha, onde você vai em 2030?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 → dual map 2022 × 2026 escurecendo os que não viraram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0:30–1:10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Dor: 5.570 municípios, verba e agenda limitadas, custo de ir onde já está decidido. Decisor e decisão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Contador 5.570 → 309 → top 10, ícones de verba e agenda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1:10–1:50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Fontes oficiais: TSE (dados abertos) + IBGE (API) + ISDEL. Como validamos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 de fontes, print do CSV, check de validação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1:50–2:30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é o ISDEL e seus 4 fatores; por que entra no bloco 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Infográfico dos 4 fatores, mapa ISDEL 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2:30–3:30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Python: leitura do ZIP, filtro 2º turno, margem, normalização, soma ponderada e PROMETHEE II (fórmula de φ na tela)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Tela do notebook com trechos destacados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3:30–4:00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Georreferência: API do IBGE, junção pelo código de 7 dígitos, escala de cores ligada ao índice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GeoJSON → mapa coroplético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4:00–5:00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Comparação dos dois rankings em dual map com camadas. Top 10 robusto × sensível ao método. Pins com popup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map M2 × M3, clique em 2 pins, gráfico de barras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5:00–5:30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Bloco SP: o que muda quando o ISDEL entra (São Vicente, Ribeirão Pires…)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Mapa SP, antes × depois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5:30–6:00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Ganho: tempo [X h → Y min] e financeiro [cenário]. Limites: o passado não garante 2030 e o método é apartidário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de ganhos, link do app, créditos</w:t>
            </w:r>
          </w:p>
        </w:tc>
      </w:tr>
    </w:tbl>
    <w:p>
      <w:pPr>
        <w:pStyle w:val="BodyText"/>
      </w:pPr>
      <w:r>
        <w:rPr>
          <w:bCs/>
          <w:b/>
        </w:rPr>
        <w:t xml:space="preserve">Capa (critério E):</w:t>
      </w:r>
      <w:r>
        <w:t xml:space="preserve"> </w:t>
      </w:r>
      <w:r>
        <w:t xml:space="preserve">fundo #0F0E0D, título serifado grande</w:t>
      </w:r>
      <w:r>
        <w:t xml:space="preserve"> </w:t>
      </w:r>
      <w:r>
        <w:t xml:space="preserve">“</w:t>
      </w:r>
      <w:r>
        <w:t xml:space="preserve">Onde 2030 será decidida</w:t>
      </w:r>
      <w:r>
        <w:t xml:space="preserve">”</w:t>
      </w:r>
      <w:r>
        <w:t xml:space="preserve">, dois meio-mapas do Brasil (2022 | 2026) em vermelho × azul, selo</w:t>
      </w:r>
      <w:r>
        <w:t xml:space="preserve"> </w:t>
      </w:r>
      <w:r>
        <w:t xml:space="preserve">“</w:t>
      </w:r>
      <w:r>
        <w:t xml:space="preserve">309 municípios viraram</w:t>
      </w:r>
      <w:r>
        <w:t xml:space="preserve">”</w:t>
      </w:r>
      <w:r>
        <w:t xml:space="preserve">. Sem rosto de candidato e sem logo de partido.</w:t>
      </w:r>
    </w:p>
    <w:p>
      <w:pPr>
        <w:pStyle w:val="BodyText"/>
      </w:pPr>
      <w:r>
        <w:rPr>
          <w:bCs/>
          <w:b/>
        </w:rPr>
        <w:t xml:space="preserve">Descrição do vídeo:</w:t>
      </w:r>
      <w:r>
        <w:t xml:space="preserve"> </w:t>
      </w:r>
      <w:r>
        <w:t xml:space="preserve">“</w:t>
      </w:r>
      <w:r>
        <w:t xml:space="preserve">Ranking dos municípios brasileiros mais decisivos para a campanha presidencial de 2030, com dados abertos do TSE (2º turno 2022 e 2026) e malhas do IBGE. Dois métodos (soma ponderada e PROMETHEE II), mapas comparados e aplicação com o ISDEL em SP. GL304, Unicamp, 2026.</w:t>
      </w:r>
      <w:r>
        <w:t xml:space="preserve">”</w:t>
      </w:r>
    </w:p>
    <w:bookmarkEnd w:id="24"/>
    <w:bookmarkStart w:id="25" w:name="divisão-de-tarefas"/>
    <w:p>
      <w:pPr>
        <w:pStyle w:val="Heading1"/>
      </w:pPr>
      <w:r>
        <w:t xml:space="preserve">6. Divisão de tarefas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Integrante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Tarefas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André Traquia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Fusão TSE 2022 × 2026 (feito), critérios C1–C5, soma ponderada, cenas 1, 2, 7 e 9, edição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30/10 a [data de entrega]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Vinícius de Souza Côrte Brilho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PROMETHEE II, mapas (folium: coroplético, dual map, LayerControl, pins com popup), cenas 5 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30/10 a [data]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Victor Olivetti Regina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ISDEL SP (junção por nome + validação 645/645), estatística descritiva e gráficos de barras, capa, cenas 3, 4 e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30/10 a [data]</w:t>
            </w:r>
          </w:p>
        </w:tc>
      </w:tr>
    </w:tbl>
    <w:p>
      <w:pPr>
        <w:pStyle w:val="BodyText"/>
      </w:pPr>
      <w:r>
        <w:t xml:space="preserve">Marcos: 30/10 base fundida e critérios fechados · [01/11] rankings e mapas · [03/11] gravação · [05/11] edição e revisão · [data de entrega do vídeo].</w:t>
      </w:r>
    </w:p>
    <w:bookmarkEnd w:id="25"/>
    <w:bookmarkStart w:id="26" w:name="X5beb26c740475f44ad36e031e07b0e6456a60a2"/>
    <w:p>
      <w:pPr>
        <w:pStyle w:val="Heading1"/>
      </w:pPr>
      <w:r>
        <w:t xml:space="preserve">7. Riscos e limites (para o grupo, não para o vídeo)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ISDEL como critério de campanha</w:t>
      </w:r>
      <w:r>
        <w:t xml:space="preserve"> </w:t>
      </w:r>
      <w:r>
        <w:t xml:space="preserve">é o elo mais fraco: o professor pode perguntar por que desenvolvimento econômico define prioridade eleitoral. A justificativa é capacidade e custo de alcance. Se não convencer, o ISDEL vira só desempate em SP.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Pesos são escolha do decisor.</w:t>
      </w:r>
      <w:r>
        <w:t xml:space="preserve"> </w:t>
      </w:r>
      <w:r>
        <w:t xml:space="preserve">Mostrar uma análise de sensibilidade (pesos ±10%) evita a crítica de</w:t>
      </w:r>
      <w:r>
        <w:t xml:space="preserve"> </w:t>
      </w:r>
      <w:r>
        <w:t xml:space="preserve">“</w:t>
      </w:r>
      <w:r>
        <w:t xml:space="preserve">ranking arbitrário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Leitura apartidária:</w:t>
      </w:r>
      <w:r>
        <w:t xml:space="preserve"> </w:t>
      </w:r>
      <w:r>
        <w:t xml:space="preserve">o vídeo não comenta mérito de candidato, só a geometria da disputa.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Chave do ISDEL por nome:</w:t>
      </w:r>
      <w:r>
        <w:t xml:space="preserve"> </w:t>
      </w:r>
      <w:r>
        <w:t xml:space="preserve">acentos e grafias diferentes (ex.:</w:t>
      </w:r>
      <w:r>
        <w:t xml:space="preserve"> </w:t>
      </w:r>
      <w:r>
        <w:t xml:space="preserve">“</w:t>
      </w:r>
      <w:r>
        <w:t xml:space="preserve">Embu das Artes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Mogi Mirim</w:t>
      </w:r>
      <w:r>
        <w:t xml:space="preserve">”</w:t>
      </w:r>
      <w:r>
        <w:t xml:space="preserve">) quebram a junção. Validar 645/645.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GL304 · Projeto 1 · Roteiro do vídeo</dc:title>
  <dc:creator/>
  <cp:keywords/>
  <dcterms:created xsi:type="dcterms:W3CDTF">2026-10-29T00:41:48Z</dcterms:created>
  <dcterms:modified xsi:type="dcterms:W3CDTF">2026-10-29T00:41:48Z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Onde a eleição de 2030 vai ser decidida</vt:lpwstr>
  </property>
</Properties>
</file>