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1333500" cy="333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 xml:space="preserve">Informe técnico de fertirrigación</w:t>
      </w:r>
    </w:p>
    <w:p>
      <w:r>
        <w:rPr>
          <w:i/>
          <w:iCs/>
        </w:rPr>
        <w:t xml:space="preserve">AgroNutri AI — Informe técnico de fertirrigación · 3/8/2026</w:t>
      </w:r>
    </w:p>
    <w:p>
      <w:pPr>
        <w:pStyle w:val="Heading1"/>
      </w:pPr>
      <w:r>
        <w:rPr>
          <w:color w:val="1e4d36"/>
        </w:rPr>
        <w:t xml:space="preserve">1. Datos de la explotación</w:t>
      </w:r>
    </w:p>
    <w:p>
      <w:r>
        <w:t xml:space="preserve">Finca: Bajo Cuadras (AGROSABINA SL). Buenavista del Norte Tenerife</w:t>
      </w:r>
    </w:p>
    <w:p>
      <w:r>
        <w:t xml:space="preserve">Cultivo: platanera, variedad Pequeña enana. Fase fenológica: pre-parición.</w:t>
      </w:r>
    </w:p>
    <w:p>
      <w:r>
        <w:t xml:space="preserve">Plantas: 5500. Superficie: 2.75 ha. Riego: 125 L/planta/semana (≈ 688 m³/semana).</w:t>
      </w:r>
    </w:p>
    <w:p>
      <w:r>
        <w:t xml:space="preserve">Sectores: Sector Norte (2100 plantas); Sector Central (1800 plantas); Sector Sur (1600 plantas)</w:t>
      </w:r>
    </w:p>
    <w:p>
      <w:pPr>
        <w:pStyle w:val="Heading1"/>
      </w:pPr>
      <w:r>
        <w:rPr>
          <w:color w:val="1e4d36"/>
        </w:rPr>
        <w:t xml:space="preserve">2. Analítica de agua de riego</w:t>
      </w:r>
    </w:p>
    <w:p>
      <w:r>
        <w:t xml:space="preserve">Referencia AGQ Labs, AGQ Labs, fecha de muestreo 2025-07-28. Muestra de volumen 1.5 L (importada de PDF)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1e4d36" w:val="clear"/>
          </w:tcPr>
          <w:p>
            <w:r>
              <w:rPr>
                <w:b/>
                <w:bCs/>
                <w:color w:val="ffffff"/>
              </w:rPr>
              <w:t xml:space="preserve">Parámetro</w:t>
            </w:r>
          </w:p>
        </w:tc>
        <w:tc>
          <w:tcPr>
            <w:shd w:fill="1e4d36" w:val="clear"/>
          </w:tcPr>
          <w:p>
            <w:r>
              <w:rPr>
                <w:b/>
                <w:bCs/>
                <w:color w:val="ffffff"/>
              </w:rPr>
              <w:t xml:space="preserve">Valor</w:t>
            </w:r>
          </w:p>
        </w:tc>
        <w:tc>
          <w:tcPr>
            <w:shd w:fill="1e4d36" w:val="clear"/>
          </w:tcPr>
          <w:p>
            <w:r>
              <w:rPr>
                <w:b/>
                <w:bCs/>
                <w:color w:val="ffffff"/>
              </w:rPr>
              <w:t xml:space="preserve">Unidad</w:t>
            </w:r>
          </w:p>
        </w:tc>
        <w:tc>
          <w:tcPr>
            <w:shd w:fill="1e4d36" w:val="clear"/>
          </w:tcPr>
          <w:p>
            <w:r>
              <w:rPr>
                <w:b/>
                <w:bCs/>
                <w:color w:val="ffffff"/>
              </w:rPr>
              <w:t xml:space="preserve">Referencia</w:t>
            </w:r>
          </w:p>
        </w:tc>
        <w:tc>
          <w:tcPr>
            <w:shd w:fill="1e4d36" w:val="clear"/>
          </w:tcPr>
          <w:p>
            <w:r>
              <w:rPr>
                <w:b/>
                <w:bCs/>
                <w:color w:val="ffffff"/>
              </w:rPr>
              <w:t xml:space="preserve">Estado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Conductividad eléctrica</w:t>
            </w:r>
          </w:p>
        </w:tc>
        <w:tc>
          <w:p>
            <w:r>
              <w:rPr>
                <w:b w:val="false"/>
                <w:bCs w:val="false"/>
              </w:rPr>
              <w:t xml:space="preserve">910</w:t>
            </w:r>
          </w:p>
        </w:tc>
        <w:tc>
          <w:p>
            <w:r>
              <w:rPr>
                <w:b w:val="false"/>
                <w:bCs w:val="false"/>
              </w:rPr>
              <w:t xml:space="preserve">μS/cm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shd w:fill="f2f6f3" w:val="clear"/>
          </w:tcPr>
          <w:p>
            <w:r>
              <w:rPr>
                <w:b w:val="false"/>
                <w:bCs w:val="false"/>
              </w:rPr>
              <w:t xml:space="preserve">pH</w:t>
            </w:r>
          </w:p>
        </w:tc>
        <w:tc>
          <w:tcPr>
            <w:shd w:fill="f2f6f3" w:val="clear"/>
          </w:tcPr>
          <w:p>
            <w:r>
              <w:rPr>
                <w:b w:val="false"/>
                <w:bCs w:val="false"/>
              </w:rPr>
              <w:t xml:space="preserve">8.6</w:t>
            </w:r>
          </w:p>
        </w:tc>
        <w:tc>
          <w:tcPr>
            <w:shd w:fill="f2f6f3" w:val="clea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shd w:fill="f2f6f3" w:val="clea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shd w:fill="f2f6f3" w:val="clea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Amonio</w:t>
            </w:r>
          </w:p>
        </w:tc>
        <w:tc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p>
            <w:r>
              <w:rPr>
                <w:b w:val="false"/>
                <w:bCs w:val="false"/>
              </w:rPr>
              <w:t xml:space="preserve">mg/L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shd w:fill="f2f6f3" w:val="clear"/>
          </w:tcPr>
          <w:p>
            <w:r>
              <w:rPr>
                <w:b w:val="false"/>
                <w:bCs w:val="false"/>
              </w:rPr>
              <w:t xml:space="preserve">Calcio</w:t>
            </w:r>
          </w:p>
        </w:tc>
        <w:tc>
          <w:tcPr>
            <w:shd w:fill="f2f6f3" w:val="clear"/>
          </w:tcPr>
          <w:p>
            <w:r>
              <w:rPr>
                <w:b w:val="false"/>
                <w:bCs w:val="false"/>
              </w:rPr>
              <w:t xml:space="preserve">9.55</w:t>
            </w:r>
          </w:p>
        </w:tc>
        <w:tc>
          <w:tcPr>
            <w:shd w:fill="f2f6f3" w:val="clear"/>
          </w:tcPr>
          <w:p>
            <w:r>
              <w:rPr>
                <w:b w:val="false"/>
                <w:bCs w:val="false"/>
              </w:rPr>
              <w:t xml:space="preserve">mg/L</w:t>
            </w:r>
          </w:p>
        </w:tc>
        <w:tc>
          <w:tcPr>
            <w:shd w:fill="f2f6f3" w:val="clea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shd w:fill="f2f6f3" w:val="clea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Magnesio</w:t>
            </w:r>
          </w:p>
        </w:tc>
        <w:tc>
          <w:p>
            <w:r>
              <w:rPr>
                <w:b w:val="false"/>
                <w:bCs w:val="false"/>
              </w:rPr>
              <w:t xml:space="preserve">20.6</w:t>
            </w:r>
          </w:p>
        </w:tc>
        <w:tc>
          <w:p>
            <w:r>
              <w:rPr>
                <w:b w:val="false"/>
                <w:bCs w:val="false"/>
              </w:rPr>
              <w:t xml:space="preserve">mg/L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shd w:fill="f2f6f3" w:val="clear"/>
          </w:tcPr>
          <w:p>
            <w:r>
              <w:rPr>
                <w:b w:val="false"/>
                <w:bCs w:val="false"/>
              </w:rPr>
              <w:t xml:space="preserve">Potasio</w:t>
            </w:r>
          </w:p>
        </w:tc>
        <w:tc>
          <w:tcPr>
            <w:shd w:fill="f2f6f3" w:val="clear"/>
          </w:tcPr>
          <w:p>
            <w:r>
              <w:rPr>
                <w:b w:val="false"/>
                <w:bCs w:val="false"/>
              </w:rPr>
              <w:t xml:space="preserve">19</w:t>
            </w:r>
          </w:p>
        </w:tc>
        <w:tc>
          <w:tcPr>
            <w:shd w:fill="f2f6f3" w:val="clear"/>
          </w:tcPr>
          <w:p>
            <w:r>
              <w:rPr>
                <w:b w:val="false"/>
                <w:bCs w:val="false"/>
              </w:rPr>
              <w:t xml:space="preserve">mg/L</w:t>
            </w:r>
          </w:p>
        </w:tc>
        <w:tc>
          <w:tcPr>
            <w:shd w:fill="f2f6f3" w:val="clea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shd w:fill="f2f6f3" w:val="clea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Sodio</w:t>
            </w:r>
          </w:p>
        </w:tc>
        <w:tc>
          <w:p>
            <w:r>
              <w:rPr>
                <w:b w:val="false"/>
                <w:bCs w:val="false"/>
              </w:rPr>
              <w:t xml:space="preserve">170</w:t>
            </w:r>
          </w:p>
        </w:tc>
        <w:tc>
          <w:p>
            <w:r>
              <w:rPr>
                <w:b w:val="false"/>
                <w:bCs w:val="false"/>
              </w:rPr>
              <w:t xml:space="preserve">mg/L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shd w:fill="f2f6f3" w:val="clear"/>
          </w:tcPr>
          <w:p>
            <w:r>
              <w:rPr>
                <w:b w:val="false"/>
                <w:bCs w:val="false"/>
              </w:rPr>
              <w:t xml:space="preserve">Alcalinidad</w:t>
            </w:r>
          </w:p>
        </w:tc>
        <w:tc>
          <w:tcPr>
            <w:shd w:fill="f2f6f3" w:val="clear"/>
          </w:tcPr>
          <w:p>
            <w:r>
              <w:rPr>
                <w:b w:val="false"/>
                <w:bCs w:val="false"/>
              </w:rPr>
              <w:t xml:space="preserve">380</w:t>
            </w:r>
          </w:p>
        </w:tc>
        <w:tc>
          <w:tcPr>
            <w:shd w:fill="f2f6f3" w:val="clear"/>
          </w:tcPr>
          <w:p>
            <w:r>
              <w:rPr>
                <w:b w:val="false"/>
                <w:bCs w:val="false"/>
              </w:rPr>
              <w:t xml:space="preserve">mg/L</w:t>
            </w:r>
          </w:p>
        </w:tc>
        <w:tc>
          <w:tcPr>
            <w:shd w:fill="f2f6f3" w:val="clea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shd w:fill="f2f6f3" w:val="clea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Cloruros</w:t>
            </w:r>
          </w:p>
        </w:tc>
        <w:tc>
          <w:p>
            <w:r>
              <w:rPr>
                <w:b w:val="false"/>
                <w:bCs w:val="false"/>
              </w:rPr>
              <w:t xml:space="preserve">101</w:t>
            </w:r>
          </w:p>
        </w:tc>
        <w:tc>
          <w:p>
            <w:r>
              <w:rPr>
                <w:b w:val="false"/>
                <w:bCs w:val="false"/>
              </w:rPr>
              <w:t xml:space="preserve">mg/L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shd w:fill="f2f6f3" w:val="clear"/>
          </w:tcPr>
          <w:p>
            <w:r>
              <w:rPr>
                <w:b w:val="false"/>
                <w:bCs w:val="false"/>
              </w:rPr>
              <w:t xml:space="preserve">Nitratos (TON)</w:t>
            </w:r>
          </w:p>
        </w:tc>
        <w:tc>
          <w:tcPr>
            <w:shd w:fill="f2f6f3" w:val="clear"/>
          </w:tcPr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shd w:fill="f2f6f3" w:val="clear"/>
          </w:tcPr>
          <w:p>
            <w:r>
              <w:rPr>
                <w:b w:val="false"/>
                <w:bCs w:val="false"/>
              </w:rPr>
              <w:t xml:space="preserve">mg/L</w:t>
            </w:r>
          </w:p>
        </w:tc>
        <w:tc>
          <w:tcPr>
            <w:shd w:fill="f2f6f3" w:val="clea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shd w:fill="f2f6f3" w:val="clea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Nitritos</w:t>
            </w:r>
          </w:p>
        </w:tc>
        <w:tc>
          <w:p>
            <w:r>
              <w:rPr>
                <w:b w:val="false"/>
                <w:bCs w:val="false"/>
              </w:rPr>
              <w:t xml:space="preserve">0.04</w:t>
            </w:r>
          </w:p>
        </w:tc>
        <w:tc>
          <w:p>
            <w:r>
              <w:rPr>
                <w:b w:val="false"/>
                <w:bCs w:val="false"/>
              </w:rPr>
              <w:t xml:space="preserve">mg/L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shd w:fill="f2f6f3" w:val="clear"/>
          </w:tcPr>
          <w:p>
            <w:r>
              <w:rPr>
                <w:b w:val="false"/>
                <w:bCs w:val="false"/>
              </w:rPr>
              <w:t xml:space="preserve">Sulfatos</w:t>
            </w:r>
          </w:p>
        </w:tc>
        <w:tc>
          <w:tcPr>
            <w:shd w:fill="f2f6f3" w:val="clear"/>
          </w:tcPr>
          <w:p>
            <w:r>
              <w:rPr>
                <w:b w:val="false"/>
                <w:bCs w:val="false"/>
              </w:rPr>
              <w:t xml:space="preserve">48.3</w:t>
            </w:r>
          </w:p>
        </w:tc>
        <w:tc>
          <w:tcPr>
            <w:shd w:fill="f2f6f3" w:val="clear"/>
          </w:tcPr>
          <w:p>
            <w:r>
              <w:rPr>
                <w:b w:val="false"/>
                <w:bCs w:val="false"/>
              </w:rPr>
              <w:t xml:space="preserve">mg/L</w:t>
            </w:r>
          </w:p>
        </w:tc>
        <w:tc>
          <w:tcPr>
            <w:shd w:fill="f2f6f3" w:val="clea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shd w:fill="f2f6f3" w:val="clea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Aluminio Total</w:t>
            </w:r>
          </w:p>
        </w:tc>
        <w:tc>
          <w:p>
            <w:r>
              <w:rPr>
                <w:b w:val="false"/>
                <w:bCs w:val="false"/>
              </w:rPr>
              <w:t xml:space="preserve">25</w:t>
            </w:r>
          </w:p>
        </w:tc>
        <w:tc>
          <w:p>
            <w:r>
              <w:rPr>
                <w:b w:val="false"/>
                <w:bCs w:val="false"/>
              </w:rPr>
              <w:t xml:space="preserve">μg/L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shd w:fill="f2f6f3" w:val="clear"/>
          </w:tcPr>
          <w:p>
            <w:r>
              <w:rPr>
                <w:b w:val="false"/>
                <w:bCs w:val="false"/>
              </w:rPr>
              <w:t xml:space="preserve">Arsénico Total</w:t>
            </w:r>
          </w:p>
        </w:tc>
        <w:tc>
          <w:tcPr>
            <w:shd w:fill="f2f6f3" w:val="clear"/>
          </w:tcPr>
          <w:p>
            <w:r>
              <w:rPr>
                <w:b w:val="false"/>
                <w:bCs w:val="false"/>
              </w:rPr>
              <w:t xml:space="preserve">1.25</w:t>
            </w:r>
          </w:p>
        </w:tc>
        <w:tc>
          <w:tcPr>
            <w:shd w:fill="f2f6f3" w:val="clear"/>
          </w:tcPr>
          <w:p>
            <w:r>
              <w:rPr>
                <w:b w:val="false"/>
                <w:bCs w:val="false"/>
              </w:rPr>
              <w:t xml:space="preserve">μg/L</w:t>
            </w:r>
          </w:p>
        </w:tc>
        <w:tc>
          <w:tcPr>
            <w:shd w:fill="f2f6f3" w:val="clea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shd w:fill="f2f6f3" w:val="clea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Cadmio Total</w:t>
            </w:r>
          </w:p>
        </w:tc>
        <w:tc>
          <w:p>
            <w:r>
              <w:rPr>
                <w:b w:val="false"/>
                <w:bCs w:val="false"/>
              </w:rPr>
              <w:t xml:space="preserve">0.05</w:t>
            </w:r>
          </w:p>
        </w:tc>
        <w:tc>
          <w:p>
            <w:r>
              <w:rPr>
                <w:b w:val="false"/>
                <w:bCs w:val="false"/>
              </w:rPr>
              <w:t xml:space="preserve">μg/L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shd w:fill="f2f6f3" w:val="clear"/>
          </w:tcPr>
          <w:p>
            <w:r>
              <w:rPr>
                <w:b w:val="false"/>
                <w:bCs w:val="false"/>
              </w:rPr>
              <w:t xml:space="preserve">Cromo Total</w:t>
            </w:r>
          </w:p>
        </w:tc>
        <w:tc>
          <w:tcPr>
            <w:shd w:fill="f2f6f3" w:val="clear"/>
          </w:tcPr>
          <w:p>
            <w:r>
              <w:rPr>
                <w:b w:val="false"/>
                <w:bCs w:val="false"/>
              </w:rPr>
              <w:t xml:space="preserve">1.25</w:t>
            </w:r>
          </w:p>
        </w:tc>
        <w:tc>
          <w:tcPr>
            <w:shd w:fill="f2f6f3" w:val="clear"/>
          </w:tcPr>
          <w:p>
            <w:r>
              <w:rPr>
                <w:b w:val="false"/>
                <w:bCs w:val="false"/>
              </w:rPr>
              <w:t xml:space="preserve">μg/L</w:t>
            </w:r>
          </w:p>
        </w:tc>
        <w:tc>
          <w:tcPr>
            <w:shd w:fill="f2f6f3" w:val="clea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shd w:fill="f2f6f3" w:val="clea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Mercurio Total</w:t>
            </w:r>
          </w:p>
        </w:tc>
        <w:tc>
          <w:p>
            <w:r>
              <w:rPr>
                <w:b w:val="false"/>
                <w:bCs w:val="false"/>
              </w:rPr>
              <w:t xml:space="preserve">0.1</w:t>
            </w:r>
          </w:p>
        </w:tc>
        <w:tc>
          <w:p>
            <w:r>
              <w:rPr>
                <w:b w:val="false"/>
                <w:bCs w:val="false"/>
              </w:rPr>
              <w:t xml:space="preserve">μg/L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shd w:fill="f2f6f3" w:val="clear"/>
          </w:tcPr>
          <w:p>
            <w:r>
              <w:rPr>
                <w:b w:val="false"/>
                <w:bCs w:val="false"/>
              </w:rPr>
              <w:t xml:space="preserve">Plomo Total</w:t>
            </w:r>
          </w:p>
        </w:tc>
        <w:tc>
          <w:tcPr>
            <w:shd w:fill="f2f6f3" w:val="clear"/>
          </w:tcPr>
          <w:p>
            <w:r>
              <w:rPr>
                <w:b w:val="false"/>
                <w:bCs w:val="false"/>
              </w:rPr>
              <w:t xml:space="preserve">1.14</w:t>
            </w:r>
          </w:p>
        </w:tc>
        <w:tc>
          <w:tcPr>
            <w:shd w:fill="f2f6f3" w:val="clear"/>
          </w:tcPr>
          <w:p>
            <w:r>
              <w:rPr>
                <w:b w:val="false"/>
                <w:bCs w:val="false"/>
              </w:rPr>
              <w:t xml:space="preserve">μg/L</w:t>
            </w:r>
          </w:p>
        </w:tc>
        <w:tc>
          <w:tcPr>
            <w:shd w:fill="f2f6f3" w:val="clea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shd w:fill="f2f6f3" w:val="clea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Hierro</w:t>
            </w:r>
          </w:p>
        </w:tc>
        <w:tc>
          <w:p>
            <w:r>
              <w:rPr>
                <w:b w:val="false"/>
                <w:bCs w:val="false"/>
              </w:rPr>
              <w:t xml:space="preserve">0.05</w:t>
            </w:r>
          </w:p>
        </w:tc>
        <w:tc>
          <w:p>
            <w:r>
              <w:rPr>
                <w:b w:val="false"/>
                <w:bCs w:val="false"/>
              </w:rPr>
              <w:t xml:space="preserve">mg/L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shd w:fill="f2f6f3" w:val="clear"/>
          </w:tcPr>
          <w:p>
            <w:r>
              <w:rPr>
                <w:b w:val="false"/>
                <w:bCs w:val="false"/>
              </w:rPr>
              <w:t xml:space="preserve">Boro</w:t>
            </w:r>
          </w:p>
        </w:tc>
        <w:tc>
          <w:tcPr>
            <w:shd w:fill="f2f6f3" w:val="clear"/>
          </w:tcPr>
          <w:p>
            <w:r>
              <w:rPr>
                <w:b w:val="false"/>
                <w:bCs w:val="false"/>
              </w:rPr>
              <w:t xml:space="preserve">0.83</w:t>
            </w:r>
          </w:p>
        </w:tc>
        <w:tc>
          <w:tcPr>
            <w:shd w:fill="f2f6f3" w:val="clear"/>
          </w:tcPr>
          <w:p>
            <w:r>
              <w:rPr>
                <w:b w:val="false"/>
                <w:bCs w:val="false"/>
              </w:rPr>
              <w:t xml:space="preserve">mg/L</w:t>
            </w:r>
          </w:p>
        </w:tc>
        <w:tc>
          <w:tcPr>
            <w:shd w:fill="f2f6f3" w:val="clea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shd w:fill="f2f6f3" w:val="clea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Cobre</w:t>
            </w:r>
          </w:p>
        </w:tc>
        <w:tc>
          <w:p>
            <w:r>
              <w:rPr>
                <w:b w:val="false"/>
                <w:bCs w:val="false"/>
              </w:rPr>
              <w:t xml:space="preserve">0.31</w:t>
            </w:r>
          </w:p>
        </w:tc>
        <w:tc>
          <w:p>
            <w:r>
              <w:rPr>
                <w:b w:val="false"/>
                <w:bCs w:val="false"/>
              </w:rPr>
              <w:t xml:space="preserve">mg/L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shd w:fill="f2f6f3" w:val="clear"/>
          </w:tcPr>
          <w:p>
            <w:r>
              <w:rPr>
                <w:b w:val="false"/>
                <w:bCs w:val="false"/>
              </w:rPr>
              <w:t xml:space="preserve">Manganeso</w:t>
            </w:r>
          </w:p>
        </w:tc>
        <w:tc>
          <w:tcPr>
            <w:shd w:fill="f2f6f3" w:val="clear"/>
          </w:tcPr>
          <w:p>
            <w:r>
              <w:rPr>
                <w:b w:val="false"/>
                <w:bCs w:val="false"/>
              </w:rPr>
              <w:t xml:space="preserve">0.01</w:t>
            </w:r>
          </w:p>
        </w:tc>
        <w:tc>
          <w:tcPr>
            <w:shd w:fill="f2f6f3" w:val="clear"/>
          </w:tcPr>
          <w:p>
            <w:r>
              <w:rPr>
                <w:b w:val="false"/>
                <w:bCs w:val="false"/>
              </w:rPr>
              <w:t xml:space="preserve">mg/L</w:t>
            </w:r>
          </w:p>
        </w:tc>
        <w:tc>
          <w:tcPr>
            <w:shd w:fill="f2f6f3" w:val="clea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shd w:fill="f2f6f3" w:val="clea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Zinc</w:t>
            </w:r>
          </w:p>
        </w:tc>
        <w:tc>
          <w:p>
            <w:r>
              <w:rPr>
                <w:b w:val="false"/>
                <w:bCs w:val="false"/>
              </w:rPr>
              <w:t xml:space="preserve">0.05</w:t>
            </w:r>
          </w:p>
        </w:tc>
        <w:tc>
          <w:p>
            <w:r>
              <w:rPr>
                <w:b w:val="false"/>
                <w:bCs w:val="false"/>
              </w:rPr>
              <w:t xml:space="preserve">mg/L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pStyle w:val="Heading1"/>
      </w:pPr>
      <w:r>
        <w:rPr>
          <w:color w:val="1e4d36"/>
        </w:rPr>
        <w:t xml:space="preserve">3. Analítica de suelo</w:t>
      </w:r>
    </w:p>
    <w:p>
      <w:r>
        <w:t xml:space="preserve">Referencia S-25/079328, Laboratorio agroalimentario, fecha de muestreo 2025-09-25. Sodio de cambio 17,1 % de la CIC: principal problema. pH muy alcalino.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1e4d36" w:val="clear"/>
          </w:tcPr>
          <w:p>
            <w:r>
              <w:rPr>
                <w:b/>
                <w:bCs/>
                <w:color w:val="ffffff"/>
              </w:rPr>
              <w:t xml:space="preserve">Parámetro</w:t>
            </w:r>
          </w:p>
        </w:tc>
        <w:tc>
          <w:tcPr>
            <w:shd w:fill="1e4d36" w:val="clear"/>
          </w:tcPr>
          <w:p>
            <w:r>
              <w:rPr>
                <w:b/>
                <w:bCs/>
                <w:color w:val="ffffff"/>
              </w:rPr>
              <w:t xml:space="preserve">Valor</w:t>
            </w:r>
          </w:p>
        </w:tc>
        <w:tc>
          <w:tcPr>
            <w:shd w:fill="1e4d36" w:val="clear"/>
          </w:tcPr>
          <w:p>
            <w:r>
              <w:rPr>
                <w:b/>
                <w:bCs/>
                <w:color w:val="ffffff"/>
              </w:rPr>
              <w:t xml:space="preserve">Unidad</w:t>
            </w:r>
          </w:p>
        </w:tc>
        <w:tc>
          <w:tcPr>
            <w:shd w:fill="1e4d36" w:val="clear"/>
          </w:tcPr>
          <w:p>
            <w:r>
              <w:rPr>
                <w:b/>
                <w:bCs/>
                <w:color w:val="ffffff"/>
              </w:rPr>
              <w:t xml:space="preserve">Referencia</w:t>
            </w:r>
          </w:p>
        </w:tc>
        <w:tc>
          <w:tcPr>
            <w:shd w:fill="1e4d36" w:val="clear"/>
          </w:tcPr>
          <w:p>
            <w:r>
              <w:rPr>
                <w:b/>
                <w:bCs/>
                <w:color w:val="ffffff"/>
              </w:rPr>
              <w:t xml:space="preserve">Estado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pH</w:t>
            </w:r>
          </w:p>
        </w:tc>
        <w:tc>
          <w:p>
            <w:r>
              <w:rPr>
                <w:b w:val="false"/>
                <w:bCs w:val="false"/>
              </w:rPr>
              <w:t xml:space="preserve">8.72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6 – 7.5</w:t>
            </w:r>
          </w:p>
        </w:tc>
        <w:tc>
          <w:p>
            <w:r>
              <w:rPr>
                <w:b w:val="false"/>
                <w:bCs w:val="false"/>
                <w:color w:val="b91c1c"/>
              </w:rPr>
              <w:t xml:space="preserve">muy alto</w:t>
            </w:r>
          </w:p>
        </w:tc>
      </w:tr>
      <w:tr>
        <w:tc>
          <w:tcPr>
            <w:shd w:fill="f2f6f3" w:val="clear"/>
          </w:tcPr>
          <w:p>
            <w:r>
              <w:rPr>
                <w:b w:val="false"/>
                <w:bCs w:val="false"/>
              </w:rPr>
              <w:t xml:space="preserve">CE (extracto 1:5)</w:t>
            </w:r>
          </w:p>
        </w:tc>
        <w:tc>
          <w:tcPr>
            <w:shd w:fill="f2f6f3" w:val="clear"/>
          </w:tcPr>
          <w:p>
            <w:r>
              <w:rPr>
                <w:b w:val="false"/>
                <w:bCs w:val="false"/>
              </w:rPr>
              <w:t xml:space="preserve">750</w:t>
            </w:r>
          </w:p>
        </w:tc>
        <w:tc>
          <w:tcPr>
            <w:shd w:fill="f2f6f3" w:val="clear"/>
          </w:tcPr>
          <w:p>
            <w:r>
              <w:rPr>
                <w:b w:val="false"/>
                <w:bCs w:val="false"/>
              </w:rPr>
              <w:t xml:space="preserve">µS/cm</w:t>
            </w:r>
          </w:p>
        </w:tc>
        <w:tc>
          <w:tcPr>
            <w:shd w:fill="f2f6f3" w:val="clear"/>
          </w:tcPr>
          <w:p>
            <w:r>
              <w:rPr>
                <w:b w:val="false"/>
                <w:bCs w:val="false"/>
              </w:rPr>
              <w:t xml:space="preserve">0 – 800</w:t>
            </w:r>
          </w:p>
        </w:tc>
        <w:tc>
          <w:tcPr>
            <w:shd w:fill="f2f6f3" w:val="clear"/>
          </w:tcPr>
          <w:p>
            <w:r>
              <w:rPr>
                <w:b w:val="false"/>
                <w:bCs w:val="false"/>
                <w:color w:val="c2620a"/>
              </w:rPr>
              <w:t xml:space="preserve">alto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Materia orgánica</w:t>
            </w:r>
          </w:p>
        </w:tc>
        <w:tc>
          <w:p>
            <w:r>
              <w:rPr>
                <w:b w:val="false"/>
                <w:bCs w:val="false"/>
              </w:rPr>
              <w:t xml:space="preserve">6.73</w:t>
            </w:r>
          </w:p>
        </w:tc>
        <w:tc>
          <w:p>
            <w:r>
              <w:rPr>
                <w:b w:val="false"/>
                <w:bCs w:val="false"/>
              </w:rPr>
              <w:t xml:space="preserve">%</w:t>
            </w:r>
          </w:p>
        </w:tc>
        <w:tc>
          <w:p>
            <w:r>
              <w:rPr>
                <w:b w:val="false"/>
                <w:bCs w:val="false"/>
              </w:rPr>
              <w:t xml:space="preserve">2 – 6</w:t>
            </w:r>
          </w:p>
        </w:tc>
        <w:tc>
          <w:p>
            <w:r>
              <w:rPr>
                <w:b w:val="false"/>
                <w:bCs w:val="false"/>
                <w:color w:val="c2620a"/>
              </w:rPr>
              <w:t xml:space="preserve">alto</w:t>
            </w:r>
          </w:p>
        </w:tc>
      </w:tr>
      <w:tr>
        <w:tc>
          <w:tcPr>
            <w:shd w:fill="f2f6f3" w:val="clear"/>
          </w:tcPr>
          <w:p>
            <w:r>
              <w:rPr>
                <w:b w:val="false"/>
                <w:bCs w:val="false"/>
              </w:rPr>
              <w:t xml:space="preserve">Nitrógeno total</w:t>
            </w:r>
          </w:p>
        </w:tc>
        <w:tc>
          <w:tcPr>
            <w:shd w:fill="f2f6f3" w:val="clear"/>
          </w:tcPr>
          <w:p>
            <w:r>
              <w:rPr>
                <w:b w:val="false"/>
                <w:bCs w:val="false"/>
              </w:rPr>
              <w:t xml:space="preserve">3755</w:t>
            </w:r>
          </w:p>
        </w:tc>
        <w:tc>
          <w:tcPr>
            <w:shd w:fill="f2f6f3" w:val="clear"/>
          </w:tcPr>
          <w:p>
            <w:r>
              <w:rPr>
                <w:b w:val="false"/>
                <w:bCs w:val="false"/>
              </w:rPr>
              <w:t xml:space="preserve">mg/kg</w:t>
            </w:r>
          </w:p>
        </w:tc>
        <w:tc>
          <w:tcPr>
            <w:shd w:fill="f2f6f3" w:val="clear"/>
          </w:tcPr>
          <w:p>
            <w:r>
              <w:rPr>
                <w:b w:val="false"/>
                <w:bCs w:val="false"/>
              </w:rPr>
              <w:t xml:space="preserve">1000 – 3000</w:t>
            </w:r>
          </w:p>
        </w:tc>
        <w:tc>
          <w:tcPr>
            <w:shd w:fill="f2f6f3" w:val="clear"/>
          </w:tcPr>
          <w:p>
            <w:r>
              <w:rPr>
                <w:b w:val="false"/>
                <w:bCs w:val="false"/>
                <w:color w:val="c2620a"/>
              </w:rPr>
              <w:t xml:space="preserve">alto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Fósforo Olsen</w:t>
            </w:r>
          </w:p>
        </w:tc>
        <w:tc>
          <w:p>
            <w:r>
              <w:rPr>
                <w:b w:val="false"/>
                <w:bCs w:val="false"/>
              </w:rPr>
              <w:t xml:space="preserve">216</w:t>
            </w:r>
          </w:p>
        </w:tc>
        <w:tc>
          <w:p>
            <w:r>
              <w:rPr>
                <w:b w:val="false"/>
                <w:bCs w:val="false"/>
              </w:rPr>
              <w:t xml:space="preserve">mg/kg</w:t>
            </w:r>
          </w:p>
        </w:tc>
        <w:tc>
          <w:p>
            <w:r>
              <w:rPr>
                <w:b w:val="false"/>
                <w:bCs w:val="false"/>
              </w:rPr>
              <w:t xml:space="preserve">25 – 60</w:t>
            </w:r>
          </w:p>
        </w:tc>
        <w:tc>
          <w:p>
            <w:r>
              <w:rPr>
                <w:b w:val="false"/>
                <w:bCs w:val="false"/>
                <w:color w:val="b91c1c"/>
              </w:rPr>
              <w:t xml:space="preserve">muy alto</w:t>
            </w:r>
          </w:p>
        </w:tc>
      </w:tr>
      <w:tr>
        <w:tc>
          <w:tcPr>
            <w:shd w:fill="f2f6f3" w:val="clear"/>
          </w:tcPr>
          <w:p>
            <w:r>
              <w:rPr>
                <w:b w:val="false"/>
                <w:bCs w:val="false"/>
              </w:rPr>
              <w:t xml:space="preserve">Calcio de cambio</w:t>
            </w:r>
          </w:p>
        </w:tc>
        <w:tc>
          <w:tcPr>
            <w:shd w:fill="f2f6f3" w:val="clear"/>
          </w:tcPr>
          <w:p>
            <w:r>
              <w:rPr>
                <w:b w:val="false"/>
                <w:bCs w:val="false"/>
              </w:rPr>
              <w:t xml:space="preserve">21.9</w:t>
            </w:r>
          </w:p>
        </w:tc>
        <w:tc>
          <w:tcPr>
            <w:shd w:fill="f2f6f3" w:val="clear"/>
          </w:tcPr>
          <w:p>
            <w:r>
              <w:rPr>
                <w:b w:val="false"/>
                <w:bCs w:val="false"/>
              </w:rPr>
              <w:t xml:space="preserve">meq/100g</w:t>
            </w:r>
          </w:p>
        </w:tc>
        <w:tc>
          <w:tcPr>
            <w:shd w:fill="f2f6f3" w:val="clear"/>
          </w:tcPr>
          <w:p>
            <w:r>
              <w:rPr>
                <w:b w:val="false"/>
                <w:bCs w:val="false"/>
              </w:rPr>
              <w:t xml:space="preserve">8 – 25</w:t>
            </w:r>
          </w:p>
        </w:tc>
        <w:tc>
          <w:tcPr>
            <w:shd w:fill="f2f6f3" w:val="clear"/>
          </w:tcPr>
          <w:p>
            <w:r>
              <w:rPr>
                <w:b w:val="false"/>
                <w:bCs w:val="false"/>
                <w:color w:val="15803d"/>
              </w:rPr>
              <w:t xml:space="preserve">normal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Magnesio de cambio</w:t>
            </w:r>
          </w:p>
        </w:tc>
        <w:tc>
          <w:p>
            <w:r>
              <w:rPr>
                <w:b w:val="false"/>
                <w:bCs w:val="false"/>
              </w:rPr>
              <w:t xml:space="preserve">14.2</w:t>
            </w:r>
          </w:p>
        </w:tc>
        <w:tc>
          <w:p>
            <w:r>
              <w:rPr>
                <w:b w:val="false"/>
                <w:bCs w:val="false"/>
              </w:rPr>
              <w:t xml:space="preserve">meq/100g</w:t>
            </w:r>
          </w:p>
        </w:tc>
        <w:tc>
          <w:p>
            <w:r>
              <w:rPr>
                <w:b w:val="false"/>
                <w:bCs w:val="false"/>
              </w:rPr>
              <w:t xml:space="preserve">2 – 8</w:t>
            </w:r>
          </w:p>
        </w:tc>
        <w:tc>
          <w:p>
            <w:r>
              <w:rPr>
                <w:b w:val="false"/>
                <w:bCs w:val="false"/>
                <w:color w:val="b91c1c"/>
              </w:rPr>
              <w:t xml:space="preserve">muy alto</w:t>
            </w:r>
          </w:p>
        </w:tc>
      </w:tr>
      <w:tr>
        <w:tc>
          <w:tcPr>
            <w:shd w:fill="f2f6f3" w:val="clear"/>
          </w:tcPr>
          <w:p>
            <w:r>
              <w:rPr>
                <w:b w:val="false"/>
                <w:bCs w:val="false"/>
              </w:rPr>
              <w:t xml:space="preserve">Potasio de cambio</w:t>
            </w:r>
          </w:p>
        </w:tc>
        <w:tc>
          <w:tcPr>
            <w:shd w:fill="f2f6f3" w:val="clear"/>
          </w:tcPr>
          <w:p>
            <w:r>
              <w:rPr>
                <w:b w:val="false"/>
                <w:bCs w:val="false"/>
              </w:rPr>
              <w:t xml:space="preserve">5.82</w:t>
            </w:r>
          </w:p>
        </w:tc>
        <w:tc>
          <w:tcPr>
            <w:shd w:fill="f2f6f3" w:val="clear"/>
          </w:tcPr>
          <w:p>
            <w:r>
              <w:rPr>
                <w:b w:val="false"/>
                <w:bCs w:val="false"/>
              </w:rPr>
              <w:t xml:space="preserve">meq/100g</w:t>
            </w:r>
          </w:p>
        </w:tc>
        <w:tc>
          <w:tcPr>
            <w:shd w:fill="f2f6f3" w:val="clear"/>
          </w:tcPr>
          <w:p>
            <w:r>
              <w:rPr>
                <w:b w:val="false"/>
                <w:bCs w:val="false"/>
              </w:rPr>
              <w:t xml:space="preserve">0.5 – 2.5</w:t>
            </w:r>
          </w:p>
        </w:tc>
        <w:tc>
          <w:tcPr>
            <w:shd w:fill="f2f6f3" w:val="clear"/>
          </w:tcPr>
          <w:p>
            <w:r>
              <w:rPr>
                <w:b w:val="false"/>
                <w:bCs w:val="false"/>
                <w:color w:val="b91c1c"/>
              </w:rPr>
              <w:t xml:space="preserve">muy alto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Sodio de cambio</w:t>
            </w:r>
          </w:p>
        </w:tc>
        <w:tc>
          <w:p>
            <w:r>
              <w:rPr>
                <w:b w:val="false"/>
                <w:bCs w:val="false"/>
              </w:rPr>
              <w:t xml:space="preserve">8.64</w:t>
            </w:r>
          </w:p>
        </w:tc>
        <w:tc>
          <w:p>
            <w:r>
              <w:rPr>
                <w:b w:val="false"/>
                <w:bCs w:val="false"/>
              </w:rPr>
              <w:t xml:space="preserve">meq/100g</w:t>
            </w:r>
          </w:p>
        </w:tc>
        <w:tc>
          <w:p>
            <w:r>
              <w:rPr>
                <w:b w:val="false"/>
                <w:bCs w:val="false"/>
              </w:rPr>
              <w:t xml:space="preserve">0 – 2</w:t>
            </w:r>
          </w:p>
        </w:tc>
        <w:tc>
          <w:p>
            <w:r>
              <w:rPr>
                <w:b w:val="false"/>
                <w:bCs w:val="false"/>
                <w:color w:val="b91c1c"/>
              </w:rPr>
              <w:t xml:space="preserve">muy alto</w:t>
            </w:r>
          </w:p>
        </w:tc>
      </w:tr>
    </w:tbl>
    <w:p>
      <w:pPr>
        <w:pStyle w:val="Heading1"/>
      </w:pPr>
      <w:r>
        <w:rPr>
          <w:color w:val="1e4d36"/>
        </w:rPr>
        <w:t xml:space="preserve">4. Analítica foliar</w:t>
      </w:r>
    </w:p>
    <w:p>
      <w:r>
        <w:t xml:space="preserve">Referencia V-25/061489, Laboratorio agroalimentario, fecha de muestreo 2025-09-25. Deficiencia de Ca inducida por antagonismo Na/Mg/K; Fe y Zn bajos, Mn muy alto.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1e4d36" w:val="clear"/>
          </w:tcPr>
          <w:p>
            <w:r>
              <w:rPr>
                <w:b/>
                <w:bCs/>
                <w:color w:val="ffffff"/>
              </w:rPr>
              <w:t xml:space="preserve">Parámetro</w:t>
            </w:r>
          </w:p>
        </w:tc>
        <w:tc>
          <w:tcPr>
            <w:shd w:fill="1e4d36" w:val="clear"/>
          </w:tcPr>
          <w:p>
            <w:r>
              <w:rPr>
                <w:b/>
                <w:bCs/>
                <w:color w:val="ffffff"/>
              </w:rPr>
              <w:t xml:space="preserve">Valor</w:t>
            </w:r>
          </w:p>
        </w:tc>
        <w:tc>
          <w:tcPr>
            <w:shd w:fill="1e4d36" w:val="clear"/>
          </w:tcPr>
          <w:p>
            <w:r>
              <w:rPr>
                <w:b/>
                <w:bCs/>
                <w:color w:val="ffffff"/>
              </w:rPr>
              <w:t xml:space="preserve">Unidad</w:t>
            </w:r>
          </w:p>
        </w:tc>
        <w:tc>
          <w:tcPr>
            <w:shd w:fill="1e4d36" w:val="clear"/>
          </w:tcPr>
          <w:p>
            <w:r>
              <w:rPr>
                <w:b/>
                <w:bCs/>
                <w:color w:val="ffffff"/>
              </w:rPr>
              <w:t xml:space="preserve">Referencia</w:t>
            </w:r>
          </w:p>
        </w:tc>
        <w:tc>
          <w:tcPr>
            <w:shd w:fill="1e4d36" w:val="clear"/>
          </w:tcPr>
          <w:p>
            <w:r>
              <w:rPr>
                <w:b/>
                <w:bCs/>
                <w:color w:val="ffffff"/>
              </w:rPr>
              <w:t xml:space="preserve">Estado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Nitrógeno (N)</w:t>
            </w:r>
          </w:p>
        </w:tc>
        <w:tc>
          <w:p>
            <w:r>
              <w:rPr>
                <w:b w:val="false"/>
                <w:bCs w:val="false"/>
              </w:rPr>
              <w:t xml:space="preserve">2.68</w:t>
            </w:r>
          </w:p>
        </w:tc>
        <w:tc>
          <w:p>
            <w:r>
              <w:rPr>
                <w:b w:val="false"/>
                <w:bCs w:val="false"/>
              </w:rPr>
              <w:t xml:space="preserve">%</w:t>
            </w:r>
          </w:p>
        </w:tc>
        <w:tc>
          <w:p>
            <w:r>
              <w:rPr>
                <w:b w:val="false"/>
                <w:bCs w:val="false"/>
              </w:rPr>
              <w:t xml:space="preserve">2.6 – 3.5</w:t>
            </w:r>
          </w:p>
        </w:tc>
        <w:tc>
          <w:p>
            <w:r>
              <w:rPr>
                <w:b w:val="false"/>
                <w:bCs w:val="false"/>
                <w:color w:val="15803d"/>
              </w:rPr>
              <w:t xml:space="preserve">normal</w:t>
            </w:r>
          </w:p>
        </w:tc>
      </w:tr>
      <w:tr>
        <w:tc>
          <w:tcPr>
            <w:shd w:fill="f2f6f3" w:val="clear"/>
          </w:tcPr>
          <w:p>
            <w:r>
              <w:rPr>
                <w:b w:val="false"/>
                <w:bCs w:val="false"/>
              </w:rPr>
              <w:t xml:space="preserve">Fósforo (P)</w:t>
            </w:r>
          </w:p>
        </w:tc>
        <w:tc>
          <w:tcPr>
            <w:shd w:fill="f2f6f3" w:val="clear"/>
          </w:tcPr>
          <w:p>
            <w:r>
              <w:rPr>
                <w:b w:val="false"/>
                <w:bCs w:val="false"/>
              </w:rPr>
              <w:t xml:space="preserve">0.203</w:t>
            </w:r>
          </w:p>
        </w:tc>
        <w:tc>
          <w:tcPr>
            <w:shd w:fill="f2f6f3" w:val="clear"/>
          </w:tcPr>
          <w:p>
            <w:r>
              <w:rPr>
                <w:b w:val="false"/>
                <w:bCs w:val="false"/>
              </w:rPr>
              <w:t xml:space="preserve">%</w:t>
            </w:r>
          </w:p>
        </w:tc>
        <w:tc>
          <w:tcPr>
            <w:shd w:fill="f2f6f3" w:val="clear"/>
          </w:tcPr>
          <w:p>
            <w:r>
              <w:rPr>
                <w:b w:val="false"/>
                <w:bCs w:val="false"/>
              </w:rPr>
              <w:t xml:space="preserve">0.16 – 0.27</w:t>
            </w:r>
          </w:p>
        </w:tc>
        <w:tc>
          <w:tcPr>
            <w:shd w:fill="f2f6f3" w:val="clear"/>
          </w:tcPr>
          <w:p>
            <w:r>
              <w:rPr>
                <w:b w:val="false"/>
                <w:bCs w:val="false"/>
                <w:color w:val="15803d"/>
              </w:rPr>
              <w:t xml:space="preserve">normal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Potasio (K)</w:t>
            </w:r>
          </w:p>
        </w:tc>
        <w:tc>
          <w:p>
            <w:r>
              <w:rPr>
                <w:b w:val="false"/>
                <w:bCs w:val="false"/>
              </w:rPr>
              <w:t xml:space="preserve">4.11</w:t>
            </w:r>
          </w:p>
        </w:tc>
        <w:tc>
          <w:p>
            <w:r>
              <w:rPr>
                <w:b w:val="false"/>
                <w:bCs w:val="false"/>
              </w:rPr>
              <w:t xml:space="preserve">%</w:t>
            </w:r>
          </w:p>
        </w:tc>
        <w:tc>
          <w:p>
            <w:r>
              <w:rPr>
                <w:b w:val="false"/>
                <w:bCs w:val="false"/>
              </w:rPr>
              <w:t xml:space="preserve">3 – 4</w:t>
            </w:r>
          </w:p>
        </w:tc>
        <w:tc>
          <w:p>
            <w:r>
              <w:rPr>
                <w:b w:val="false"/>
                <w:bCs w:val="false"/>
                <w:color w:val="c2620a"/>
              </w:rPr>
              <w:t xml:space="preserve">alto</w:t>
            </w:r>
          </w:p>
        </w:tc>
      </w:tr>
      <w:tr>
        <w:tc>
          <w:tcPr>
            <w:shd w:fill="f2f6f3" w:val="clear"/>
          </w:tcPr>
          <w:p>
            <w:r>
              <w:rPr>
                <w:b w:val="false"/>
                <w:bCs w:val="false"/>
              </w:rPr>
              <w:t xml:space="preserve">Calcio (Ca)</w:t>
            </w:r>
          </w:p>
        </w:tc>
        <w:tc>
          <w:tcPr>
            <w:shd w:fill="f2f6f3" w:val="clear"/>
          </w:tcPr>
          <w:p>
            <w:r>
              <w:rPr>
                <w:b w:val="false"/>
                <w:bCs w:val="false"/>
              </w:rPr>
              <w:t xml:space="preserve">0.88</w:t>
            </w:r>
          </w:p>
        </w:tc>
        <w:tc>
          <w:tcPr>
            <w:shd w:fill="f2f6f3" w:val="clear"/>
          </w:tcPr>
          <w:p>
            <w:r>
              <w:rPr>
                <w:b w:val="false"/>
                <w:bCs w:val="false"/>
              </w:rPr>
              <w:t xml:space="preserve">%</w:t>
            </w:r>
          </w:p>
        </w:tc>
        <w:tc>
          <w:tcPr>
            <w:shd w:fill="f2f6f3" w:val="clear"/>
          </w:tcPr>
          <w:p>
            <w:r>
              <w:rPr>
                <w:b w:val="false"/>
                <w:bCs w:val="false"/>
              </w:rPr>
              <w:t xml:space="preserve">1 – 1.5</w:t>
            </w:r>
          </w:p>
        </w:tc>
        <w:tc>
          <w:tcPr>
            <w:shd w:fill="f2f6f3" w:val="clear"/>
          </w:tcPr>
          <w:p>
            <w:r>
              <w:rPr>
                <w:b w:val="false"/>
                <w:bCs w:val="false"/>
                <w:color w:val="c2620a"/>
              </w:rPr>
              <w:t xml:space="preserve">bajo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Magnesio (Mg)</w:t>
            </w:r>
          </w:p>
        </w:tc>
        <w:tc>
          <w:p>
            <w:r>
              <w:rPr>
                <w:b w:val="false"/>
                <w:bCs w:val="false"/>
              </w:rPr>
              <w:t xml:space="preserve">0.617</w:t>
            </w:r>
          </w:p>
        </w:tc>
        <w:tc>
          <w:p>
            <w:r>
              <w:rPr>
                <w:b w:val="false"/>
                <w:bCs w:val="false"/>
              </w:rPr>
              <w:t xml:space="preserve">%</w:t>
            </w:r>
          </w:p>
        </w:tc>
        <w:tc>
          <w:p>
            <w:r>
              <w:rPr>
                <w:b w:val="false"/>
                <w:bCs w:val="false"/>
              </w:rPr>
              <w:t xml:space="preserve">0.3 – 0.6</w:t>
            </w:r>
          </w:p>
        </w:tc>
        <w:tc>
          <w:p>
            <w:r>
              <w:rPr>
                <w:b w:val="false"/>
                <w:bCs w:val="false"/>
                <w:color w:val="c2620a"/>
              </w:rPr>
              <w:t xml:space="preserve">alto</w:t>
            </w:r>
          </w:p>
        </w:tc>
      </w:tr>
      <w:tr>
        <w:tc>
          <w:tcPr>
            <w:shd w:fill="f2f6f3" w:val="clear"/>
          </w:tcPr>
          <w:p>
            <w:r>
              <w:rPr>
                <w:b w:val="false"/>
                <w:bCs w:val="false"/>
              </w:rPr>
              <w:t xml:space="preserve">Azufre (S)</w:t>
            </w:r>
          </w:p>
        </w:tc>
        <w:tc>
          <w:tcPr>
            <w:shd w:fill="f2f6f3" w:val="clear"/>
          </w:tcPr>
          <w:p>
            <w:r>
              <w:rPr>
                <w:b w:val="false"/>
                <w:bCs w:val="false"/>
              </w:rPr>
              <w:t xml:space="preserve">0.17</w:t>
            </w:r>
          </w:p>
        </w:tc>
        <w:tc>
          <w:tcPr>
            <w:shd w:fill="f2f6f3" w:val="clear"/>
          </w:tcPr>
          <w:p>
            <w:r>
              <w:rPr>
                <w:b w:val="false"/>
                <w:bCs w:val="false"/>
              </w:rPr>
              <w:t xml:space="preserve">%</w:t>
            </w:r>
          </w:p>
        </w:tc>
        <w:tc>
          <w:tcPr>
            <w:shd w:fill="f2f6f3" w:val="clear"/>
          </w:tcPr>
          <w:p>
            <w:r>
              <w:rPr>
                <w:b w:val="false"/>
                <w:bCs w:val="false"/>
              </w:rPr>
              <w:t xml:space="preserve">0.2 – 0.3</w:t>
            </w:r>
          </w:p>
        </w:tc>
        <w:tc>
          <w:tcPr>
            <w:shd w:fill="f2f6f3" w:val="clear"/>
          </w:tcPr>
          <w:p>
            <w:r>
              <w:rPr>
                <w:b w:val="false"/>
                <w:bCs w:val="false"/>
                <w:color w:val="c2620a"/>
              </w:rPr>
              <w:t xml:space="preserve">bajo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Hierro (Fe)</w:t>
            </w:r>
          </w:p>
        </w:tc>
        <w:tc>
          <w:p>
            <w:r>
              <w:rPr>
                <w:b w:val="false"/>
                <w:bCs w:val="false"/>
              </w:rPr>
              <w:t xml:space="preserve">94.1</w:t>
            </w:r>
          </w:p>
        </w:tc>
        <w:tc>
          <w:p>
            <w:r>
              <w:rPr>
                <w:b w:val="false"/>
                <w:bCs w:val="false"/>
              </w:rPr>
              <w:t xml:space="preserve">mg/kg</w:t>
            </w:r>
          </w:p>
        </w:tc>
        <w:tc>
          <w:p>
            <w:r>
              <w:rPr>
                <w:b w:val="false"/>
                <w:bCs w:val="false"/>
              </w:rPr>
              <w:t xml:space="preserve">100 – 300</w:t>
            </w:r>
          </w:p>
        </w:tc>
        <w:tc>
          <w:p>
            <w:r>
              <w:rPr>
                <w:b w:val="false"/>
                <w:bCs w:val="false"/>
                <w:color w:val="c2620a"/>
              </w:rPr>
              <w:t xml:space="preserve">bajo</w:t>
            </w:r>
          </w:p>
        </w:tc>
      </w:tr>
      <w:tr>
        <w:tc>
          <w:tcPr>
            <w:shd w:fill="f2f6f3" w:val="clear"/>
          </w:tcPr>
          <w:p>
            <w:r>
              <w:rPr>
                <w:b w:val="false"/>
                <w:bCs w:val="false"/>
              </w:rPr>
              <w:t xml:space="preserve">Manganeso (Mn)</w:t>
            </w:r>
          </w:p>
        </w:tc>
        <w:tc>
          <w:tcPr>
            <w:shd w:fill="f2f6f3" w:val="clear"/>
          </w:tcPr>
          <w:p>
            <w:r>
              <w:rPr>
                <w:b w:val="false"/>
                <w:bCs w:val="false"/>
              </w:rPr>
              <w:t xml:space="preserve">358</w:t>
            </w:r>
          </w:p>
        </w:tc>
        <w:tc>
          <w:tcPr>
            <w:shd w:fill="f2f6f3" w:val="clear"/>
          </w:tcPr>
          <w:p>
            <w:r>
              <w:rPr>
                <w:b w:val="false"/>
                <w:bCs w:val="false"/>
              </w:rPr>
              <w:t xml:space="preserve">mg/kg</w:t>
            </w:r>
          </w:p>
        </w:tc>
        <w:tc>
          <w:tcPr>
            <w:shd w:fill="f2f6f3" w:val="clear"/>
          </w:tcPr>
          <w:p>
            <w:r>
              <w:rPr>
                <w:b w:val="false"/>
                <w:bCs w:val="false"/>
              </w:rPr>
              <w:t xml:space="preserve">50 – 200</w:t>
            </w:r>
          </w:p>
        </w:tc>
        <w:tc>
          <w:tcPr>
            <w:shd w:fill="f2f6f3" w:val="clear"/>
          </w:tcPr>
          <w:p>
            <w:r>
              <w:rPr>
                <w:b w:val="false"/>
                <w:bCs w:val="false"/>
                <w:color w:val="b91c1c"/>
              </w:rPr>
              <w:t xml:space="preserve">muy alto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Zinc (Zn)</w:t>
            </w:r>
          </w:p>
        </w:tc>
        <w:tc>
          <w:p>
            <w:r>
              <w:rPr>
                <w:b w:val="false"/>
                <w:bCs w:val="false"/>
              </w:rPr>
              <w:t xml:space="preserve">16</w:t>
            </w:r>
          </w:p>
        </w:tc>
        <w:tc>
          <w:p>
            <w:r>
              <w:rPr>
                <w:b w:val="false"/>
                <w:bCs w:val="false"/>
              </w:rPr>
              <w:t xml:space="preserve">mg/kg</w:t>
            </w:r>
          </w:p>
        </w:tc>
        <w:tc>
          <w:p>
            <w:r>
              <w:rPr>
                <w:b w:val="false"/>
                <w:bCs w:val="false"/>
              </w:rPr>
              <w:t xml:space="preserve">20 – 50</w:t>
            </w:r>
          </w:p>
        </w:tc>
        <w:tc>
          <w:p>
            <w:r>
              <w:rPr>
                <w:b w:val="false"/>
                <w:bCs w:val="false"/>
                <w:color w:val="c2620a"/>
              </w:rPr>
              <w:t xml:space="preserve">bajo</w:t>
            </w:r>
          </w:p>
        </w:tc>
      </w:tr>
      <w:tr>
        <w:tc>
          <w:tcPr>
            <w:shd w:fill="f2f6f3" w:val="clear"/>
          </w:tcPr>
          <w:p>
            <w:r>
              <w:rPr>
                <w:b w:val="false"/>
                <w:bCs w:val="false"/>
              </w:rPr>
              <w:t xml:space="preserve">Boro (B)</w:t>
            </w:r>
          </w:p>
        </w:tc>
        <w:tc>
          <w:tcPr>
            <w:shd w:fill="f2f6f3" w:val="clear"/>
          </w:tcPr>
          <w:p>
            <w:r>
              <w:rPr>
                <w:b w:val="false"/>
                <w:bCs w:val="false"/>
              </w:rPr>
              <w:t xml:space="preserve">21.4</w:t>
            </w:r>
          </w:p>
        </w:tc>
        <w:tc>
          <w:tcPr>
            <w:shd w:fill="f2f6f3" w:val="clear"/>
          </w:tcPr>
          <w:p>
            <w:r>
              <w:rPr>
                <w:b w:val="false"/>
                <w:bCs w:val="false"/>
              </w:rPr>
              <w:t xml:space="preserve">mg/kg</w:t>
            </w:r>
          </w:p>
        </w:tc>
        <w:tc>
          <w:tcPr>
            <w:shd w:fill="f2f6f3" w:val="clear"/>
          </w:tcPr>
          <w:p>
            <w:r>
              <w:rPr>
                <w:b w:val="false"/>
                <w:bCs w:val="false"/>
              </w:rPr>
              <w:t xml:space="preserve">15 – 50</w:t>
            </w:r>
          </w:p>
        </w:tc>
        <w:tc>
          <w:tcPr>
            <w:shd w:fill="f2f6f3" w:val="clear"/>
          </w:tcPr>
          <w:p>
            <w:r>
              <w:rPr>
                <w:b w:val="false"/>
                <w:bCs w:val="false"/>
                <w:color w:val="15803d"/>
              </w:rPr>
              <w:t xml:space="preserve">normal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Cloruros (Cl)</w:t>
            </w:r>
          </w:p>
        </w:tc>
        <w:tc>
          <w:p>
            <w:r>
              <w:rPr>
                <w:b w:val="false"/>
                <w:bCs w:val="false"/>
              </w:rPr>
              <w:t xml:space="preserve">9566</w:t>
            </w:r>
          </w:p>
        </w:tc>
        <w:tc>
          <w:p>
            <w:r>
              <w:rPr>
                <w:b w:val="false"/>
                <w:bCs w:val="false"/>
              </w:rPr>
              <w:t xml:space="preserve">mg/kg</w:t>
            </w:r>
          </w:p>
        </w:tc>
        <w:tc>
          <w:p>
            <w:r>
              <w:rPr>
                <w:b w:val="false"/>
                <w:bCs w:val="false"/>
              </w:rPr>
              <w:t xml:space="preserve">0 – 12000</w:t>
            </w:r>
          </w:p>
        </w:tc>
        <w:tc>
          <w:p>
            <w:r>
              <w:rPr>
                <w:b w:val="false"/>
                <w:bCs w:val="false"/>
                <w:color w:val="15803d"/>
              </w:rPr>
              <w:t xml:space="preserve">normal</w:t>
            </w:r>
          </w:p>
        </w:tc>
      </w:tr>
      <w:tr>
        <w:tc>
          <w:tcPr>
            <w:shd w:fill="f2f6f3" w:val="clear"/>
          </w:tcPr>
          <w:p>
            <w:r>
              <w:rPr>
                <w:b w:val="false"/>
                <w:bCs w:val="false"/>
              </w:rPr>
              <w:t xml:space="preserve">Sodio (Na)</w:t>
            </w:r>
          </w:p>
        </w:tc>
        <w:tc>
          <w:tcPr>
            <w:shd w:fill="f2f6f3" w:val="clear"/>
          </w:tcPr>
          <w:p>
            <w:r>
              <w:rPr>
                <w:b w:val="false"/>
                <w:bCs w:val="false"/>
              </w:rPr>
              <w:t xml:space="preserve">457</w:t>
            </w:r>
          </w:p>
        </w:tc>
        <w:tc>
          <w:tcPr>
            <w:shd w:fill="f2f6f3" w:val="clear"/>
          </w:tcPr>
          <w:p>
            <w:r>
              <w:rPr>
                <w:b w:val="false"/>
                <w:bCs w:val="false"/>
              </w:rPr>
              <w:t xml:space="preserve">mg/kg</w:t>
            </w:r>
          </w:p>
        </w:tc>
        <w:tc>
          <w:tcPr>
            <w:shd w:fill="f2f6f3" w:val="clear"/>
          </w:tcPr>
          <w:p>
            <w:r>
              <w:rPr>
                <w:b w:val="false"/>
                <w:bCs w:val="false"/>
              </w:rPr>
              <w:t xml:space="preserve">0 – 1000</w:t>
            </w:r>
          </w:p>
        </w:tc>
        <w:tc>
          <w:tcPr>
            <w:shd w:fill="f2f6f3" w:val="clear"/>
          </w:tcPr>
          <w:p>
            <w:r>
              <w:rPr>
                <w:b w:val="false"/>
                <w:bCs w:val="false"/>
                <w:color w:val="15803d"/>
              </w:rPr>
              <w:t xml:space="preserve">normal</w:t>
            </w:r>
          </w:p>
        </w:tc>
      </w:tr>
    </w:tbl>
    <w:p>
      <w:pPr>
        <w:pStyle w:val="Heading1"/>
      </w:pPr>
      <w:r>
        <w:rPr>
          <w:color w:val="1e4d36"/>
        </w:rPr>
        <w:t xml:space="preserve">5. Programa semanal de fertirrigación recomendado</w:t>
      </w:r>
    </w:p>
    <w:p>
      <w:r>
        <w:t xml:space="preserve">Origen del programa: [Técnico] · Fecha del programa: 03/08/2026.</w:t>
      </w:r>
    </w:p>
    <w:p>
      <w:r>
        <w:t xml:space="preserve">Programa semanal pre-parición (octubre 2025)</w:t>
      </w:r>
    </w:p>
    <w:p>
      <w:r>
        <w:t xml:space="preserve">Deficiencia foliar de calcio (0,88 %) inducida por antagonismo Na/Mg/K y agua alcalina (pH 8,6; alcalinidad 380 mg/L). Se prioriza calcio y azufre, se retira todo aporte de Mg, P y B, y se mantiene la acidificación del agua. Potasio en dosis de mantenimiento con sulfato para aportar S.</w:t>
      </w:r>
    </w:p>
    <w:p>
      <w:r>
        <w:t xml:space="preserve">CE estimada de la solución: 1.25 dS/m.</w:t>
      </w:r>
    </w:p>
    <w:p>
      <w:r>
        <w:t xml:space="preserve">Aporte semanal de N: 13.6 kg.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e4d36" w:val="clear"/>
          </w:tcPr>
          <w:p>
            <w:r>
              <w:rPr>
                <w:b/>
                <w:bCs/>
                <w:color w:val="ffffff"/>
              </w:rPr>
              <w:t xml:space="preserve">Fertilizante</w:t>
            </w:r>
          </w:p>
        </w:tc>
        <w:tc>
          <w:tcPr>
            <w:shd w:fill="1e4d36" w:val="clear"/>
          </w:tcPr>
          <w:p>
            <w:r>
              <w:rPr>
                <w:b/>
                <w:bCs/>
                <w:color w:val="ffffff"/>
              </w:rPr>
              <w:t xml:space="preserve">Dosis semanal</w:t>
            </w:r>
          </w:p>
        </w:tc>
        <w:tc>
          <w:tcPr>
            <w:shd w:fill="1e4d36" w:val="clear"/>
          </w:tcPr>
          <w:p>
            <w:r>
              <w:rPr>
                <w:b/>
                <w:bCs/>
                <w:color w:val="ffffff"/>
              </w:rPr>
              <w:t xml:space="preserve">Unidad</w:t>
            </w:r>
          </w:p>
        </w:tc>
        <w:tc>
          <w:tcPr>
            <w:shd w:fill="1e4d36" w:val="clear"/>
          </w:tcPr>
          <w:p>
            <w:r>
              <w:rPr>
                <w:b/>
                <w:bCs/>
                <w:color w:val="ffffff"/>
              </w:rPr>
              <w:t xml:space="preserve">Motivo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Ácido nítrico 54%</w:t>
            </w:r>
          </w:p>
        </w:tc>
        <w:tc>
          <w:p>
            <w:r>
              <w:rPr>
                <w:b w:val="false"/>
                <w:bCs w:val="false"/>
              </w:rPr>
              <w:t xml:space="preserve">20</w:t>
            </w:r>
          </w:p>
        </w:tc>
        <w:tc>
          <w:p>
            <w:r>
              <w:rPr>
                <w:b w:val="false"/>
                <w:bCs w:val="false"/>
              </w:rPr>
              <w:t xml:space="preserve">L</w:t>
            </w:r>
          </w:p>
        </w:tc>
        <w:tc>
          <w:p>
            <w:r>
              <w:rPr>
                <w:b w:val="false"/>
                <w:bCs w:val="false"/>
              </w:rPr>
              <w:t xml:space="preserve">Neutralizar la alcalinidad del agua (380 mg/L CaCO3) y mantener goteros limpios.</w:t>
            </w:r>
          </w:p>
        </w:tc>
      </w:tr>
      <w:tr>
        <w:tc>
          <w:tcPr>
            <w:shd w:fill="f2f6f3" w:val="clear"/>
          </w:tcPr>
          <w:p>
            <w:r>
              <w:rPr>
                <w:b w:val="false"/>
                <w:bCs w:val="false"/>
              </w:rPr>
              <w:t xml:space="preserve">Nitrato de calcio</w:t>
            </w:r>
          </w:p>
        </w:tc>
        <w:tc>
          <w:tcPr>
            <w:shd w:fill="f2f6f3" w:val="clear"/>
          </w:tcPr>
          <w:p>
            <w:r>
              <w:rPr>
                <w:b w:val="false"/>
                <w:bCs w:val="false"/>
              </w:rPr>
              <w:t xml:space="preserve">42.5</w:t>
            </w:r>
          </w:p>
        </w:tc>
        <w:tc>
          <w:tcPr>
            <w:shd w:fill="f2f6f3" w:val="clear"/>
          </w:tcPr>
          <w:p>
            <w:r>
              <w:rPr>
                <w:b w:val="false"/>
                <w:bCs w:val="false"/>
              </w:rPr>
              <w:t xml:space="preserve">kg</w:t>
            </w:r>
          </w:p>
        </w:tc>
        <w:tc>
          <w:tcPr>
            <w:shd w:fill="f2f6f3" w:val="clear"/>
          </w:tcPr>
          <w:p>
            <w:r>
              <w:rPr>
                <w:b w:val="false"/>
                <w:bCs w:val="false"/>
              </w:rPr>
              <w:t xml:space="preserve">Corregir la deficiencia foliar de Ca (0,88 % frente a 1,0-1,5 %).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Sulfato amónico</w:t>
            </w:r>
          </w:p>
        </w:tc>
        <w:tc>
          <w:p>
            <w:r>
              <w:rPr>
                <w:b w:val="false"/>
                <w:bCs w:val="false"/>
              </w:rPr>
              <w:t xml:space="preserve">30</w:t>
            </w:r>
          </w:p>
        </w:tc>
        <w:tc>
          <w:p>
            <w:r>
              <w:rPr>
                <w:b w:val="false"/>
                <w:bCs w:val="false"/>
              </w:rPr>
              <w:t xml:space="preserve">kg</w:t>
            </w:r>
          </w:p>
        </w:tc>
        <w:tc>
          <w:p>
            <w:r>
              <w:rPr>
                <w:b w:val="false"/>
                <w:bCs w:val="false"/>
              </w:rPr>
              <w:t xml:space="preserve">Aporte de S (foliar 0,17 % bajo) y N amoniacal acidificante.</w:t>
            </w:r>
          </w:p>
        </w:tc>
      </w:tr>
      <w:tr>
        <w:tc>
          <w:tcPr>
            <w:shd w:fill="f2f6f3" w:val="clear"/>
          </w:tcPr>
          <w:p>
            <w:r>
              <w:rPr>
                <w:b w:val="false"/>
                <w:bCs w:val="false"/>
              </w:rPr>
              <w:t xml:space="preserve">Sulfato potásico</w:t>
            </w:r>
          </w:p>
        </w:tc>
        <w:tc>
          <w:tcPr>
            <w:shd w:fill="f2f6f3" w:val="clear"/>
          </w:tcPr>
          <w:p>
            <w:r>
              <w:rPr>
                <w:b w:val="false"/>
                <w:bCs w:val="false"/>
              </w:rPr>
              <w:t xml:space="preserve">37.5</w:t>
            </w:r>
          </w:p>
        </w:tc>
        <w:tc>
          <w:tcPr>
            <w:shd w:fill="f2f6f3" w:val="clear"/>
          </w:tcPr>
          <w:p>
            <w:r>
              <w:rPr>
                <w:b w:val="false"/>
                <w:bCs w:val="false"/>
              </w:rPr>
              <w:t xml:space="preserve">kg</w:t>
            </w:r>
          </w:p>
        </w:tc>
        <w:tc>
          <w:tcPr>
            <w:shd w:fill="f2f6f3" w:val="clear"/>
          </w:tcPr>
          <w:p>
            <w:r>
              <w:rPr>
                <w:b w:val="false"/>
                <w:bCs w:val="false"/>
              </w:rPr>
              <w:t xml:space="preserve">Mantenimiento de K en pre-parición con aporte adicional de S.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Kitasal (corrector salino)</w:t>
            </w:r>
          </w:p>
        </w:tc>
        <w:tc>
          <w:p>
            <w:r>
              <w:rPr>
                <w:b w:val="false"/>
                <w:bCs w:val="false"/>
              </w:rPr>
              <w:t xml:space="preserve">20</w:t>
            </w:r>
          </w:p>
        </w:tc>
        <w:tc>
          <w:p>
            <w:r>
              <w:rPr>
                <w:b w:val="false"/>
                <w:bCs w:val="false"/>
              </w:rPr>
              <w:t xml:space="preserve">L</w:t>
            </w:r>
          </w:p>
        </w:tc>
        <w:tc>
          <w:p>
            <w:r>
              <w:rPr>
                <w:b w:val="false"/>
                <w:bCs w:val="false"/>
              </w:rPr>
              <w:t xml:space="preserve">Desplazar sodio (17 % de la CIC) con calcio complejado.</w:t>
            </w:r>
          </w:p>
        </w:tc>
      </w:tr>
    </w:tbl>
    <w:p>
      <w:pPr>
        <w:pStyle w:val="Heading1"/>
      </w:pPr>
      <w:r>
        <w:rPr>
          <w:color w:val="1e4d36"/>
        </w:rPr>
        <w:t xml:space="preserve">6. Advertencias y compatibilidades</w:t>
      </w:r>
    </w:p>
    <w:p>
      <w:r>
        <w:t xml:space="preserve">No mezclar el nitrato de calcio con sulfato amónico ni sulfato potásico en el mismo tanque: aplicar en tanques o días separados.</w:t>
      </w:r>
    </w:p>
    <w:p>
      <w:r>
        <w:t xml:space="preserve">Mantener la CE de la solución por debajo de 2,2 dS/m.</w:t>
      </w:r>
    </w:p>
    <w:p>
      <w:r>
        <w:t xml:space="preserve">Valorar aplicación de yeso agrícola en invierno para desplazar el sodio de cambio.</w:t>
      </w:r>
    </w:p>
    <w:p>
      <w:pPr>
        <w:pStyle w:val="Heading1"/>
      </w:pPr>
      <w:r>
        <w:rPr>
          <w:color w:val="1e4d36"/>
        </w:rPr>
        <w:t xml:space="preserve">7. Seguimiento</w:t>
      </w:r>
    </w:p>
    <w:p>
      <w:r>
        <w:t xml:space="preserve">Repetir analítica foliar cada 6 meses y de suelo/agua cada 12 meses, o antes si cambian las condiciones de riego.</w:t>
      </w:r>
    </w:p>
    <w:p>
      <w:r>
        <w:t xml:space="preserve">Este informe se ha generado con AgroNutri AI a partir de los datos registrados de la finca y debe ser validado por el técnico responsable.</w:t>
      </w:r>
    </w:p>
    <w:p>
      <w:r>
        <w:t xml:space="preserve">Elaborado por: María Delgado Hernández. Fecha: 3/8/2026.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center" w:pos="4513"/>
        <w:tab w:val="right" w:pos="9026"/>
      </w:tabs>
    </w:pPr>
    <w:r>
      <w:rPr>
        <w:color w:val="777777"/>
        <w:sz w:val="16"/>
        <w:szCs w:val="16"/>
      </w:rPr>
      <w:t xml:space="preserve">Bajo Cuadras</w:t>
    </w:r>
    <w:r>
      <w:rPr>
        <w:color w:val="777777"/>
        <w:sz w:val="16"/>
        <w:szCs w:val="16"/>
      </w:rPr>
      <w:t xml:space="preserve">	Página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77777"/>
        <w:sz w:val="16"/>
        <w:szCs w:val="16"/>
      </w:rPr>
      <w:t xml:space="preserve"> de </w:t>
    </w:r>
    <w:r>
      <w:rPr>
        <w:color w:val="777777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777777"/>
        <w:sz w:val="16"/>
        <w:szCs w:val="16"/>
      </w:rPr>
      <w:t xml:space="preserve">	AgroNutri AI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44d4b7bc68bb06b66aa238b3ac74772c76ee8785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2026-08-03T18:56:02.648Z</dcterms:created>
  <dcterms:modified xsi:type="dcterms:W3CDTF">2026-08-03T18:56:02.648Z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