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A7B" w:rsidRDefault="00923F56" w:rsidP="00923F56">
      <w:pPr>
        <w:shd w:val="clear" w:color="auto" w:fill="FFFFFF" w:themeFill="background1"/>
        <w:jc w:val="center"/>
      </w:pPr>
      <w:r>
        <w:rPr>
          <w:rFonts w:ascii="SapientSansBlackItalic" w:hAnsi="SapientSansBlackItalic" w:cs="Aharoni"/>
          <w:color w:val="FF0000"/>
          <w:sz w:val="32"/>
          <w:szCs w:val="32"/>
        </w:rPr>
        <w:t>TIB</w:t>
      </w:r>
      <w:r w:rsidRPr="00CB6646">
        <w:rPr>
          <w:rFonts w:ascii="SapientSansBlackItalic" w:hAnsi="SapientSansBlackItalic" w:cs="Aharoni"/>
          <w:color w:val="FF0000"/>
          <w:sz w:val="32"/>
          <w:szCs w:val="32"/>
        </w:rPr>
        <w:t xml:space="preserve">Unit </w:t>
      </w:r>
      <w:r w:rsidRPr="005A2B52">
        <w:rPr>
          <w:rFonts w:ascii="SapientSansBlackItalic" w:hAnsi="SapientSansBlackItalic" w:cs="Aharoni"/>
          <w:sz w:val="32"/>
          <w:szCs w:val="32"/>
        </w:rPr>
        <w:t>–</w:t>
      </w:r>
      <w:r>
        <w:rPr>
          <w:rFonts w:ascii="SapientSansBlackItalic" w:hAnsi="SapientSansBlackItalic" w:cs="Aharoni"/>
          <w:sz w:val="32"/>
          <w:szCs w:val="32"/>
        </w:rPr>
        <w:t xml:space="preserve"> </w:t>
      </w:r>
      <w:r>
        <w:rPr>
          <w:rFonts w:ascii="SapientSansBlackItalic" w:hAnsi="SapientSansBlackItalic" w:cs="Aharoni"/>
          <w:sz w:val="28"/>
          <w:szCs w:val="28"/>
        </w:rPr>
        <w:t>Features List</w:t>
      </w:r>
    </w:p>
    <w:p w:rsidR="00CB7902" w:rsidRDefault="00CB7902">
      <w:r>
        <w:t xml:space="preserve">TIBUnit is a framework for TIBCO </w:t>
      </w:r>
      <w:proofErr w:type="spellStart"/>
      <w:r>
        <w:t>ActiveMatrix</w:t>
      </w:r>
      <w:proofErr w:type="spellEnd"/>
      <w:r>
        <w:t xml:space="preserve"> BusinessWorks 5.x, which provides Automation of Unit Testing and </w:t>
      </w:r>
      <w:r w:rsidR="00AF0687">
        <w:t>Continuous</w:t>
      </w:r>
      <w:r>
        <w:t xml:space="preserve"> Integration capabilities.</w:t>
      </w:r>
      <w:r w:rsidR="009F4CA1">
        <w:t xml:space="preserve"> This framework is developed to provide following features-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747C0F" w:rsidTr="00747C0F">
        <w:tc>
          <w:tcPr>
            <w:tcW w:w="2358" w:type="dxa"/>
          </w:tcPr>
          <w:p w:rsidR="00747C0F" w:rsidRDefault="006A5B7F" w:rsidP="00747C0F">
            <w:r w:rsidRPr="006A5B7F">
              <w:t>Integration Testing</w:t>
            </w:r>
          </w:p>
        </w:tc>
        <w:tc>
          <w:tcPr>
            <w:tcW w:w="7218" w:type="dxa"/>
          </w:tcPr>
          <w:p w:rsidR="00747C0F" w:rsidRDefault="006A5B7F" w:rsidP="00515B4A">
            <w:r>
              <w:t xml:space="preserve">TIBUnit </w:t>
            </w:r>
            <w:r w:rsidR="00515B4A">
              <w:t xml:space="preserve">provides ability to </w:t>
            </w:r>
            <w:r>
              <w:t>write integration test cases that need to invoke services and components across various platforms.</w:t>
            </w:r>
          </w:p>
        </w:tc>
      </w:tr>
      <w:tr w:rsidR="00747C0F" w:rsidTr="00747C0F">
        <w:tc>
          <w:tcPr>
            <w:tcW w:w="2358" w:type="dxa"/>
          </w:tcPr>
          <w:p w:rsidR="00747C0F" w:rsidRDefault="00372A2F" w:rsidP="00747C0F">
            <w:r>
              <w:t>Unit Testing</w:t>
            </w:r>
          </w:p>
        </w:tc>
        <w:tc>
          <w:tcPr>
            <w:tcW w:w="7218" w:type="dxa"/>
          </w:tcPr>
          <w:p w:rsidR="00747C0F" w:rsidRDefault="00372A2F" w:rsidP="00515B4A">
            <w:r>
              <w:t xml:space="preserve">TIBUnit </w:t>
            </w:r>
            <w:r w:rsidR="00515B4A">
              <w:t>provides ability to write Unit Tests</w:t>
            </w:r>
            <w:r w:rsidR="00062982">
              <w:t xml:space="preserve"> having test assertions.</w:t>
            </w:r>
          </w:p>
        </w:tc>
      </w:tr>
      <w:tr w:rsidR="00747C0F" w:rsidTr="00747C0F">
        <w:tc>
          <w:tcPr>
            <w:tcW w:w="2358" w:type="dxa"/>
          </w:tcPr>
          <w:p w:rsidR="00747C0F" w:rsidRDefault="00062982" w:rsidP="00747C0F">
            <w:r>
              <w:t>Multi step tests</w:t>
            </w:r>
          </w:p>
        </w:tc>
        <w:tc>
          <w:tcPr>
            <w:tcW w:w="7218" w:type="dxa"/>
          </w:tcPr>
          <w:p w:rsidR="00747C0F" w:rsidRDefault="00062982" w:rsidP="00062982">
            <w:r>
              <w:t>Multiple assertions can be used in one test case.</w:t>
            </w:r>
          </w:p>
        </w:tc>
      </w:tr>
      <w:tr w:rsidR="00747C0F" w:rsidTr="00747C0F">
        <w:tc>
          <w:tcPr>
            <w:tcW w:w="2358" w:type="dxa"/>
          </w:tcPr>
          <w:p w:rsidR="00747C0F" w:rsidRDefault="00062982" w:rsidP="00747C0F">
            <w:r>
              <w:t>Assertion Support</w:t>
            </w:r>
          </w:p>
        </w:tc>
        <w:tc>
          <w:tcPr>
            <w:tcW w:w="7218" w:type="dxa"/>
          </w:tcPr>
          <w:p w:rsidR="00747C0F" w:rsidRDefault="00062982" w:rsidP="00747C0F">
            <w:r>
              <w:t>Assertions support is wide variety of functions and logical operation checks.</w:t>
            </w:r>
          </w:p>
        </w:tc>
      </w:tr>
      <w:tr w:rsidR="00747C0F" w:rsidTr="00747C0F">
        <w:tc>
          <w:tcPr>
            <w:tcW w:w="2358" w:type="dxa"/>
          </w:tcPr>
          <w:p w:rsidR="00747C0F" w:rsidRDefault="00A103AF" w:rsidP="00747C0F">
            <w:r>
              <w:t>BW Pallet support</w:t>
            </w:r>
          </w:p>
        </w:tc>
        <w:tc>
          <w:tcPr>
            <w:tcW w:w="7218" w:type="dxa"/>
          </w:tcPr>
          <w:p w:rsidR="00747C0F" w:rsidRDefault="00A103AF" w:rsidP="00747C0F">
            <w:r>
              <w:t>While writing TIBUnit test case, flexibility to use any feature or pallet supported by BW.</w:t>
            </w:r>
          </w:p>
        </w:tc>
      </w:tr>
      <w:tr w:rsidR="00747C0F" w:rsidTr="00747C0F">
        <w:tc>
          <w:tcPr>
            <w:tcW w:w="2358" w:type="dxa"/>
          </w:tcPr>
          <w:p w:rsidR="00747C0F" w:rsidRDefault="00150FE5" w:rsidP="00747C0F">
            <w:r>
              <w:t xml:space="preserve">CLI Execution </w:t>
            </w:r>
          </w:p>
        </w:tc>
        <w:tc>
          <w:tcPr>
            <w:tcW w:w="7218" w:type="dxa"/>
          </w:tcPr>
          <w:p w:rsidR="00747C0F" w:rsidRDefault="00150FE5" w:rsidP="00747C0F">
            <w:r>
              <w:t xml:space="preserve">Full test suite can be executed from Command Line and from within </w:t>
            </w:r>
            <w:r w:rsidR="00B60DF1">
              <w:t xml:space="preserve">TIBCO </w:t>
            </w:r>
            <w:r>
              <w:t>Designer.</w:t>
            </w:r>
          </w:p>
        </w:tc>
      </w:tr>
      <w:tr w:rsidR="00747C0F" w:rsidTr="00747C0F">
        <w:tc>
          <w:tcPr>
            <w:tcW w:w="2358" w:type="dxa"/>
          </w:tcPr>
          <w:p w:rsidR="00747C0F" w:rsidRDefault="00892870" w:rsidP="00747C0F">
            <w:r>
              <w:t>Integration with Build Servers</w:t>
            </w:r>
          </w:p>
        </w:tc>
        <w:tc>
          <w:tcPr>
            <w:tcW w:w="7218" w:type="dxa"/>
          </w:tcPr>
          <w:p w:rsidR="00747C0F" w:rsidRDefault="00892870" w:rsidP="00747C0F">
            <w:r>
              <w:t>Can be integrated with Build Servers like Jenkins and Hudson to trigger Test runs after code commit or after scheduled times.</w:t>
            </w:r>
          </w:p>
        </w:tc>
      </w:tr>
      <w:tr w:rsidR="00892870" w:rsidTr="00747C0F">
        <w:tc>
          <w:tcPr>
            <w:tcW w:w="2358" w:type="dxa"/>
          </w:tcPr>
          <w:p w:rsidR="00892870" w:rsidRDefault="00892870" w:rsidP="00747C0F">
            <w:r>
              <w:t>Test Result History</w:t>
            </w:r>
          </w:p>
        </w:tc>
        <w:tc>
          <w:tcPr>
            <w:tcW w:w="7218" w:type="dxa"/>
          </w:tcPr>
          <w:p w:rsidR="00892870" w:rsidRDefault="00892870" w:rsidP="00747C0F">
            <w:r>
              <w:t>History of Test Run results is maintained and cab be retrieved later.</w:t>
            </w:r>
          </w:p>
        </w:tc>
      </w:tr>
      <w:tr w:rsidR="00892870" w:rsidTr="00747C0F">
        <w:tc>
          <w:tcPr>
            <w:tcW w:w="2358" w:type="dxa"/>
          </w:tcPr>
          <w:p w:rsidR="00892870" w:rsidRDefault="00892870" w:rsidP="00747C0F">
            <w:r>
              <w:t>Test Run Result Accessibility</w:t>
            </w:r>
          </w:p>
        </w:tc>
        <w:tc>
          <w:tcPr>
            <w:tcW w:w="7218" w:type="dxa"/>
          </w:tcPr>
          <w:p w:rsidR="00892870" w:rsidRDefault="00892870" w:rsidP="00F61408">
            <w:r>
              <w:t xml:space="preserve">Test Run results can be accessed via a web URL, and via a file </w:t>
            </w:r>
            <w:r w:rsidR="00F61408">
              <w:t xml:space="preserve">sharing </w:t>
            </w:r>
            <w:r w:rsidR="00C7496F">
              <w:t>as XML.</w:t>
            </w:r>
          </w:p>
        </w:tc>
      </w:tr>
      <w:tr w:rsidR="00892870" w:rsidTr="00747C0F">
        <w:tc>
          <w:tcPr>
            <w:tcW w:w="2358" w:type="dxa"/>
          </w:tcPr>
          <w:p w:rsidR="00892870" w:rsidRDefault="00252151" w:rsidP="00747C0F">
            <w:r>
              <w:t>Test Input Data Parameterization</w:t>
            </w:r>
          </w:p>
        </w:tc>
        <w:tc>
          <w:tcPr>
            <w:tcW w:w="7218" w:type="dxa"/>
          </w:tcPr>
          <w:p w:rsidR="00892870" w:rsidRDefault="00A12F70" w:rsidP="00747C0F">
            <w:r>
              <w:t>Multiple Input Data set and Expected Outcomes can be defined for one TIBUnit Test case.</w:t>
            </w:r>
          </w:p>
        </w:tc>
      </w:tr>
      <w:tr w:rsidR="00A12F70" w:rsidTr="00747C0F">
        <w:tc>
          <w:tcPr>
            <w:tcW w:w="2358" w:type="dxa"/>
          </w:tcPr>
          <w:p w:rsidR="00A12F70" w:rsidRDefault="00FB0FEE" w:rsidP="00747C0F">
            <w:r>
              <w:t>Test Result details</w:t>
            </w:r>
          </w:p>
        </w:tc>
        <w:tc>
          <w:tcPr>
            <w:tcW w:w="7218" w:type="dxa"/>
          </w:tcPr>
          <w:p w:rsidR="00A12F70" w:rsidRDefault="00C7496F" w:rsidP="00747C0F">
            <w:r>
              <w:t>Test result details contain</w:t>
            </w:r>
            <w:r w:rsidR="00FB0FEE">
              <w:t xml:space="preserve"> pass/fail count, charts, detailed information at assertion level.</w:t>
            </w:r>
          </w:p>
        </w:tc>
      </w:tr>
      <w:tr w:rsidR="00FB0FEE" w:rsidTr="00747C0F">
        <w:tc>
          <w:tcPr>
            <w:tcW w:w="2358" w:type="dxa"/>
          </w:tcPr>
          <w:p w:rsidR="00FB0FEE" w:rsidRDefault="00DF4FAB" w:rsidP="00747C0F">
            <w:r>
              <w:t>Protocol Support</w:t>
            </w:r>
          </w:p>
        </w:tc>
        <w:tc>
          <w:tcPr>
            <w:tcW w:w="7218" w:type="dxa"/>
          </w:tcPr>
          <w:p w:rsidR="00FB0FEE" w:rsidRDefault="00DF4FAB" w:rsidP="005F4151">
            <w:r>
              <w:t>TIBUnit can use all protocol</w:t>
            </w:r>
            <w:r w:rsidR="005F4151">
              <w:t>s</w:t>
            </w:r>
            <w:r>
              <w:t xml:space="preserve"> supported by BW.</w:t>
            </w:r>
          </w:p>
        </w:tc>
      </w:tr>
      <w:tr w:rsidR="00B8649C" w:rsidTr="00747C0F">
        <w:tc>
          <w:tcPr>
            <w:tcW w:w="2358" w:type="dxa"/>
          </w:tcPr>
          <w:p w:rsidR="00B8649C" w:rsidRDefault="006F3982" w:rsidP="00747C0F">
            <w:r>
              <w:t>Test Driven Development</w:t>
            </w:r>
          </w:p>
        </w:tc>
        <w:tc>
          <w:tcPr>
            <w:tcW w:w="7218" w:type="dxa"/>
          </w:tcPr>
          <w:p w:rsidR="00B8649C" w:rsidRDefault="006F3982" w:rsidP="00DF4FAB">
            <w:r>
              <w:t>TIBUnit enables test driven development in projects.</w:t>
            </w:r>
          </w:p>
        </w:tc>
      </w:tr>
      <w:tr w:rsidR="006F45C9" w:rsidTr="00747C0F">
        <w:tc>
          <w:tcPr>
            <w:tcW w:w="2358" w:type="dxa"/>
          </w:tcPr>
          <w:p w:rsidR="006F45C9" w:rsidRDefault="006F45C9" w:rsidP="006F45C9">
            <w:r>
              <w:t>Reusable and distributable</w:t>
            </w:r>
          </w:p>
        </w:tc>
        <w:tc>
          <w:tcPr>
            <w:tcW w:w="7218" w:type="dxa"/>
          </w:tcPr>
          <w:p w:rsidR="006F45C9" w:rsidRDefault="006F45C9" w:rsidP="00DF4FAB">
            <w:r>
              <w:t>TIBUnit is distributed as BW library which can be shared and imported easily.</w:t>
            </w:r>
          </w:p>
          <w:p w:rsidR="006F45C9" w:rsidRDefault="006F45C9" w:rsidP="006F45C9">
            <w:r>
              <w:t>TIBUnit test cases can be further packaged in a library and distributed to teams.</w:t>
            </w:r>
          </w:p>
        </w:tc>
      </w:tr>
    </w:tbl>
    <w:p w:rsidR="00ED2A7B" w:rsidRDefault="00ED2A7B" w:rsidP="00747C0F"/>
    <w:p w:rsidR="000B45CE" w:rsidRDefault="000B45CE"/>
    <w:p w:rsidR="001B14CC" w:rsidRDefault="001B14CC"/>
    <w:p w:rsidR="001B14CC" w:rsidRDefault="001B14CC">
      <w:r>
        <w:t>Upcoming Enhancements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1B14CC" w:rsidTr="00D12C7D">
        <w:tc>
          <w:tcPr>
            <w:tcW w:w="2358" w:type="dxa"/>
          </w:tcPr>
          <w:p w:rsidR="001B14CC" w:rsidRDefault="001B14CC" w:rsidP="00D12C7D"/>
        </w:tc>
        <w:tc>
          <w:tcPr>
            <w:tcW w:w="7218" w:type="dxa"/>
          </w:tcPr>
          <w:p w:rsidR="001B14CC" w:rsidRDefault="001B14CC" w:rsidP="00D12C7D"/>
        </w:tc>
      </w:tr>
      <w:tr w:rsidR="001B14CC" w:rsidTr="00D12C7D">
        <w:tc>
          <w:tcPr>
            <w:tcW w:w="2358" w:type="dxa"/>
          </w:tcPr>
          <w:p w:rsidR="001B14CC" w:rsidRDefault="001B14CC" w:rsidP="00D12C7D">
            <w:r>
              <w:t>Test Setup and tear down.</w:t>
            </w:r>
          </w:p>
        </w:tc>
        <w:tc>
          <w:tcPr>
            <w:tcW w:w="7218" w:type="dxa"/>
          </w:tcPr>
          <w:p w:rsidR="001B14CC" w:rsidRDefault="001B14CC" w:rsidP="00D12C7D">
            <w:r>
              <w:t>For some initialization before test startup, and cleaning after test run end.</w:t>
            </w:r>
          </w:p>
        </w:tc>
      </w:tr>
      <w:tr w:rsidR="001B14CC" w:rsidTr="00D12C7D">
        <w:tc>
          <w:tcPr>
            <w:tcW w:w="2358" w:type="dxa"/>
          </w:tcPr>
          <w:p w:rsidR="001B14CC" w:rsidRDefault="006E2319" w:rsidP="00D12C7D">
            <w:r>
              <w:t>BW Coverage report</w:t>
            </w:r>
          </w:p>
        </w:tc>
        <w:tc>
          <w:tcPr>
            <w:tcW w:w="7218" w:type="dxa"/>
          </w:tcPr>
          <w:p w:rsidR="001B14CC" w:rsidRDefault="003822BA" w:rsidP="003822BA">
            <w:r>
              <w:t>This is available to show Process Level or Code File level code coverage report. It is under progress to show code coverage report at Activity Level in processes.</w:t>
            </w:r>
          </w:p>
        </w:tc>
      </w:tr>
      <w:tr w:rsidR="001B14CC" w:rsidTr="00D12C7D">
        <w:tc>
          <w:tcPr>
            <w:tcW w:w="2358" w:type="dxa"/>
          </w:tcPr>
          <w:p w:rsidR="001B14CC" w:rsidRDefault="001B14CC" w:rsidP="00D12C7D"/>
        </w:tc>
        <w:tc>
          <w:tcPr>
            <w:tcW w:w="7218" w:type="dxa"/>
          </w:tcPr>
          <w:p w:rsidR="001B14CC" w:rsidRDefault="001B14CC" w:rsidP="00D12C7D"/>
        </w:tc>
      </w:tr>
      <w:tr w:rsidR="001B14CC" w:rsidTr="00D12C7D">
        <w:tc>
          <w:tcPr>
            <w:tcW w:w="2358" w:type="dxa"/>
          </w:tcPr>
          <w:p w:rsidR="001B14CC" w:rsidRDefault="001B14CC" w:rsidP="00D12C7D"/>
        </w:tc>
        <w:tc>
          <w:tcPr>
            <w:tcW w:w="7218" w:type="dxa"/>
          </w:tcPr>
          <w:p w:rsidR="001B14CC" w:rsidRDefault="001B14CC" w:rsidP="00D12C7D"/>
        </w:tc>
      </w:tr>
      <w:tr w:rsidR="001B14CC" w:rsidTr="00D12C7D">
        <w:tc>
          <w:tcPr>
            <w:tcW w:w="2358" w:type="dxa"/>
          </w:tcPr>
          <w:p w:rsidR="001B14CC" w:rsidRDefault="001B14CC" w:rsidP="00D12C7D"/>
        </w:tc>
        <w:tc>
          <w:tcPr>
            <w:tcW w:w="7218" w:type="dxa"/>
          </w:tcPr>
          <w:p w:rsidR="001B14CC" w:rsidRDefault="001B14CC" w:rsidP="00D12C7D"/>
        </w:tc>
      </w:tr>
      <w:tr w:rsidR="001B14CC" w:rsidTr="00D12C7D">
        <w:tc>
          <w:tcPr>
            <w:tcW w:w="2358" w:type="dxa"/>
          </w:tcPr>
          <w:p w:rsidR="001B14CC" w:rsidRDefault="001B14CC" w:rsidP="00D12C7D"/>
        </w:tc>
        <w:tc>
          <w:tcPr>
            <w:tcW w:w="7218" w:type="dxa"/>
          </w:tcPr>
          <w:p w:rsidR="001B14CC" w:rsidRDefault="001B14CC" w:rsidP="00D12C7D"/>
        </w:tc>
      </w:tr>
      <w:tr w:rsidR="001B14CC" w:rsidTr="00D12C7D">
        <w:tc>
          <w:tcPr>
            <w:tcW w:w="2358" w:type="dxa"/>
          </w:tcPr>
          <w:p w:rsidR="001B14CC" w:rsidRDefault="001B14CC" w:rsidP="00D12C7D"/>
        </w:tc>
        <w:tc>
          <w:tcPr>
            <w:tcW w:w="7218" w:type="dxa"/>
          </w:tcPr>
          <w:p w:rsidR="001B14CC" w:rsidRDefault="001B14CC" w:rsidP="00D12C7D"/>
        </w:tc>
      </w:tr>
    </w:tbl>
    <w:p w:rsidR="001B14CC" w:rsidRDefault="001B14CC"/>
    <w:p w:rsidR="002615FA" w:rsidRDefault="002903C3">
      <w:r>
        <w:t>How a sample TibUnit looks</w:t>
      </w:r>
      <w:r w:rsidR="00A50705">
        <w:t xml:space="preserve"> like-</w:t>
      </w:r>
    </w:p>
    <w:p w:rsidR="002615FA" w:rsidRDefault="002615FA" w:rsidP="002615FA">
      <w:r>
        <w:rPr>
          <w:noProof/>
        </w:rPr>
        <w:drawing>
          <wp:inline distT="0" distB="0" distL="0" distR="0">
            <wp:extent cx="6257925" cy="4020541"/>
            <wp:effectExtent l="0" t="0" r="0" b="0"/>
            <wp:docPr id="2" name="Picture 2" descr="cid:image001.png@01D15463.87887E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5463.87887EA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979" cy="401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5FA" w:rsidRDefault="002615FA" w:rsidP="002615FA"/>
    <w:p w:rsidR="00C800CF" w:rsidRDefault="00C800CF" w:rsidP="002615FA"/>
    <w:p w:rsidR="00C800CF" w:rsidRDefault="00C800CF" w:rsidP="002615FA"/>
    <w:p w:rsidR="00C800CF" w:rsidRDefault="00C800CF" w:rsidP="002615FA"/>
    <w:p w:rsidR="00C800CF" w:rsidRDefault="00C800CF" w:rsidP="002615FA"/>
    <w:p w:rsidR="00C800CF" w:rsidRDefault="00C800CF" w:rsidP="007F549B">
      <w:pPr>
        <w:ind w:left="-810"/>
      </w:pPr>
    </w:p>
    <w:p w:rsidR="00C800CF" w:rsidRDefault="00C800CF" w:rsidP="007F549B">
      <w:pPr>
        <w:ind w:left="-810"/>
      </w:pPr>
    </w:p>
    <w:p w:rsidR="00C800CF" w:rsidRDefault="00C800CF" w:rsidP="007F549B">
      <w:pPr>
        <w:ind w:left="-810"/>
      </w:pPr>
    </w:p>
    <w:p w:rsidR="00C800CF" w:rsidRDefault="00C800CF" w:rsidP="007F549B">
      <w:pPr>
        <w:ind w:left="-810"/>
      </w:pPr>
    </w:p>
    <w:p w:rsidR="00C800CF" w:rsidRDefault="00C800CF" w:rsidP="007F549B">
      <w:pPr>
        <w:ind w:left="-810"/>
      </w:pPr>
    </w:p>
    <w:p w:rsidR="00C800CF" w:rsidRDefault="00C800CF" w:rsidP="007F549B">
      <w:pPr>
        <w:ind w:left="-810"/>
      </w:pPr>
    </w:p>
    <w:p w:rsidR="00C800CF" w:rsidRDefault="00C800CF" w:rsidP="007F549B">
      <w:pPr>
        <w:ind w:left="-810"/>
      </w:pPr>
    </w:p>
    <w:p w:rsidR="002615FA" w:rsidRDefault="007F549B" w:rsidP="007F549B">
      <w:pPr>
        <w:ind w:left="-810"/>
      </w:pPr>
      <w:r>
        <w:rPr>
          <w:noProof/>
        </w:rPr>
        <w:lastRenderedPageBreak/>
        <w:drawing>
          <wp:inline distT="0" distB="0" distL="0" distR="0" wp14:anchorId="7929C816" wp14:editId="1E4D7177">
            <wp:extent cx="7194464" cy="22098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7102" cy="22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FA" w:rsidRDefault="00B9175D" w:rsidP="00B9175D">
      <w:pPr>
        <w:ind w:left="-810"/>
      </w:pPr>
      <w:r>
        <w:rPr>
          <w:noProof/>
        </w:rPr>
        <w:drawing>
          <wp:inline distT="0" distB="0" distL="0" distR="0" wp14:anchorId="780B2C4C" wp14:editId="63B9BA60">
            <wp:extent cx="5943600" cy="2879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FA" w:rsidRDefault="00D46F62" w:rsidP="00D46F62">
      <w:pPr>
        <w:ind w:left="-720"/>
      </w:pPr>
      <w:r>
        <w:rPr>
          <w:noProof/>
        </w:rPr>
        <w:drawing>
          <wp:inline distT="0" distB="0" distL="0" distR="0" wp14:anchorId="346108FA" wp14:editId="2F44DE7E">
            <wp:extent cx="5762625" cy="2676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15FA" w:rsidRDefault="002615FA"/>
    <w:sectPr w:rsidR="002615FA" w:rsidSect="000B45CE">
      <w:headerReference w:type="default" r:id="rId13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B46" w:rsidRDefault="009F3B46" w:rsidP="00E14450">
      <w:pPr>
        <w:spacing w:after="0" w:line="240" w:lineRule="auto"/>
      </w:pPr>
      <w:r>
        <w:separator/>
      </w:r>
    </w:p>
  </w:endnote>
  <w:endnote w:type="continuationSeparator" w:id="0">
    <w:p w:rsidR="009F3B46" w:rsidRDefault="009F3B46" w:rsidP="00E14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pientSansBlackItalic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apientSansLight">
    <w:panose1 w:val="000004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B46" w:rsidRDefault="009F3B46" w:rsidP="00E14450">
      <w:pPr>
        <w:spacing w:after="0" w:line="240" w:lineRule="auto"/>
      </w:pPr>
      <w:r>
        <w:separator/>
      </w:r>
    </w:p>
  </w:footnote>
  <w:footnote w:type="continuationSeparator" w:id="0">
    <w:p w:rsidR="009F3B46" w:rsidRDefault="009F3B46" w:rsidP="00E14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450" w:rsidRPr="00E14450" w:rsidRDefault="00E14450" w:rsidP="00E14450">
    <w:pPr>
      <w:pStyle w:val="Header"/>
    </w:pPr>
    <w:r>
      <w:rPr>
        <w:noProof/>
      </w:rPr>
      <w:drawing>
        <wp:inline distT="0" distB="0" distL="0" distR="0" wp14:anchorId="0D58D6C6" wp14:editId="2434347C">
          <wp:extent cx="1323975" cy="342567"/>
          <wp:effectExtent l="0" t="0" r="0" b="63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i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8758" cy="3438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Pr="00CB6646">
      <w:rPr>
        <w:rFonts w:ascii="SapientSansLight" w:hAnsi="SapientSansLight"/>
        <w:b/>
        <w:sz w:val="28"/>
        <w:szCs w:val="28"/>
      </w:rPr>
      <w:ptab w:relativeTo="margin" w:alignment="right" w:leader="none"/>
    </w:r>
    <w:r>
      <w:rPr>
        <w:rFonts w:ascii="SapientSansLight" w:hAnsi="SapientSansLight" w:cs="Aharoni"/>
        <w:b/>
        <w:color w:val="FF0000"/>
        <w:sz w:val="28"/>
        <w:szCs w:val="28"/>
      </w:rPr>
      <w:t>TIB</w:t>
    </w:r>
    <w:r w:rsidRPr="00CB6646">
      <w:rPr>
        <w:rFonts w:ascii="SapientSansLight" w:hAnsi="SapientSansLight" w:cs="Aharoni"/>
        <w:b/>
        <w:color w:val="FF0000"/>
        <w:sz w:val="28"/>
        <w:szCs w:val="28"/>
      </w:rPr>
      <w:t xml:space="preserve">Unit </w:t>
    </w:r>
    <w:r>
      <w:rPr>
        <w:rFonts w:ascii="SapientSansLight" w:hAnsi="SapientSansLight" w:cs="Aharoni"/>
        <w:b/>
        <w:color w:val="000000" w:themeColor="text1"/>
        <w:sz w:val="28"/>
        <w:szCs w:val="28"/>
      </w:rPr>
      <w:t>Features 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46BDA"/>
    <w:multiLevelType w:val="hybridMultilevel"/>
    <w:tmpl w:val="B69E4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65B"/>
    <w:rsid w:val="00062982"/>
    <w:rsid w:val="000B45CE"/>
    <w:rsid w:val="00150FE5"/>
    <w:rsid w:val="001B14CC"/>
    <w:rsid w:val="001C45E1"/>
    <w:rsid w:val="00252151"/>
    <w:rsid w:val="0025358E"/>
    <w:rsid w:val="002615FA"/>
    <w:rsid w:val="002903C3"/>
    <w:rsid w:val="00372A2F"/>
    <w:rsid w:val="003822BA"/>
    <w:rsid w:val="00515B4A"/>
    <w:rsid w:val="005D4FB0"/>
    <w:rsid w:val="005F4151"/>
    <w:rsid w:val="0062365B"/>
    <w:rsid w:val="006A5B7F"/>
    <w:rsid w:val="006E2319"/>
    <w:rsid w:val="006F3982"/>
    <w:rsid w:val="006F45C9"/>
    <w:rsid w:val="00722D7A"/>
    <w:rsid w:val="00747C0F"/>
    <w:rsid w:val="007F549B"/>
    <w:rsid w:val="008310E6"/>
    <w:rsid w:val="00862EA0"/>
    <w:rsid w:val="00892870"/>
    <w:rsid w:val="008972F4"/>
    <w:rsid w:val="00923F56"/>
    <w:rsid w:val="009F3B46"/>
    <w:rsid w:val="009F4CA1"/>
    <w:rsid w:val="00A103AF"/>
    <w:rsid w:val="00A12F70"/>
    <w:rsid w:val="00A50705"/>
    <w:rsid w:val="00A86840"/>
    <w:rsid w:val="00AA47CF"/>
    <w:rsid w:val="00AF0687"/>
    <w:rsid w:val="00B60DF1"/>
    <w:rsid w:val="00B8649C"/>
    <w:rsid w:val="00B9175D"/>
    <w:rsid w:val="00C663B1"/>
    <w:rsid w:val="00C7496F"/>
    <w:rsid w:val="00C77084"/>
    <w:rsid w:val="00C800CF"/>
    <w:rsid w:val="00CB7902"/>
    <w:rsid w:val="00D46F62"/>
    <w:rsid w:val="00DF4FAB"/>
    <w:rsid w:val="00E14450"/>
    <w:rsid w:val="00ED2A7B"/>
    <w:rsid w:val="00EE37E4"/>
    <w:rsid w:val="00F211EF"/>
    <w:rsid w:val="00F60FFC"/>
    <w:rsid w:val="00F61408"/>
    <w:rsid w:val="00FB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5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45CE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2A7B"/>
    <w:pPr>
      <w:ind w:left="720"/>
      <w:contextualSpacing/>
    </w:pPr>
  </w:style>
  <w:style w:type="table" w:styleId="TableGrid">
    <w:name w:val="Table Grid"/>
    <w:basedOn w:val="TableNormal"/>
    <w:uiPriority w:val="39"/>
    <w:rsid w:val="00747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5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4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450"/>
  </w:style>
  <w:style w:type="paragraph" w:styleId="Footer">
    <w:name w:val="footer"/>
    <w:basedOn w:val="Normal"/>
    <w:link w:val="FooterChar"/>
    <w:uiPriority w:val="99"/>
    <w:unhideWhenUsed/>
    <w:rsid w:val="00E14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4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5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45CE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2A7B"/>
    <w:pPr>
      <w:ind w:left="720"/>
      <w:contextualSpacing/>
    </w:pPr>
  </w:style>
  <w:style w:type="table" w:styleId="TableGrid">
    <w:name w:val="Table Grid"/>
    <w:basedOn w:val="TableNormal"/>
    <w:uiPriority w:val="39"/>
    <w:rsid w:val="00747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5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4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450"/>
  </w:style>
  <w:style w:type="paragraph" w:styleId="Footer">
    <w:name w:val="footer"/>
    <w:basedOn w:val="Normal"/>
    <w:link w:val="FooterChar"/>
    <w:uiPriority w:val="99"/>
    <w:unhideWhenUsed/>
    <w:rsid w:val="00E14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1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image001.png@01D15463.87887EA0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Gupta</dc:creator>
  <cp:keywords/>
  <dc:description/>
  <cp:lastModifiedBy>Akhil Gupta</cp:lastModifiedBy>
  <cp:revision>51</cp:revision>
  <dcterms:created xsi:type="dcterms:W3CDTF">2016-01-21T09:31:00Z</dcterms:created>
  <dcterms:modified xsi:type="dcterms:W3CDTF">2016-03-10T11:18:00Z</dcterms:modified>
</cp:coreProperties>
</file>