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00FAC" w14:textId="77777777" w:rsidR="00AF6B94" w:rsidRDefault="00FB1194" w:rsidP="00037478">
      <w:pPr>
        <w:jc w:val="center"/>
      </w:pPr>
      <w:r>
        <w:t xml:space="preserve">Andrew </w:t>
      </w:r>
      <w:proofErr w:type="spellStart"/>
      <w:r>
        <w:t>Trlica</w:t>
      </w:r>
      <w:proofErr w:type="spellEnd"/>
    </w:p>
    <w:p w14:paraId="4146102D" w14:textId="77777777" w:rsidR="00FB1194" w:rsidRDefault="00FB1194" w:rsidP="00037478">
      <w:pPr>
        <w:jc w:val="center"/>
      </w:pPr>
      <w:r>
        <w:t>May 25, 2015</w:t>
      </w:r>
    </w:p>
    <w:p w14:paraId="37E76E42" w14:textId="77777777" w:rsidR="00FB1194" w:rsidRDefault="00FB1194" w:rsidP="00037478">
      <w:pPr>
        <w:jc w:val="center"/>
      </w:pPr>
    </w:p>
    <w:p w14:paraId="447DA0A2" w14:textId="77777777" w:rsidR="00037478" w:rsidRPr="00037478" w:rsidRDefault="00037478" w:rsidP="00037478">
      <w:pPr>
        <w:jc w:val="center"/>
        <w:rPr>
          <w:b/>
        </w:rPr>
      </w:pPr>
      <w:r>
        <w:rPr>
          <w:b/>
        </w:rPr>
        <w:t>DRAFT</w:t>
      </w:r>
    </w:p>
    <w:p w14:paraId="22884BB5" w14:textId="77777777" w:rsidR="00FB1194" w:rsidRDefault="00FB1194" w:rsidP="00037478">
      <w:pPr>
        <w:jc w:val="center"/>
        <w:rPr>
          <w:i/>
        </w:rPr>
      </w:pPr>
      <w:r w:rsidRPr="00FB1194">
        <w:rPr>
          <w:i/>
        </w:rPr>
        <w:t>Methodology for meta-analysis of impact of enhanced efficiency fertilizers on corn yield in Midwest</w:t>
      </w:r>
    </w:p>
    <w:p w14:paraId="61CD24F6" w14:textId="77777777" w:rsidR="00FB1194" w:rsidRDefault="00FB1194">
      <w:pPr>
        <w:rPr>
          <w:i/>
        </w:rPr>
      </w:pPr>
    </w:p>
    <w:p w14:paraId="160FD2C7" w14:textId="77777777" w:rsidR="00FB1194" w:rsidRDefault="00FB1194">
      <w:r>
        <w:t>[Assuming there will be material already written on the database construction]</w:t>
      </w:r>
    </w:p>
    <w:p w14:paraId="7815D4DC" w14:textId="77777777" w:rsidR="00FB1194" w:rsidRDefault="00FB1194"/>
    <w:p w14:paraId="6FE8D622" w14:textId="0A7820ED" w:rsidR="00D6760B" w:rsidRPr="004A02A9" w:rsidRDefault="00D6760B">
      <w:pPr>
        <w:rPr>
          <w:b/>
        </w:rPr>
      </w:pPr>
      <w:r w:rsidRPr="004A02A9">
        <w:rPr>
          <w:b/>
        </w:rPr>
        <w:t>Analysis and data</w:t>
      </w:r>
    </w:p>
    <w:p w14:paraId="526BBE80" w14:textId="5E79BE59" w:rsidR="00D6760B" w:rsidRDefault="00D6760B">
      <w:r>
        <w:t xml:space="preserve">Data on study results were taken from the database prepared during the systematic review portion of this study (Available in supplemental).  All analysis was performed using the R software application </w:t>
      </w:r>
      <w:r w:rsidRPr="00D6760B">
        <w:rPr>
          <w:highlight w:val="yellow"/>
        </w:rPr>
        <w:t>(ref)</w:t>
      </w:r>
      <w:r>
        <w:t xml:space="preserve">.  All </w:t>
      </w:r>
      <w:r w:rsidR="004A02A9">
        <w:t>R scripts</w:t>
      </w:r>
      <w:r>
        <w:t xml:space="preserve"> for data</w:t>
      </w:r>
      <w:r w:rsidR="004A02A9">
        <w:t xml:space="preserve"> preparation and calculations are</w:t>
      </w:r>
      <w:r w:rsidR="003D7F1C">
        <w:t xml:space="preserve"> provided in Supplemental information.</w:t>
      </w:r>
    </w:p>
    <w:p w14:paraId="63668AD4" w14:textId="77777777" w:rsidR="00D6760B" w:rsidRDefault="00D6760B"/>
    <w:p w14:paraId="78940171" w14:textId="77777777" w:rsidR="00FB1194" w:rsidRPr="00BC1A4B" w:rsidRDefault="00454FC3" w:rsidP="00FB1194">
      <w:pPr>
        <w:rPr>
          <w:b/>
        </w:rPr>
      </w:pPr>
      <w:r>
        <w:rPr>
          <w:b/>
        </w:rPr>
        <w:t>Calculation of effect sizes</w:t>
      </w:r>
    </w:p>
    <w:p w14:paraId="61084043" w14:textId="251461C4" w:rsidR="00BC1A4B" w:rsidRDefault="00BC1A4B" w:rsidP="00BC1A4B">
      <w:r>
        <w:t xml:space="preserve">The meta-analysis considered the effect </w:t>
      </w:r>
      <w:r w:rsidR="00037478">
        <w:t xml:space="preserve">on corn yield </w:t>
      </w:r>
      <w:r>
        <w:t xml:space="preserve">of fertilizer with efficiency enhancing products </w:t>
      </w:r>
      <w:r w:rsidR="003D7F1C">
        <w:t>(</w:t>
      </w:r>
      <w:r w:rsidR="00092962">
        <w:t xml:space="preserve">enhanced efficiency fertilizer, EEF) </w:t>
      </w:r>
      <w:r>
        <w:t xml:space="preserve">to the same fertilizer sources without the </w:t>
      </w:r>
      <w:r w:rsidR="00037478">
        <w:t xml:space="preserve">enhancement </w:t>
      </w:r>
      <w:r>
        <w:t>products</w:t>
      </w:r>
      <w:r w:rsidR="00037478">
        <w:t xml:space="preserve"> (standard fertilizer, SF)</w:t>
      </w:r>
      <w:r>
        <w:t>.  Because all yield measurements were made on the same scale and were of comparable magnitude, the mean difference between EEF and non-EEF treatments was used as an effect size</w:t>
      </w:r>
      <w:r w:rsidR="00454FC3">
        <w:t xml:space="preserve"> </w:t>
      </w:r>
      <w:r w:rsidR="00454FC3" w:rsidRPr="00454FC3">
        <w:rPr>
          <w:highlight w:val="yellow"/>
        </w:rPr>
        <w:t>(need ref for these two equations)</w:t>
      </w:r>
      <w:r>
        <w:t>:</w:t>
      </w:r>
    </w:p>
    <w:p w14:paraId="1496400E" w14:textId="77777777" w:rsidR="00BC1A4B" w:rsidRDefault="00BC1A4B" w:rsidP="00BC1A4B"/>
    <w:p w14:paraId="63241A46" w14:textId="77777777" w:rsidR="00BC1A4B" w:rsidRPr="00454FC3" w:rsidRDefault="00BC1A4B" w:rsidP="00BC1A4B">
      <w:pPr>
        <w:ind w:firstLine="1440"/>
        <w:rPr>
          <w:rFonts w:asciiTheme="majorHAnsi" w:hAnsiTheme="majorHAnsi"/>
          <w:b/>
          <w:vertAlign w:val="subscript"/>
        </w:rPr>
      </w:pPr>
      <w:r w:rsidRPr="00454FC3">
        <w:rPr>
          <w:rFonts w:asciiTheme="majorHAnsi" w:hAnsiTheme="majorHAnsi"/>
          <w:b/>
        </w:rPr>
        <w:t xml:space="preserve">D = </w:t>
      </w:r>
      <w:proofErr w:type="spellStart"/>
      <w:r w:rsidRPr="00454FC3">
        <w:rPr>
          <w:rFonts w:asciiTheme="majorHAnsi" w:hAnsiTheme="majorHAnsi"/>
          <w:b/>
        </w:rPr>
        <w:t>X.bar</w:t>
      </w:r>
      <w:r w:rsidRPr="00454FC3">
        <w:rPr>
          <w:rFonts w:asciiTheme="majorHAnsi" w:hAnsiTheme="majorHAnsi"/>
          <w:b/>
          <w:vertAlign w:val="subscript"/>
        </w:rPr>
        <w:t>EEF</w:t>
      </w:r>
      <w:proofErr w:type="spellEnd"/>
      <w:r w:rsidRPr="00454FC3">
        <w:rPr>
          <w:rFonts w:asciiTheme="majorHAnsi" w:hAnsiTheme="majorHAnsi"/>
          <w:b/>
          <w:vertAlign w:val="subscript"/>
        </w:rPr>
        <w:t>–</w:t>
      </w:r>
      <w:proofErr w:type="spellStart"/>
      <w:r w:rsidRPr="00454FC3">
        <w:rPr>
          <w:rFonts w:asciiTheme="majorHAnsi" w:hAnsiTheme="majorHAnsi"/>
          <w:b/>
        </w:rPr>
        <w:t>X.bar</w:t>
      </w:r>
      <w:r w:rsidR="00092962" w:rsidRPr="00454FC3">
        <w:rPr>
          <w:rFonts w:asciiTheme="majorHAnsi" w:hAnsiTheme="majorHAnsi"/>
          <w:b/>
          <w:vertAlign w:val="subscript"/>
        </w:rPr>
        <w:t>SF</w:t>
      </w:r>
      <w:proofErr w:type="spellEnd"/>
    </w:p>
    <w:p w14:paraId="7B10CA50" w14:textId="77777777" w:rsidR="00BC1A4B" w:rsidRDefault="00BC1A4B" w:rsidP="00FB1194"/>
    <w:p w14:paraId="4E2E6BED" w14:textId="77777777" w:rsidR="0097471C" w:rsidRDefault="0097471C" w:rsidP="00FB1194">
      <w:r>
        <w:t xml:space="preserve">The variance of </w:t>
      </w:r>
      <w:r w:rsidRPr="00154F9E">
        <w:rPr>
          <w:i/>
        </w:rPr>
        <w:t>D</w:t>
      </w:r>
      <w:r>
        <w:t xml:space="preserve"> was calculated n</w:t>
      </w:r>
      <w:r w:rsidR="00092962">
        <w:t>ot assuming similar variances for</w:t>
      </w:r>
      <w:r>
        <w:t xml:space="preserve"> each </w:t>
      </w:r>
      <w:r w:rsidR="00092962">
        <w:t>result mean</w:t>
      </w:r>
      <w:r>
        <w:t>:</w:t>
      </w:r>
    </w:p>
    <w:p w14:paraId="65EF4F84" w14:textId="77777777" w:rsidR="0097471C" w:rsidRDefault="0097471C" w:rsidP="00FB1194"/>
    <w:p w14:paraId="28CA74CA" w14:textId="64603AA8" w:rsidR="0097471C" w:rsidRPr="00454FC3" w:rsidRDefault="00F63C77" w:rsidP="00092962">
      <w:pPr>
        <w:ind w:firstLine="1440"/>
        <w:rPr>
          <w:rFonts w:asciiTheme="majorHAnsi" w:hAnsiTheme="majorHAnsi"/>
          <w:b/>
          <w:vertAlign w:val="subscript"/>
        </w:rPr>
      </w:pPr>
      <w:r>
        <w:rPr>
          <w:rFonts w:asciiTheme="majorHAnsi" w:hAnsiTheme="majorHAnsi"/>
          <w:b/>
        </w:rPr>
        <w:t>S</w:t>
      </w:r>
      <w:r w:rsidRPr="00F63C77">
        <w:rPr>
          <w:rFonts w:asciiTheme="majorHAnsi" w:hAnsiTheme="majorHAnsi"/>
          <w:b/>
          <w:vertAlign w:val="superscript"/>
        </w:rPr>
        <w:t>2</w:t>
      </w:r>
      <w:r w:rsidR="00092962" w:rsidRPr="00454FC3">
        <w:rPr>
          <w:rFonts w:asciiTheme="majorHAnsi" w:hAnsiTheme="majorHAnsi"/>
          <w:b/>
          <w:vertAlign w:val="subscript"/>
        </w:rPr>
        <w:t>D</w:t>
      </w:r>
      <w:r w:rsidR="00092962" w:rsidRPr="00454FC3">
        <w:rPr>
          <w:rFonts w:asciiTheme="majorHAnsi" w:hAnsiTheme="majorHAnsi"/>
          <w:b/>
        </w:rPr>
        <w:t xml:space="preserve"> = S</w:t>
      </w:r>
      <w:r w:rsidR="00092962" w:rsidRPr="00454FC3">
        <w:rPr>
          <w:rFonts w:asciiTheme="majorHAnsi" w:hAnsiTheme="majorHAnsi"/>
          <w:b/>
          <w:vertAlign w:val="superscript"/>
        </w:rPr>
        <w:t>2</w:t>
      </w:r>
      <w:r w:rsidR="00092962" w:rsidRPr="00454FC3">
        <w:rPr>
          <w:rFonts w:asciiTheme="majorHAnsi" w:hAnsiTheme="majorHAnsi"/>
          <w:b/>
          <w:vertAlign w:val="subscript"/>
        </w:rPr>
        <w:t>EEF</w:t>
      </w:r>
      <w:r w:rsidR="00092962" w:rsidRPr="00454FC3">
        <w:rPr>
          <w:rFonts w:asciiTheme="majorHAnsi" w:hAnsiTheme="majorHAnsi"/>
          <w:b/>
        </w:rPr>
        <w:t>/</w:t>
      </w:r>
      <w:proofErr w:type="spellStart"/>
      <w:r w:rsidR="00092962" w:rsidRPr="00454FC3">
        <w:rPr>
          <w:rFonts w:asciiTheme="majorHAnsi" w:hAnsiTheme="majorHAnsi"/>
          <w:b/>
        </w:rPr>
        <w:t>n</w:t>
      </w:r>
      <w:r w:rsidR="00092962" w:rsidRPr="00454FC3">
        <w:rPr>
          <w:rFonts w:asciiTheme="majorHAnsi" w:hAnsiTheme="majorHAnsi"/>
          <w:b/>
          <w:vertAlign w:val="subscript"/>
        </w:rPr>
        <w:t>EEF</w:t>
      </w:r>
      <w:proofErr w:type="spellEnd"/>
      <w:r w:rsidR="00092962" w:rsidRPr="00454FC3">
        <w:rPr>
          <w:rFonts w:asciiTheme="majorHAnsi" w:hAnsiTheme="majorHAnsi"/>
          <w:b/>
        </w:rPr>
        <w:t xml:space="preserve"> + S</w:t>
      </w:r>
      <w:r w:rsidR="00092962" w:rsidRPr="00454FC3">
        <w:rPr>
          <w:rFonts w:asciiTheme="majorHAnsi" w:hAnsiTheme="majorHAnsi"/>
          <w:b/>
          <w:vertAlign w:val="superscript"/>
        </w:rPr>
        <w:t>2</w:t>
      </w:r>
      <w:r w:rsidR="00092962" w:rsidRPr="00454FC3">
        <w:rPr>
          <w:rFonts w:asciiTheme="majorHAnsi" w:hAnsiTheme="majorHAnsi"/>
          <w:b/>
          <w:vertAlign w:val="subscript"/>
        </w:rPr>
        <w:t>SF</w:t>
      </w:r>
      <w:r w:rsidR="00092962" w:rsidRPr="00454FC3">
        <w:rPr>
          <w:rFonts w:asciiTheme="majorHAnsi" w:hAnsiTheme="majorHAnsi"/>
          <w:b/>
        </w:rPr>
        <w:t>/</w:t>
      </w:r>
      <w:proofErr w:type="spellStart"/>
      <w:r w:rsidR="00092962" w:rsidRPr="00454FC3">
        <w:rPr>
          <w:rFonts w:asciiTheme="majorHAnsi" w:hAnsiTheme="majorHAnsi"/>
          <w:b/>
        </w:rPr>
        <w:t>n</w:t>
      </w:r>
      <w:r w:rsidR="00092962" w:rsidRPr="00454FC3">
        <w:rPr>
          <w:rFonts w:asciiTheme="majorHAnsi" w:hAnsiTheme="majorHAnsi"/>
          <w:b/>
          <w:vertAlign w:val="subscript"/>
        </w:rPr>
        <w:t>SF</w:t>
      </w:r>
      <w:proofErr w:type="spellEnd"/>
    </w:p>
    <w:p w14:paraId="79EF2A31" w14:textId="77777777" w:rsidR="00092962" w:rsidRPr="00092962" w:rsidRDefault="00092962" w:rsidP="00FB1194">
      <w:pPr>
        <w:rPr>
          <w:rFonts w:asciiTheme="majorHAnsi" w:hAnsiTheme="majorHAnsi"/>
        </w:rPr>
      </w:pPr>
    </w:p>
    <w:p w14:paraId="67329E92" w14:textId="77777777" w:rsidR="00154F9E" w:rsidRDefault="00FB1194" w:rsidP="00FB1194">
      <w:r>
        <w:t>The database of studies</w:t>
      </w:r>
      <w:r w:rsidR="00BC1A4B">
        <w:t xml:space="preserve"> in this </w:t>
      </w:r>
      <w:r w:rsidR="00037478">
        <w:t>meta-</w:t>
      </w:r>
      <w:r w:rsidR="00BC1A4B">
        <w:t>analysis</w:t>
      </w:r>
      <w:r>
        <w:t xml:space="preserve"> recorded mean and dispersion of results at the level of the individual experimental units, and studies often </w:t>
      </w:r>
      <w:r w:rsidR="00BC1A4B">
        <w:t>reported</w:t>
      </w:r>
      <w:r>
        <w:t xml:space="preserve"> many results representing many combinations of several experimental parameters. </w:t>
      </w:r>
      <w:r w:rsidR="00BC1A4B">
        <w:t xml:space="preserve"> </w:t>
      </w:r>
      <w:r>
        <w:t xml:space="preserve">The </w:t>
      </w:r>
      <w:r w:rsidR="00BC1A4B">
        <w:t xml:space="preserve">effect size </w:t>
      </w:r>
      <w:r w:rsidR="00BC1A4B" w:rsidRPr="00154F9E">
        <w:rPr>
          <w:i/>
        </w:rPr>
        <w:t>D</w:t>
      </w:r>
      <w:r w:rsidR="00BC1A4B">
        <w:t xml:space="preserve"> </w:t>
      </w:r>
      <w:r>
        <w:t xml:space="preserve">was calculated using two different approaches: </w:t>
      </w:r>
    </w:p>
    <w:p w14:paraId="1BFA4226" w14:textId="77777777" w:rsidR="00154F9E" w:rsidRDefault="00154F9E" w:rsidP="00FB1194"/>
    <w:p w14:paraId="6AC86FFD" w14:textId="77777777" w:rsidR="00154F9E" w:rsidRDefault="00FB1194" w:rsidP="00154F9E">
      <w:pPr>
        <w:tabs>
          <w:tab w:val="left" w:pos="8640"/>
        </w:tabs>
        <w:ind w:left="360" w:right="360"/>
      </w:pPr>
      <w:r>
        <w:t xml:space="preserve">(1) </w:t>
      </w:r>
      <w:r w:rsidR="00154F9E">
        <w:t>M</w:t>
      </w:r>
      <w:r w:rsidR="00037478">
        <w:t>atching yield results within each study between experiments using</w:t>
      </w:r>
      <w:r>
        <w:t xml:space="preserve"> EEF </w:t>
      </w:r>
      <w:r w:rsidR="00037478">
        <w:t xml:space="preserve">and </w:t>
      </w:r>
      <w:r>
        <w:t xml:space="preserve">identical experimental conditions </w:t>
      </w:r>
      <w:r w:rsidR="00454FC3">
        <w:t>using SF</w:t>
      </w:r>
      <w:r w:rsidR="00037478">
        <w:t xml:space="preserve"> </w:t>
      </w:r>
      <w:r w:rsidR="00BC1A4B">
        <w:t>(“matched” effect sizes)</w:t>
      </w:r>
      <w:proofErr w:type="gramStart"/>
      <w:r>
        <w:t>;</w:t>
      </w:r>
      <w:proofErr w:type="gramEnd"/>
      <w:r>
        <w:t xml:space="preserve"> </w:t>
      </w:r>
    </w:p>
    <w:p w14:paraId="267D21FE" w14:textId="460076B8" w:rsidR="00154F9E" w:rsidRDefault="00FB1194" w:rsidP="003C46C8">
      <w:pPr>
        <w:tabs>
          <w:tab w:val="left" w:pos="8640"/>
        </w:tabs>
        <w:ind w:left="360" w:right="360"/>
      </w:pPr>
      <w:r>
        <w:t xml:space="preserve">(2) </w:t>
      </w:r>
      <w:r w:rsidR="003C46C8">
        <w:t>Within each study, c</w:t>
      </w:r>
      <w:r w:rsidR="00037478">
        <w:t>alculating</w:t>
      </w:r>
      <w:r w:rsidR="00BC1A4B">
        <w:t xml:space="preserve"> composite mean</w:t>
      </w:r>
      <w:r w:rsidR="00037478">
        <w:t xml:space="preserve">s </w:t>
      </w:r>
      <w:r w:rsidR="00BC1A4B">
        <w:t>and variance</w:t>
      </w:r>
      <w:r w:rsidR="00037478">
        <w:t>s</w:t>
      </w:r>
      <w:r w:rsidR="00BC1A4B">
        <w:t xml:space="preserve"> </w:t>
      </w:r>
      <w:r w:rsidR="00154F9E">
        <w:t xml:space="preserve">across </w:t>
      </w:r>
      <w:r w:rsidR="003C46C8">
        <w:t xml:space="preserve">all experimental conditions </w:t>
      </w:r>
      <w:r w:rsidR="003D7F1C">
        <w:t>for each EEF versus the</w:t>
      </w:r>
      <w:r w:rsidR="00BC1A4B">
        <w:t xml:space="preserve"> </w:t>
      </w:r>
      <w:r w:rsidR="00165727">
        <w:t xml:space="preserve">corresponding </w:t>
      </w:r>
      <w:r w:rsidR="00454FC3">
        <w:t>SF source</w:t>
      </w:r>
      <w:r w:rsidR="00BC1A4B">
        <w:t xml:space="preserve"> alone (“composite” effect sizes).  </w:t>
      </w:r>
    </w:p>
    <w:p w14:paraId="298DC219" w14:textId="77777777" w:rsidR="00154F9E" w:rsidRDefault="00154F9E" w:rsidP="00FB1194"/>
    <w:p w14:paraId="3E5C1518" w14:textId="4DD48BE1" w:rsidR="00154F9E" w:rsidRDefault="00454FC3" w:rsidP="00FB1194">
      <w:r>
        <w:t xml:space="preserve">Under the matched approach </w:t>
      </w:r>
      <w:r w:rsidR="0072236A">
        <w:t xml:space="preserve">the </w:t>
      </w:r>
      <w:r>
        <w:t>means of EEF and SF results were matched across</w:t>
      </w:r>
      <w:r w:rsidR="00092962">
        <w:t xml:space="preserve"> 16 experime</w:t>
      </w:r>
      <w:r>
        <w:t>ntal parameters: Total N rate, f</w:t>
      </w:r>
      <w:r w:rsidR="00092962">
        <w:t>all N</w:t>
      </w:r>
      <w:r>
        <w:t xml:space="preserve"> rate, s</w:t>
      </w:r>
      <w:r w:rsidR="00092962">
        <w:t>pring N</w:t>
      </w:r>
      <w:r>
        <w:t xml:space="preserve"> rate</w:t>
      </w:r>
      <w:r w:rsidR="00092962">
        <w:t xml:space="preserve">, N rate at planting/emergence, N rate </w:t>
      </w:r>
      <w:r>
        <w:t xml:space="preserve">for </w:t>
      </w:r>
      <w:r w:rsidR="00092962">
        <w:t xml:space="preserve">side-dress post-emergence, Second split N </w:t>
      </w:r>
      <w:r>
        <w:t xml:space="preserve">rate, third </w:t>
      </w:r>
      <w:r>
        <w:lastRenderedPageBreak/>
        <w:t>split N rate, a</w:t>
      </w:r>
      <w:r w:rsidR="00092962">
        <w:t>pplicat</w:t>
      </w:r>
      <w:r>
        <w:t>ion timing, split N applications, f</w:t>
      </w:r>
      <w:r w:rsidR="00092962">
        <w:t>all vs. spring application, N placement, N placement (second), planting date, county, rotation, and tillage.</w:t>
      </w:r>
      <w:r>
        <w:t xml:space="preserve">  </w:t>
      </w:r>
    </w:p>
    <w:p w14:paraId="7E25A2FF" w14:textId="6E0724A8" w:rsidR="0097471C" w:rsidRDefault="00154F9E" w:rsidP="00FB1194">
      <w:r>
        <w:t>C</w:t>
      </w:r>
      <w:r w:rsidR="0097471C">
        <w:t>omposite means were weighted based on number observations in each mean, and composite variances were calculated as the pooled variance of the experimental results:</w:t>
      </w:r>
    </w:p>
    <w:p w14:paraId="23162CC8" w14:textId="77777777" w:rsidR="0072236A" w:rsidRDefault="0072236A" w:rsidP="00FB1194"/>
    <w:p w14:paraId="04EB103E" w14:textId="77777777" w:rsidR="0097471C" w:rsidRDefault="00092962" w:rsidP="0097471C">
      <w:pPr>
        <w:ind w:firstLine="1440"/>
        <w:rPr>
          <w:rFonts w:asciiTheme="majorHAnsi" w:eastAsia="ＭＳ ゴシック" w:hAnsiTheme="majorHAnsi"/>
          <w:color w:val="000000"/>
        </w:rPr>
      </w:pPr>
      <w:r w:rsidRPr="00154F9E">
        <w:rPr>
          <w:rFonts w:asciiTheme="majorHAnsi" w:hAnsiTheme="majorHAnsi"/>
          <w:b/>
        </w:rPr>
        <w:t>S</w:t>
      </w:r>
      <w:r w:rsidR="0097471C" w:rsidRPr="00154F9E">
        <w:rPr>
          <w:rFonts w:asciiTheme="majorHAnsi" w:hAnsiTheme="majorHAnsi"/>
          <w:b/>
          <w:vertAlign w:val="superscript"/>
        </w:rPr>
        <w:t>2</w:t>
      </w:r>
      <w:r w:rsidR="0097471C" w:rsidRPr="00154F9E">
        <w:rPr>
          <w:rFonts w:asciiTheme="majorHAnsi" w:hAnsiTheme="majorHAnsi"/>
          <w:b/>
          <w:vertAlign w:val="subscript"/>
        </w:rPr>
        <w:t>pooled</w:t>
      </w:r>
      <w:r w:rsidR="0097471C" w:rsidRPr="00154F9E">
        <w:rPr>
          <w:rFonts w:asciiTheme="majorHAnsi" w:hAnsiTheme="majorHAnsi"/>
          <w:b/>
        </w:rPr>
        <w:t xml:space="preserve"> = </w:t>
      </w:r>
      <w:proofErr w:type="gramStart"/>
      <w:r w:rsidR="0097471C" w:rsidRPr="00154F9E">
        <w:rPr>
          <w:rFonts w:asciiTheme="majorHAnsi" w:hAnsiTheme="majorHAnsi"/>
          <w:b/>
        </w:rPr>
        <w:t>Sum[</w:t>
      </w:r>
      <w:proofErr w:type="gramEnd"/>
      <w:r w:rsidR="0097471C" w:rsidRPr="00154F9E">
        <w:rPr>
          <w:rFonts w:asciiTheme="majorHAnsi" w:hAnsiTheme="majorHAnsi"/>
          <w:b/>
        </w:rPr>
        <w:t>(n</w:t>
      </w:r>
      <w:r w:rsidR="0097471C" w:rsidRPr="00154F9E">
        <w:rPr>
          <w:rFonts w:asciiTheme="majorHAnsi" w:hAnsiTheme="majorHAnsi"/>
          <w:b/>
          <w:vertAlign w:val="subscript"/>
        </w:rPr>
        <w:t>i</w:t>
      </w:r>
      <w:r w:rsidR="0097471C" w:rsidRPr="00154F9E">
        <w:rPr>
          <w:rFonts w:asciiTheme="majorHAnsi" w:hAnsiTheme="majorHAnsi"/>
          <w:b/>
        </w:rPr>
        <w:t xml:space="preserve">-1) </w:t>
      </w:r>
      <w:r w:rsidR="0097471C" w:rsidRPr="00154F9E">
        <w:rPr>
          <w:rFonts w:asciiTheme="majorHAnsi" w:eastAsia="ＭＳ ゴシック" w:hAnsiTheme="majorHAnsi"/>
          <w:b/>
          <w:color w:val="000000"/>
        </w:rPr>
        <w:t xml:space="preserve">× </w:t>
      </w:r>
      <w:r w:rsidRPr="00154F9E">
        <w:rPr>
          <w:rFonts w:asciiTheme="majorHAnsi" w:eastAsia="ＭＳ ゴシック" w:hAnsiTheme="majorHAnsi"/>
          <w:b/>
          <w:color w:val="000000"/>
        </w:rPr>
        <w:t>S</w:t>
      </w:r>
      <w:r w:rsidR="0097471C" w:rsidRPr="00154F9E">
        <w:rPr>
          <w:rFonts w:asciiTheme="majorHAnsi" w:eastAsia="ＭＳ ゴシック" w:hAnsiTheme="majorHAnsi"/>
          <w:b/>
          <w:color w:val="000000"/>
          <w:vertAlign w:val="superscript"/>
        </w:rPr>
        <w:t>2</w:t>
      </w:r>
      <w:r w:rsidR="0097471C" w:rsidRPr="00154F9E">
        <w:rPr>
          <w:rFonts w:asciiTheme="majorHAnsi" w:eastAsia="ＭＳ ゴシック" w:hAnsiTheme="majorHAnsi"/>
          <w:b/>
          <w:color w:val="000000"/>
          <w:vertAlign w:val="subscript"/>
        </w:rPr>
        <w:t>i</w:t>
      </w:r>
      <w:r w:rsidR="0097471C" w:rsidRPr="00154F9E">
        <w:rPr>
          <w:rFonts w:asciiTheme="majorHAnsi" w:eastAsia="ＭＳ ゴシック" w:hAnsiTheme="majorHAnsi"/>
          <w:b/>
          <w:color w:val="000000"/>
        </w:rPr>
        <w:t>] / Sum(n</w:t>
      </w:r>
      <w:r w:rsidR="0097471C" w:rsidRPr="00154F9E">
        <w:rPr>
          <w:rFonts w:asciiTheme="majorHAnsi" w:eastAsia="ＭＳ ゴシック" w:hAnsiTheme="majorHAnsi"/>
          <w:b/>
          <w:color w:val="000000"/>
          <w:vertAlign w:val="subscript"/>
        </w:rPr>
        <w:t>i</w:t>
      </w:r>
      <w:r w:rsidR="0097471C" w:rsidRPr="00154F9E">
        <w:rPr>
          <w:rFonts w:asciiTheme="majorHAnsi" w:eastAsia="ＭＳ ゴシック" w:hAnsiTheme="majorHAnsi"/>
          <w:b/>
          <w:color w:val="000000"/>
        </w:rPr>
        <w:t>-1</w:t>
      </w:r>
      <w:r w:rsidR="0097471C" w:rsidRPr="00154F9E">
        <w:rPr>
          <w:rFonts w:asciiTheme="majorHAnsi" w:eastAsia="ＭＳ ゴシック" w:hAnsiTheme="majorHAnsi"/>
          <w:b/>
          <w:color w:val="000000"/>
          <w:highlight w:val="yellow"/>
        </w:rPr>
        <w:t>)</w:t>
      </w:r>
      <w:r w:rsidR="00454FC3" w:rsidRPr="00454FC3">
        <w:rPr>
          <w:rFonts w:asciiTheme="majorHAnsi" w:eastAsia="ＭＳ ゴシック" w:hAnsiTheme="majorHAnsi"/>
          <w:color w:val="000000"/>
          <w:highlight w:val="yellow"/>
        </w:rPr>
        <w:t xml:space="preserve"> (necessary to include the standard pooled variance equation?)</w:t>
      </w:r>
    </w:p>
    <w:p w14:paraId="48DADAE3" w14:textId="77777777" w:rsidR="0097471C" w:rsidRDefault="0097471C" w:rsidP="0097471C">
      <w:pPr>
        <w:ind w:firstLine="1440"/>
        <w:rPr>
          <w:rFonts w:asciiTheme="majorHAnsi" w:eastAsia="ＭＳ ゴシック" w:hAnsiTheme="majorHAnsi"/>
          <w:color w:val="000000"/>
        </w:rPr>
      </w:pPr>
    </w:p>
    <w:p w14:paraId="0F0C116E" w14:textId="77777777" w:rsidR="00454FC3" w:rsidRDefault="00454FC3" w:rsidP="0097471C">
      <w:pPr>
        <w:rPr>
          <w:rFonts w:eastAsia="ＭＳ ゴシック"/>
          <w:color w:val="000000"/>
        </w:rPr>
      </w:pPr>
      <w:r>
        <w:rPr>
          <w:rFonts w:eastAsia="ＭＳ ゴシック"/>
          <w:color w:val="000000"/>
        </w:rPr>
        <w:t xml:space="preserve">Under the matching approach </w:t>
      </w:r>
      <w:r w:rsidR="00092962">
        <w:rPr>
          <w:rFonts w:eastAsia="ＭＳ ゴシック"/>
          <w:color w:val="000000"/>
        </w:rPr>
        <w:t xml:space="preserve">any </w:t>
      </w:r>
      <w:r>
        <w:rPr>
          <w:rFonts w:eastAsia="ＭＳ ゴシック"/>
          <w:color w:val="000000"/>
        </w:rPr>
        <w:t xml:space="preserve">EEF or SF </w:t>
      </w:r>
      <w:r w:rsidR="00092962">
        <w:rPr>
          <w:rFonts w:eastAsia="ＭＳ ゴシック"/>
          <w:color w:val="000000"/>
        </w:rPr>
        <w:t>results</w:t>
      </w:r>
      <w:r>
        <w:rPr>
          <w:rFonts w:eastAsia="ＭＳ ゴシック"/>
          <w:color w:val="000000"/>
        </w:rPr>
        <w:t xml:space="preserve"> reported under </w:t>
      </w:r>
      <w:r w:rsidR="00092962">
        <w:rPr>
          <w:rFonts w:eastAsia="ＭＳ ゴシック"/>
          <w:color w:val="000000"/>
        </w:rPr>
        <w:t xml:space="preserve">identical </w:t>
      </w:r>
      <w:r>
        <w:rPr>
          <w:rFonts w:eastAsia="ＭＳ ゴシック"/>
          <w:color w:val="000000"/>
        </w:rPr>
        <w:t xml:space="preserve">experimental conditions within </w:t>
      </w:r>
      <w:r w:rsidR="00092962">
        <w:rPr>
          <w:rFonts w:eastAsia="ＭＳ ゴシック"/>
          <w:color w:val="000000"/>
        </w:rPr>
        <w:t>each study were also</w:t>
      </w:r>
      <w:r>
        <w:rPr>
          <w:rFonts w:eastAsia="ＭＳ ゴシック"/>
          <w:color w:val="000000"/>
        </w:rPr>
        <w:t xml:space="preserve"> </w:t>
      </w:r>
      <w:r w:rsidR="003C46C8">
        <w:rPr>
          <w:rFonts w:eastAsia="ＭＳ ゴシック"/>
          <w:color w:val="000000"/>
        </w:rPr>
        <w:t>combined</w:t>
      </w:r>
      <w:r>
        <w:rPr>
          <w:rFonts w:eastAsia="ＭＳ ゴシック"/>
          <w:color w:val="000000"/>
        </w:rPr>
        <w:t xml:space="preserve"> using the same </w:t>
      </w:r>
      <w:r w:rsidR="003C46C8">
        <w:rPr>
          <w:rFonts w:eastAsia="ＭＳ ゴシック"/>
          <w:color w:val="000000"/>
        </w:rPr>
        <w:t xml:space="preserve">compositing </w:t>
      </w:r>
      <w:r>
        <w:rPr>
          <w:rFonts w:eastAsia="ＭＳ ゴシック"/>
          <w:color w:val="000000"/>
        </w:rPr>
        <w:t xml:space="preserve">approach as above.  </w:t>
      </w:r>
    </w:p>
    <w:p w14:paraId="5D057011" w14:textId="77777777" w:rsidR="00454FC3" w:rsidRDefault="00454FC3" w:rsidP="0097471C">
      <w:pPr>
        <w:rPr>
          <w:rFonts w:eastAsia="ＭＳ ゴシック"/>
          <w:color w:val="000000"/>
        </w:rPr>
      </w:pPr>
    </w:p>
    <w:p w14:paraId="34A9247A" w14:textId="77777777" w:rsidR="0097471C" w:rsidRDefault="00454FC3" w:rsidP="0097471C">
      <w:pPr>
        <w:rPr>
          <w:rFonts w:eastAsia="ＭＳ ゴシック"/>
          <w:color w:val="000000"/>
        </w:rPr>
      </w:pPr>
      <w:r>
        <w:rPr>
          <w:rFonts w:eastAsia="ＭＳ ゴシック"/>
          <w:color w:val="000000"/>
        </w:rPr>
        <w:t>A log response ratio was also calculated as an effect size</w:t>
      </w:r>
      <w:r w:rsidR="00154F9E">
        <w:rPr>
          <w:rFonts w:eastAsia="ＭＳ ゴシック"/>
          <w:color w:val="000000"/>
        </w:rPr>
        <w:t xml:space="preserve"> following the two means comparison methods described above (Supplemental).</w:t>
      </w:r>
    </w:p>
    <w:p w14:paraId="57E9302A" w14:textId="77777777" w:rsidR="00454FC3" w:rsidRDefault="00454FC3" w:rsidP="0097471C">
      <w:pPr>
        <w:rPr>
          <w:rFonts w:eastAsia="ＭＳ ゴシック"/>
          <w:color w:val="000000"/>
        </w:rPr>
      </w:pPr>
    </w:p>
    <w:p w14:paraId="27E99EEA" w14:textId="77777777" w:rsidR="00454FC3" w:rsidRDefault="00454FC3" w:rsidP="0097471C">
      <w:pPr>
        <w:rPr>
          <w:rFonts w:eastAsia="ＭＳ ゴシック"/>
          <w:color w:val="000000"/>
        </w:rPr>
      </w:pPr>
      <w:r w:rsidRPr="00454FC3">
        <w:rPr>
          <w:rFonts w:eastAsia="ＭＳ ゴシック"/>
          <w:i/>
          <w:color w:val="000000"/>
        </w:rPr>
        <w:t>Alternate log response ratio approach</w:t>
      </w:r>
      <w:r w:rsidR="00154F9E">
        <w:rPr>
          <w:rFonts w:eastAsia="ＭＳ ゴシック"/>
          <w:i/>
          <w:color w:val="000000"/>
        </w:rPr>
        <w:t xml:space="preserve"> (Supplemental)</w:t>
      </w:r>
      <w:r w:rsidRPr="00454FC3">
        <w:rPr>
          <w:rFonts w:eastAsia="ＭＳ ゴシック"/>
          <w:i/>
          <w:color w:val="000000"/>
        </w:rPr>
        <w:br/>
      </w:r>
      <w:r>
        <w:rPr>
          <w:rFonts w:eastAsia="ＭＳ ゴシック"/>
          <w:color w:val="000000"/>
        </w:rPr>
        <w:t>Given that the</w:t>
      </w:r>
      <w:r w:rsidR="00154F9E">
        <w:rPr>
          <w:rFonts w:eastAsia="ＭＳ ゴシック"/>
          <w:color w:val="000000"/>
        </w:rPr>
        <w:t xml:space="preserve"> scale of the effects of EEF might</w:t>
      </w:r>
      <w:r>
        <w:rPr>
          <w:rFonts w:eastAsia="ＭＳ ゴシック"/>
          <w:color w:val="000000"/>
        </w:rPr>
        <w:t xml:space="preserve"> have varied with overall yield levels, a parallel meta-analysis was conducted using the log response ratio (LRR) </w:t>
      </w:r>
      <w:r w:rsidR="00154F9E">
        <w:rPr>
          <w:rFonts w:eastAsia="ＭＳ ゴシック"/>
          <w:color w:val="000000"/>
        </w:rPr>
        <w:t xml:space="preserve">of yields </w:t>
      </w:r>
      <w:r>
        <w:rPr>
          <w:rFonts w:eastAsia="ＭＳ ゴシック"/>
          <w:color w:val="000000"/>
        </w:rPr>
        <w:t xml:space="preserve">as a metric of effect size.  The </w:t>
      </w:r>
      <w:r w:rsidR="00154F9E">
        <w:rPr>
          <w:rFonts w:eastAsia="ＭＳ ゴシック"/>
          <w:color w:val="000000"/>
        </w:rPr>
        <w:t>LRR was calculated as follows:</w:t>
      </w:r>
    </w:p>
    <w:p w14:paraId="488240D0" w14:textId="77777777" w:rsidR="00154F9E" w:rsidRDefault="00154F9E" w:rsidP="0097471C">
      <w:pPr>
        <w:rPr>
          <w:rFonts w:asciiTheme="majorHAnsi" w:hAnsiTheme="majorHAnsi"/>
          <w:b/>
        </w:rPr>
      </w:pPr>
    </w:p>
    <w:p w14:paraId="47FD422E" w14:textId="77777777" w:rsidR="00154F9E" w:rsidRPr="00454FC3" w:rsidRDefault="00154F9E" w:rsidP="00154F9E">
      <w:pPr>
        <w:ind w:firstLine="1440"/>
        <w:rPr>
          <w:rFonts w:eastAsia="ＭＳ ゴシック"/>
          <w:color w:val="000000"/>
        </w:rPr>
      </w:pPr>
      <w:r w:rsidRPr="00154F9E">
        <w:rPr>
          <w:rFonts w:asciiTheme="majorHAnsi" w:hAnsiTheme="majorHAnsi"/>
          <w:b/>
        </w:rPr>
        <w:t xml:space="preserve">LRR = </w:t>
      </w:r>
      <w:proofErr w:type="gramStart"/>
      <w:r w:rsidRPr="00154F9E">
        <w:rPr>
          <w:rFonts w:asciiTheme="majorHAnsi" w:hAnsiTheme="majorHAnsi"/>
          <w:b/>
        </w:rPr>
        <w:t>Log(</w:t>
      </w:r>
      <w:proofErr w:type="spellStart"/>
      <w:proofErr w:type="gramEnd"/>
      <w:r w:rsidRPr="00454FC3">
        <w:rPr>
          <w:rFonts w:asciiTheme="majorHAnsi" w:hAnsiTheme="majorHAnsi"/>
          <w:b/>
        </w:rPr>
        <w:t>X.bar</w:t>
      </w:r>
      <w:r w:rsidRPr="00454FC3">
        <w:rPr>
          <w:rFonts w:asciiTheme="majorHAnsi" w:hAnsiTheme="majorHAnsi"/>
          <w:b/>
          <w:vertAlign w:val="subscript"/>
        </w:rPr>
        <w:t>EEF</w:t>
      </w:r>
      <w:proofErr w:type="spellEnd"/>
      <w:r w:rsidRPr="00154F9E">
        <w:rPr>
          <w:rFonts w:asciiTheme="majorHAnsi" w:hAnsiTheme="majorHAnsi"/>
          <w:b/>
        </w:rPr>
        <w:t>/</w:t>
      </w:r>
      <w:proofErr w:type="spellStart"/>
      <w:r w:rsidRPr="00454FC3">
        <w:rPr>
          <w:rFonts w:asciiTheme="majorHAnsi" w:hAnsiTheme="majorHAnsi"/>
          <w:b/>
        </w:rPr>
        <w:t>X.bar</w:t>
      </w:r>
      <w:r w:rsidRPr="00454FC3">
        <w:rPr>
          <w:rFonts w:asciiTheme="majorHAnsi" w:hAnsiTheme="majorHAnsi"/>
          <w:b/>
          <w:vertAlign w:val="subscript"/>
        </w:rPr>
        <w:t>SF</w:t>
      </w:r>
      <w:proofErr w:type="spellEnd"/>
      <w:r w:rsidRPr="00154F9E">
        <w:rPr>
          <w:rFonts w:asciiTheme="majorHAnsi" w:hAnsiTheme="majorHAnsi"/>
          <w:b/>
        </w:rPr>
        <w:t>)</w:t>
      </w:r>
    </w:p>
    <w:p w14:paraId="59E0B7A6" w14:textId="77777777" w:rsidR="00454FC3" w:rsidRDefault="00454FC3" w:rsidP="0097471C">
      <w:pPr>
        <w:rPr>
          <w:rFonts w:eastAsia="ＭＳ ゴシック"/>
          <w:color w:val="000000"/>
        </w:rPr>
      </w:pPr>
    </w:p>
    <w:p w14:paraId="1CF24C73" w14:textId="77777777" w:rsidR="00154F9E" w:rsidRDefault="00154F9E" w:rsidP="0097471C">
      <w:pPr>
        <w:rPr>
          <w:rFonts w:eastAsia="ＭＳ ゴシック"/>
          <w:color w:val="000000"/>
        </w:rPr>
      </w:pPr>
      <w:r>
        <w:rPr>
          <w:rFonts w:eastAsia="ＭＳ ゴシック"/>
          <w:color w:val="000000"/>
        </w:rPr>
        <w:t xml:space="preserve">A positive LRR indicates greater </w:t>
      </w:r>
      <w:r w:rsidR="003C46C8">
        <w:rPr>
          <w:rFonts w:eastAsia="ＭＳ ゴシック"/>
          <w:color w:val="000000"/>
        </w:rPr>
        <w:t xml:space="preserve">proportional </w:t>
      </w:r>
      <w:r>
        <w:rPr>
          <w:rFonts w:eastAsia="ＭＳ ゴシック"/>
          <w:color w:val="000000"/>
        </w:rPr>
        <w:t>yield under EFF.  The variance of the LRR was calculated following Hedges et al. (1999):</w:t>
      </w:r>
    </w:p>
    <w:p w14:paraId="166B95E5" w14:textId="77777777" w:rsidR="00154F9E" w:rsidRDefault="00154F9E" w:rsidP="0097471C">
      <w:pPr>
        <w:rPr>
          <w:rFonts w:eastAsia="ＭＳ ゴシック"/>
          <w:color w:val="000000"/>
        </w:rPr>
      </w:pPr>
    </w:p>
    <w:p w14:paraId="38623BEC" w14:textId="4B416B68" w:rsidR="00154F9E" w:rsidRDefault="00F63C77" w:rsidP="00154F9E">
      <w:pPr>
        <w:ind w:firstLine="1440"/>
        <w:rPr>
          <w:rFonts w:eastAsia="ＭＳ ゴシック"/>
          <w:color w:val="000000"/>
        </w:rPr>
      </w:pPr>
      <w:r>
        <w:rPr>
          <w:rFonts w:asciiTheme="majorHAnsi" w:hAnsiTheme="majorHAnsi"/>
          <w:b/>
        </w:rPr>
        <w:t>S</w:t>
      </w:r>
      <w:r w:rsidRPr="00F63C77">
        <w:rPr>
          <w:rFonts w:asciiTheme="majorHAnsi" w:hAnsiTheme="majorHAnsi"/>
          <w:b/>
          <w:vertAlign w:val="superscript"/>
        </w:rPr>
        <w:t>2</w:t>
      </w:r>
      <w:r w:rsidR="00154F9E" w:rsidRPr="00154F9E">
        <w:rPr>
          <w:rFonts w:asciiTheme="majorHAnsi" w:hAnsiTheme="majorHAnsi"/>
          <w:b/>
          <w:vertAlign w:val="subscript"/>
        </w:rPr>
        <w:t>LRR</w:t>
      </w:r>
      <w:r w:rsidR="00154F9E">
        <w:rPr>
          <w:rFonts w:asciiTheme="majorHAnsi" w:hAnsiTheme="majorHAnsi"/>
          <w:b/>
        </w:rPr>
        <w:t xml:space="preserve"> = </w:t>
      </w:r>
      <w:r w:rsidR="00154F9E" w:rsidRPr="00454FC3">
        <w:rPr>
          <w:rFonts w:asciiTheme="majorHAnsi" w:hAnsiTheme="majorHAnsi"/>
          <w:b/>
        </w:rPr>
        <w:t>S</w:t>
      </w:r>
      <w:r w:rsidR="00154F9E" w:rsidRPr="00454FC3">
        <w:rPr>
          <w:rFonts w:asciiTheme="majorHAnsi" w:hAnsiTheme="majorHAnsi"/>
          <w:b/>
          <w:vertAlign w:val="superscript"/>
        </w:rPr>
        <w:t>2</w:t>
      </w:r>
      <w:r w:rsidR="00154F9E" w:rsidRPr="00454FC3">
        <w:rPr>
          <w:rFonts w:asciiTheme="majorHAnsi" w:hAnsiTheme="majorHAnsi"/>
          <w:b/>
          <w:vertAlign w:val="subscript"/>
        </w:rPr>
        <w:t>EEF</w:t>
      </w:r>
      <w:r w:rsidR="00154F9E" w:rsidRPr="00454FC3">
        <w:rPr>
          <w:rFonts w:asciiTheme="majorHAnsi" w:hAnsiTheme="majorHAnsi"/>
          <w:b/>
        </w:rPr>
        <w:t>/</w:t>
      </w:r>
      <w:r w:rsidR="00154F9E">
        <w:rPr>
          <w:rFonts w:asciiTheme="majorHAnsi" w:hAnsiTheme="majorHAnsi"/>
          <w:b/>
        </w:rPr>
        <w:t>(</w:t>
      </w:r>
      <w:proofErr w:type="spellStart"/>
      <w:r w:rsidR="00154F9E" w:rsidRPr="00454FC3">
        <w:rPr>
          <w:rFonts w:asciiTheme="majorHAnsi" w:hAnsiTheme="majorHAnsi"/>
          <w:b/>
        </w:rPr>
        <w:t>n</w:t>
      </w:r>
      <w:r w:rsidR="00154F9E" w:rsidRPr="00454FC3">
        <w:rPr>
          <w:rFonts w:asciiTheme="majorHAnsi" w:hAnsiTheme="majorHAnsi"/>
          <w:b/>
          <w:vertAlign w:val="subscript"/>
        </w:rPr>
        <w:t>EEF</w:t>
      </w:r>
      <w:proofErr w:type="spellEnd"/>
      <w:r w:rsidR="00154F9E">
        <w:rPr>
          <w:rFonts w:asciiTheme="majorHAnsi" w:hAnsiTheme="majorHAnsi"/>
          <w:b/>
          <w:vertAlign w:val="subscript"/>
        </w:rPr>
        <w:t xml:space="preserve"> </w:t>
      </w:r>
      <w:r w:rsidR="00154F9E" w:rsidRPr="00154F9E">
        <w:rPr>
          <w:rFonts w:asciiTheme="majorHAnsi" w:eastAsia="ＭＳ ゴシック" w:hAnsiTheme="majorHAnsi"/>
          <w:b/>
          <w:color w:val="000000"/>
        </w:rPr>
        <w:t>×</w:t>
      </w:r>
      <w:r w:rsidR="00154F9E">
        <w:rPr>
          <w:rFonts w:asciiTheme="majorHAnsi" w:hAnsiTheme="majorHAnsi"/>
          <w:b/>
          <w:vertAlign w:val="subscript"/>
        </w:rPr>
        <w:t xml:space="preserve"> </w:t>
      </w:r>
      <w:r w:rsidR="00154F9E" w:rsidRPr="00454FC3">
        <w:rPr>
          <w:rFonts w:asciiTheme="majorHAnsi" w:hAnsiTheme="majorHAnsi"/>
          <w:b/>
        </w:rPr>
        <w:t>X.bar</w:t>
      </w:r>
      <w:r w:rsidR="00154F9E" w:rsidRPr="00154F9E">
        <w:rPr>
          <w:rFonts w:asciiTheme="majorHAnsi" w:hAnsiTheme="majorHAnsi"/>
          <w:b/>
          <w:vertAlign w:val="superscript"/>
        </w:rPr>
        <w:t>2</w:t>
      </w:r>
      <w:r w:rsidR="00154F9E" w:rsidRPr="00454FC3">
        <w:rPr>
          <w:rFonts w:asciiTheme="majorHAnsi" w:hAnsiTheme="majorHAnsi"/>
          <w:b/>
          <w:vertAlign w:val="subscript"/>
        </w:rPr>
        <w:t>EEF</w:t>
      </w:r>
      <w:r w:rsidR="00154F9E" w:rsidRPr="00154F9E">
        <w:rPr>
          <w:rFonts w:asciiTheme="majorHAnsi" w:hAnsiTheme="majorHAnsi"/>
          <w:b/>
        </w:rPr>
        <w:t>)</w:t>
      </w:r>
      <w:r w:rsidR="00154F9E" w:rsidRPr="00454FC3">
        <w:rPr>
          <w:rFonts w:asciiTheme="majorHAnsi" w:hAnsiTheme="majorHAnsi"/>
          <w:b/>
        </w:rPr>
        <w:t xml:space="preserve"> + S</w:t>
      </w:r>
      <w:r w:rsidR="00154F9E" w:rsidRPr="00454FC3">
        <w:rPr>
          <w:rFonts w:asciiTheme="majorHAnsi" w:hAnsiTheme="majorHAnsi"/>
          <w:b/>
          <w:vertAlign w:val="superscript"/>
        </w:rPr>
        <w:t>2</w:t>
      </w:r>
      <w:r w:rsidR="00154F9E">
        <w:rPr>
          <w:rFonts w:asciiTheme="majorHAnsi" w:hAnsiTheme="majorHAnsi"/>
          <w:b/>
          <w:vertAlign w:val="subscript"/>
        </w:rPr>
        <w:t>S</w:t>
      </w:r>
      <w:r w:rsidR="00154F9E" w:rsidRPr="00454FC3">
        <w:rPr>
          <w:rFonts w:asciiTheme="majorHAnsi" w:hAnsiTheme="majorHAnsi"/>
          <w:b/>
          <w:vertAlign w:val="subscript"/>
        </w:rPr>
        <w:t>F</w:t>
      </w:r>
      <w:r w:rsidR="00154F9E" w:rsidRPr="00454FC3">
        <w:rPr>
          <w:rFonts w:asciiTheme="majorHAnsi" w:hAnsiTheme="majorHAnsi"/>
          <w:b/>
        </w:rPr>
        <w:t>/</w:t>
      </w:r>
      <w:r w:rsidR="00154F9E">
        <w:rPr>
          <w:rFonts w:asciiTheme="majorHAnsi" w:hAnsiTheme="majorHAnsi"/>
          <w:b/>
        </w:rPr>
        <w:t>(</w:t>
      </w:r>
      <w:proofErr w:type="spellStart"/>
      <w:r w:rsidR="00154F9E" w:rsidRPr="00454FC3">
        <w:rPr>
          <w:rFonts w:asciiTheme="majorHAnsi" w:hAnsiTheme="majorHAnsi"/>
          <w:b/>
        </w:rPr>
        <w:t>n</w:t>
      </w:r>
      <w:r w:rsidR="00154F9E">
        <w:rPr>
          <w:rFonts w:asciiTheme="majorHAnsi" w:hAnsiTheme="majorHAnsi"/>
          <w:b/>
          <w:vertAlign w:val="subscript"/>
        </w:rPr>
        <w:t>S</w:t>
      </w:r>
      <w:r w:rsidR="00154F9E" w:rsidRPr="00454FC3">
        <w:rPr>
          <w:rFonts w:asciiTheme="majorHAnsi" w:hAnsiTheme="majorHAnsi"/>
          <w:b/>
          <w:vertAlign w:val="subscript"/>
        </w:rPr>
        <w:t>F</w:t>
      </w:r>
      <w:proofErr w:type="spellEnd"/>
      <w:r w:rsidR="00154F9E">
        <w:rPr>
          <w:rFonts w:asciiTheme="majorHAnsi" w:hAnsiTheme="majorHAnsi"/>
          <w:b/>
          <w:vertAlign w:val="subscript"/>
        </w:rPr>
        <w:t xml:space="preserve"> </w:t>
      </w:r>
      <w:r w:rsidR="00154F9E" w:rsidRPr="00154F9E">
        <w:rPr>
          <w:rFonts w:asciiTheme="majorHAnsi" w:eastAsia="ＭＳ ゴシック" w:hAnsiTheme="majorHAnsi"/>
          <w:b/>
          <w:color w:val="000000"/>
        </w:rPr>
        <w:t>×</w:t>
      </w:r>
      <w:r w:rsidR="00154F9E">
        <w:rPr>
          <w:rFonts w:asciiTheme="majorHAnsi" w:hAnsiTheme="majorHAnsi"/>
          <w:b/>
          <w:vertAlign w:val="subscript"/>
        </w:rPr>
        <w:t xml:space="preserve"> </w:t>
      </w:r>
      <w:r w:rsidR="00154F9E" w:rsidRPr="00454FC3">
        <w:rPr>
          <w:rFonts w:asciiTheme="majorHAnsi" w:hAnsiTheme="majorHAnsi"/>
          <w:b/>
        </w:rPr>
        <w:t>X.bar</w:t>
      </w:r>
      <w:r w:rsidR="00154F9E" w:rsidRPr="00154F9E">
        <w:rPr>
          <w:rFonts w:asciiTheme="majorHAnsi" w:hAnsiTheme="majorHAnsi"/>
          <w:b/>
          <w:vertAlign w:val="superscript"/>
        </w:rPr>
        <w:t>2</w:t>
      </w:r>
      <w:r w:rsidR="00154F9E">
        <w:rPr>
          <w:rFonts w:asciiTheme="majorHAnsi" w:hAnsiTheme="majorHAnsi"/>
          <w:b/>
          <w:vertAlign w:val="subscript"/>
        </w:rPr>
        <w:t>S</w:t>
      </w:r>
      <w:r w:rsidR="00154F9E" w:rsidRPr="00454FC3">
        <w:rPr>
          <w:rFonts w:asciiTheme="majorHAnsi" w:hAnsiTheme="majorHAnsi"/>
          <w:b/>
          <w:vertAlign w:val="subscript"/>
        </w:rPr>
        <w:t>F</w:t>
      </w:r>
      <w:r w:rsidR="00154F9E" w:rsidRPr="00154F9E">
        <w:rPr>
          <w:rFonts w:asciiTheme="majorHAnsi" w:hAnsiTheme="majorHAnsi"/>
          <w:b/>
        </w:rPr>
        <w:t>)</w:t>
      </w:r>
    </w:p>
    <w:p w14:paraId="2BA19C62" w14:textId="77777777" w:rsidR="00154F9E" w:rsidRDefault="00154F9E" w:rsidP="0097471C">
      <w:pPr>
        <w:rPr>
          <w:rFonts w:eastAsia="ＭＳ ゴシック"/>
          <w:color w:val="000000"/>
        </w:rPr>
      </w:pPr>
    </w:p>
    <w:p w14:paraId="71F938A9" w14:textId="77777777" w:rsidR="00037478" w:rsidRPr="00037478" w:rsidRDefault="00037478" w:rsidP="0097471C">
      <w:pPr>
        <w:rPr>
          <w:rFonts w:eastAsia="ＭＳ ゴシック"/>
          <w:i/>
          <w:color w:val="000000"/>
        </w:rPr>
      </w:pPr>
      <w:r>
        <w:rPr>
          <w:rFonts w:eastAsia="ＭＳ ゴシック"/>
          <w:i/>
          <w:color w:val="000000"/>
        </w:rPr>
        <w:t xml:space="preserve">Yield with </w:t>
      </w:r>
      <w:r w:rsidRPr="00037478">
        <w:rPr>
          <w:rFonts w:eastAsia="ＭＳ ゴシック"/>
          <w:i/>
          <w:color w:val="000000"/>
        </w:rPr>
        <w:t>EEF under lower N conditions</w:t>
      </w:r>
    </w:p>
    <w:p w14:paraId="00FF9C2A" w14:textId="77777777" w:rsidR="00037478" w:rsidRDefault="00037478" w:rsidP="0097471C">
      <w:pPr>
        <w:rPr>
          <w:rFonts w:eastAsia="ＭＳ ゴシック"/>
          <w:color w:val="000000"/>
        </w:rPr>
      </w:pPr>
      <w:r>
        <w:rPr>
          <w:rFonts w:eastAsia="ＭＳ ゴシック"/>
          <w:color w:val="000000"/>
        </w:rPr>
        <w:t>To specifically analyze the effect of EEF on yield under low N conditions, a separate meta-analysis was conducted using the above approaches restricted to experiments with &lt; 150 lbs. N ac</w:t>
      </w:r>
      <w:r w:rsidRPr="00037478">
        <w:rPr>
          <w:rFonts w:eastAsia="ＭＳ ゴシック"/>
          <w:color w:val="000000"/>
          <w:vertAlign w:val="superscript"/>
        </w:rPr>
        <w:t>-1</w:t>
      </w:r>
      <w:r w:rsidRPr="00037478">
        <w:rPr>
          <w:rFonts w:eastAsia="ＭＳ ゴシック"/>
          <w:color w:val="000000"/>
        </w:rPr>
        <w:t>.</w:t>
      </w:r>
      <w:r>
        <w:rPr>
          <w:rFonts w:eastAsia="ＭＳ ゴシック"/>
          <w:color w:val="000000"/>
        </w:rPr>
        <w:t xml:space="preserve">  This cutoff represents the approximately lower 60% of experiments recorded in this study with calculable effect sizes.</w:t>
      </w:r>
    </w:p>
    <w:p w14:paraId="6916B8F8" w14:textId="77777777" w:rsidR="00037478" w:rsidRDefault="00037478" w:rsidP="0097471C">
      <w:pPr>
        <w:rPr>
          <w:rFonts w:eastAsia="ＭＳ ゴシック"/>
          <w:color w:val="000000"/>
        </w:rPr>
      </w:pPr>
    </w:p>
    <w:p w14:paraId="27C2E766" w14:textId="77777777" w:rsidR="003C46C8" w:rsidRPr="003C46C8" w:rsidRDefault="003C46C8" w:rsidP="0097471C">
      <w:pPr>
        <w:rPr>
          <w:rFonts w:eastAsia="ＭＳ ゴシック"/>
          <w:b/>
          <w:color w:val="000000"/>
        </w:rPr>
      </w:pPr>
      <w:r w:rsidRPr="003C46C8">
        <w:rPr>
          <w:rFonts w:eastAsia="ＭＳ ゴシック"/>
          <w:b/>
          <w:color w:val="000000"/>
        </w:rPr>
        <w:t>Meta-analysis approach</w:t>
      </w:r>
    </w:p>
    <w:p w14:paraId="7B34092C" w14:textId="7A45AEB8" w:rsidR="00F12FD8" w:rsidRDefault="00F12FD8" w:rsidP="0097471C">
      <w:pPr>
        <w:rPr>
          <w:rFonts w:eastAsia="ＭＳ ゴシック"/>
          <w:color w:val="000000"/>
        </w:rPr>
      </w:pPr>
      <w:r>
        <w:rPr>
          <w:rFonts w:eastAsia="ＭＳ ゴシック"/>
          <w:color w:val="000000"/>
        </w:rPr>
        <w:t>A</w:t>
      </w:r>
      <w:r w:rsidR="003C46C8">
        <w:rPr>
          <w:rFonts w:eastAsia="ＭＳ ゴシック"/>
          <w:color w:val="000000"/>
        </w:rPr>
        <w:t xml:space="preserve"> random-effects meta-analysis was performed within each fertilizer source/efficiency </w:t>
      </w:r>
      <w:r>
        <w:rPr>
          <w:rFonts w:eastAsia="ＭＳ ゴシック"/>
          <w:color w:val="000000"/>
        </w:rPr>
        <w:t xml:space="preserve">product combination </w:t>
      </w:r>
      <w:r w:rsidRPr="00F12FD8">
        <w:rPr>
          <w:rFonts w:eastAsia="ＭＳ ゴシック"/>
          <w:color w:val="000000"/>
          <w:highlight w:val="yellow"/>
        </w:rPr>
        <w:t>(ref)</w:t>
      </w:r>
      <w:r>
        <w:rPr>
          <w:rFonts w:eastAsia="ＭＳ ゴシック"/>
          <w:color w:val="000000"/>
        </w:rPr>
        <w:t>.  The variance of true effect sizes (T</w:t>
      </w:r>
      <w:r w:rsidRPr="00F12FD8">
        <w:rPr>
          <w:rFonts w:eastAsia="ＭＳ ゴシック"/>
          <w:color w:val="000000"/>
          <w:vertAlign w:val="superscript"/>
        </w:rPr>
        <w:t>2</w:t>
      </w:r>
      <w:r w:rsidRPr="00F12FD8">
        <w:rPr>
          <w:rFonts w:eastAsia="ＭＳ ゴシック"/>
          <w:color w:val="000000"/>
        </w:rPr>
        <w:t>)</w:t>
      </w:r>
      <w:r>
        <w:rPr>
          <w:rFonts w:eastAsia="ＭＳ ゴシック"/>
          <w:color w:val="000000"/>
        </w:rPr>
        <w:t xml:space="preserve"> was estimated using the technique of </w:t>
      </w:r>
      <w:proofErr w:type="spellStart"/>
      <w:r>
        <w:rPr>
          <w:rFonts w:eastAsia="ＭＳ ゴシック"/>
          <w:color w:val="000000"/>
        </w:rPr>
        <w:t>DerSimmonian</w:t>
      </w:r>
      <w:proofErr w:type="spellEnd"/>
      <w:r>
        <w:rPr>
          <w:rFonts w:eastAsia="ＭＳ ゴシック"/>
          <w:color w:val="000000"/>
        </w:rPr>
        <w:t xml:space="preserve"> and Laird (1986).  </w:t>
      </w:r>
      <w:r w:rsidR="00321451">
        <w:rPr>
          <w:rFonts w:eastAsia="ＭＳ ゴシック"/>
          <w:color w:val="000000"/>
        </w:rPr>
        <w:t>Weights of the effect size</w:t>
      </w:r>
      <w:r>
        <w:rPr>
          <w:rFonts w:eastAsia="ＭＳ ゴシック"/>
          <w:color w:val="000000"/>
        </w:rPr>
        <w:t xml:space="preserve"> were estimated as:</w:t>
      </w:r>
    </w:p>
    <w:p w14:paraId="1650C403" w14:textId="77777777" w:rsidR="00F12FD8" w:rsidRDefault="00F12FD8" w:rsidP="0097471C">
      <w:pPr>
        <w:rPr>
          <w:rFonts w:eastAsia="ＭＳ ゴシック"/>
          <w:color w:val="000000"/>
        </w:rPr>
      </w:pPr>
    </w:p>
    <w:p w14:paraId="337C77A4" w14:textId="060685A5" w:rsidR="00037478" w:rsidRPr="00F12FD8" w:rsidRDefault="00F12FD8" w:rsidP="00F12FD8">
      <w:pPr>
        <w:ind w:firstLine="1440"/>
        <w:rPr>
          <w:rFonts w:asciiTheme="majorHAnsi" w:eastAsia="ＭＳ ゴシック" w:hAnsiTheme="majorHAnsi"/>
          <w:b/>
          <w:color w:val="000000"/>
        </w:rPr>
      </w:pPr>
      <w:r w:rsidRPr="00F12FD8">
        <w:rPr>
          <w:rFonts w:asciiTheme="majorHAnsi" w:eastAsia="ＭＳ ゴシック" w:hAnsiTheme="majorHAnsi"/>
          <w:b/>
          <w:color w:val="000000"/>
        </w:rPr>
        <w:t xml:space="preserve"> 1/(</w:t>
      </w:r>
      <w:r w:rsidR="00F63C77">
        <w:rPr>
          <w:rFonts w:asciiTheme="majorHAnsi" w:eastAsia="ＭＳ ゴシック" w:hAnsiTheme="majorHAnsi"/>
          <w:b/>
          <w:color w:val="000000"/>
        </w:rPr>
        <w:t>S</w:t>
      </w:r>
      <w:bookmarkStart w:id="0" w:name="_GoBack"/>
      <w:bookmarkEnd w:id="0"/>
      <w:r w:rsidR="00F63C77" w:rsidRPr="00F63C77">
        <w:rPr>
          <w:rFonts w:asciiTheme="majorHAnsi" w:eastAsia="ＭＳ ゴシック" w:hAnsiTheme="majorHAnsi"/>
          <w:b/>
          <w:color w:val="000000"/>
          <w:vertAlign w:val="superscript"/>
        </w:rPr>
        <w:t>2</w:t>
      </w:r>
      <w:r w:rsidRPr="00F12FD8">
        <w:rPr>
          <w:rFonts w:asciiTheme="majorHAnsi" w:eastAsia="ＭＳ ゴシック" w:hAnsiTheme="majorHAnsi"/>
          <w:b/>
          <w:color w:val="000000"/>
          <w:vertAlign w:val="subscript"/>
        </w:rPr>
        <w:t>D</w:t>
      </w:r>
      <w:r>
        <w:rPr>
          <w:rFonts w:asciiTheme="majorHAnsi" w:eastAsia="ＭＳ ゴシック" w:hAnsiTheme="majorHAnsi"/>
          <w:b/>
          <w:color w:val="000000"/>
          <w:vertAlign w:val="subscript"/>
        </w:rPr>
        <w:t xml:space="preserve"> </w:t>
      </w:r>
      <w:r w:rsidRPr="00F12FD8">
        <w:rPr>
          <w:rFonts w:asciiTheme="majorHAnsi" w:eastAsia="ＭＳ ゴシック" w:hAnsiTheme="majorHAnsi"/>
          <w:b/>
          <w:color w:val="000000"/>
        </w:rPr>
        <w:t>+</w:t>
      </w:r>
      <w:r>
        <w:rPr>
          <w:rFonts w:asciiTheme="majorHAnsi" w:eastAsia="ＭＳ ゴシック" w:hAnsiTheme="majorHAnsi"/>
          <w:b/>
          <w:color w:val="000000"/>
        </w:rPr>
        <w:t xml:space="preserve"> </w:t>
      </w:r>
      <w:r w:rsidRPr="00F12FD8">
        <w:rPr>
          <w:rFonts w:asciiTheme="majorHAnsi" w:eastAsia="ＭＳ ゴシック" w:hAnsiTheme="majorHAnsi"/>
          <w:b/>
          <w:color w:val="000000"/>
        </w:rPr>
        <w:t>T</w:t>
      </w:r>
      <w:r w:rsidRPr="00F12FD8">
        <w:rPr>
          <w:rFonts w:asciiTheme="majorHAnsi" w:eastAsia="ＭＳ ゴシック" w:hAnsiTheme="majorHAnsi"/>
          <w:b/>
          <w:color w:val="000000"/>
          <w:vertAlign w:val="superscript"/>
        </w:rPr>
        <w:t>2</w:t>
      </w:r>
      <w:r w:rsidRPr="00F12FD8">
        <w:rPr>
          <w:rFonts w:asciiTheme="majorHAnsi" w:eastAsia="ＭＳ ゴシック" w:hAnsiTheme="majorHAnsi"/>
          <w:b/>
          <w:color w:val="000000"/>
        </w:rPr>
        <w:t>)</w:t>
      </w:r>
    </w:p>
    <w:p w14:paraId="49068C2B" w14:textId="77777777" w:rsidR="00154F9E" w:rsidRDefault="00154F9E" w:rsidP="0097471C">
      <w:pPr>
        <w:rPr>
          <w:rFonts w:eastAsia="ＭＳ ゴシック"/>
          <w:color w:val="000000"/>
        </w:rPr>
      </w:pPr>
    </w:p>
    <w:p w14:paraId="1B3C334D" w14:textId="6C8CC538" w:rsidR="00154F9E" w:rsidRDefault="00F12FD8" w:rsidP="0097471C">
      <w:pPr>
        <w:rPr>
          <w:rFonts w:eastAsia="ＭＳ ゴシック"/>
          <w:color w:val="000000"/>
        </w:rPr>
      </w:pPr>
      <w:r>
        <w:rPr>
          <w:rFonts w:eastAsia="ＭＳ ゴシック"/>
          <w:color w:val="000000"/>
        </w:rPr>
        <w:t>The 95% confidence</w:t>
      </w:r>
      <w:r w:rsidR="007075F4">
        <w:rPr>
          <w:rFonts w:eastAsia="ＭＳ ゴシック"/>
          <w:color w:val="000000"/>
        </w:rPr>
        <w:t xml:space="preserve"> interval of the summary effect</w:t>
      </w:r>
      <w:r>
        <w:rPr>
          <w:rFonts w:eastAsia="ＭＳ ゴシック"/>
          <w:color w:val="000000"/>
        </w:rPr>
        <w:t xml:space="preserve"> </w:t>
      </w:r>
      <w:r w:rsidR="007075F4">
        <w:rPr>
          <w:rFonts w:eastAsia="ＭＳ ゴシック"/>
          <w:color w:val="000000"/>
        </w:rPr>
        <w:t>of each EEF/SF category was</w:t>
      </w:r>
      <w:r>
        <w:rPr>
          <w:rFonts w:eastAsia="ＭＳ ゴシック"/>
          <w:color w:val="000000"/>
        </w:rPr>
        <w:t xml:space="preserve"> estimated using the Z distribution (ref).</w:t>
      </w:r>
    </w:p>
    <w:p w14:paraId="6F88D71A" w14:textId="77777777" w:rsidR="00F12FD8" w:rsidRDefault="00F12FD8" w:rsidP="0097471C">
      <w:pPr>
        <w:rPr>
          <w:rFonts w:eastAsia="ＭＳ ゴシック"/>
          <w:color w:val="000000"/>
        </w:rPr>
      </w:pPr>
    </w:p>
    <w:p w14:paraId="6FB1013F" w14:textId="77777777" w:rsidR="00154F9E" w:rsidRDefault="00154F9E" w:rsidP="0097471C">
      <w:pPr>
        <w:rPr>
          <w:rFonts w:eastAsia="ＭＳ ゴシック"/>
          <w:color w:val="000000"/>
        </w:rPr>
      </w:pPr>
    </w:p>
    <w:p w14:paraId="7489B104" w14:textId="77777777" w:rsidR="00154F9E" w:rsidRDefault="00154F9E" w:rsidP="0097471C">
      <w:pPr>
        <w:rPr>
          <w:rFonts w:eastAsia="ＭＳ ゴシック"/>
          <w:color w:val="000000"/>
        </w:rPr>
      </w:pPr>
    </w:p>
    <w:p w14:paraId="6158CC47" w14:textId="77777777" w:rsidR="00154F9E" w:rsidRDefault="00154F9E" w:rsidP="0097471C">
      <w:pPr>
        <w:rPr>
          <w:rFonts w:eastAsia="ＭＳ ゴシック"/>
          <w:color w:val="000000"/>
        </w:rPr>
      </w:pPr>
    </w:p>
    <w:p w14:paraId="26A1BA4D" w14:textId="77777777" w:rsidR="00154F9E" w:rsidRDefault="00154F9E" w:rsidP="0097471C">
      <w:pPr>
        <w:rPr>
          <w:rFonts w:eastAsia="ＭＳ ゴシック"/>
          <w:color w:val="000000"/>
        </w:rPr>
      </w:pPr>
      <w:proofErr w:type="gramStart"/>
      <w:r w:rsidRPr="00154F9E">
        <w:rPr>
          <w:rFonts w:eastAsia="ＭＳ ゴシック"/>
          <w:color w:val="000000"/>
        </w:rPr>
        <w:t xml:space="preserve">Hedges, L.V., </w:t>
      </w:r>
      <w:proofErr w:type="spellStart"/>
      <w:r w:rsidRPr="00154F9E">
        <w:rPr>
          <w:rFonts w:eastAsia="ＭＳ ゴシック"/>
          <w:color w:val="000000"/>
        </w:rPr>
        <w:t>Gurevich</w:t>
      </w:r>
      <w:proofErr w:type="spellEnd"/>
      <w:r w:rsidRPr="00154F9E">
        <w:rPr>
          <w:rFonts w:eastAsia="ＭＳ ゴシック"/>
          <w:color w:val="000000"/>
        </w:rPr>
        <w:t>, J. and P.S. Curtis.</w:t>
      </w:r>
      <w:proofErr w:type="gramEnd"/>
      <w:r w:rsidRPr="00154F9E">
        <w:rPr>
          <w:rFonts w:eastAsia="ＭＳ ゴシック"/>
          <w:color w:val="000000"/>
        </w:rPr>
        <w:t xml:space="preserve"> 1999. Ecology 80(4)</w:t>
      </w:r>
      <w:proofErr w:type="gramStart"/>
      <w:r w:rsidRPr="00154F9E">
        <w:rPr>
          <w:rFonts w:eastAsia="ＭＳ ゴシック"/>
          <w:color w:val="000000"/>
        </w:rPr>
        <w:t>:1150</w:t>
      </w:r>
      <w:proofErr w:type="gramEnd"/>
      <w:r w:rsidRPr="00154F9E">
        <w:rPr>
          <w:rFonts w:eastAsia="ＭＳ ゴシック"/>
          <w:color w:val="000000"/>
        </w:rPr>
        <w:t>-1156.</w:t>
      </w:r>
    </w:p>
    <w:p w14:paraId="2574F524" w14:textId="77777777" w:rsidR="00454FC3" w:rsidRDefault="00454FC3" w:rsidP="0097471C">
      <w:pPr>
        <w:rPr>
          <w:rFonts w:eastAsia="ＭＳ ゴシック"/>
          <w:color w:val="000000"/>
        </w:rPr>
      </w:pPr>
    </w:p>
    <w:p w14:paraId="12ED1F67" w14:textId="77777777" w:rsidR="00454FC3" w:rsidRPr="0097471C" w:rsidRDefault="00454FC3" w:rsidP="0097471C">
      <w:pPr>
        <w:rPr>
          <w:rFonts w:eastAsia="ＭＳ ゴシック"/>
          <w:color w:val="000000"/>
        </w:rPr>
      </w:pPr>
    </w:p>
    <w:p w14:paraId="2DDA642C" w14:textId="77777777" w:rsidR="0097471C" w:rsidRPr="0097471C" w:rsidRDefault="00F12FD8" w:rsidP="0097471C">
      <w:pPr>
        <w:rPr>
          <w:rFonts w:asciiTheme="majorHAnsi" w:hAnsiTheme="majorHAnsi"/>
        </w:rPr>
      </w:pPr>
      <w:proofErr w:type="spellStart"/>
      <w:proofErr w:type="gramStart"/>
      <w:r w:rsidRPr="00F12FD8">
        <w:rPr>
          <w:rFonts w:asciiTheme="majorHAnsi" w:hAnsiTheme="majorHAnsi"/>
        </w:rPr>
        <w:t>DerSimmonian</w:t>
      </w:r>
      <w:proofErr w:type="spellEnd"/>
      <w:r w:rsidRPr="00F12FD8">
        <w:rPr>
          <w:rFonts w:asciiTheme="majorHAnsi" w:hAnsiTheme="majorHAnsi"/>
        </w:rPr>
        <w:t>, R. &amp; N. Liard.</w:t>
      </w:r>
      <w:proofErr w:type="gramEnd"/>
      <w:r w:rsidRPr="00F12FD8">
        <w:rPr>
          <w:rFonts w:asciiTheme="majorHAnsi" w:hAnsiTheme="majorHAnsi"/>
        </w:rPr>
        <w:t xml:space="preserve"> 1986. Controlled Clinical Trials 7(3): 177-188.</w:t>
      </w:r>
    </w:p>
    <w:sectPr w:rsidR="0097471C" w:rsidRPr="0097471C" w:rsidSect="001B02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194"/>
    <w:rsid w:val="00037478"/>
    <w:rsid w:val="00092962"/>
    <w:rsid w:val="00154F9E"/>
    <w:rsid w:val="00165727"/>
    <w:rsid w:val="001B0238"/>
    <w:rsid w:val="00321451"/>
    <w:rsid w:val="003C46C8"/>
    <w:rsid w:val="003D7F1C"/>
    <w:rsid w:val="00454FC3"/>
    <w:rsid w:val="004A02A9"/>
    <w:rsid w:val="007075F4"/>
    <w:rsid w:val="0072236A"/>
    <w:rsid w:val="0097471C"/>
    <w:rsid w:val="00AF6B94"/>
    <w:rsid w:val="00BC1A4B"/>
    <w:rsid w:val="00D6760B"/>
    <w:rsid w:val="00F12FD8"/>
    <w:rsid w:val="00F63C77"/>
    <w:rsid w:val="00FB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101B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633</Words>
  <Characters>3613</Characters>
  <Application>Microsoft Macintosh Word</Application>
  <DocSecurity>0</DocSecurity>
  <Lines>30</Lines>
  <Paragraphs>8</Paragraphs>
  <ScaleCrop>false</ScaleCrop>
  <Company>Gorarry Molarry</Company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Bobarry Fofarry</dc:creator>
  <cp:keywords/>
  <dc:description/>
  <cp:lastModifiedBy>Bobarry Fofarry</cp:lastModifiedBy>
  <cp:revision>10</cp:revision>
  <dcterms:created xsi:type="dcterms:W3CDTF">2015-05-26T14:20:00Z</dcterms:created>
  <dcterms:modified xsi:type="dcterms:W3CDTF">2015-05-26T20:30:00Z</dcterms:modified>
</cp:coreProperties>
</file>