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Spatial Analyst, I defined and quantified the following state‐level KPIs to measure geographic performance: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ROI Score (Conversions ÷ CPA):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By calculating “conversions per dollar spent,” I created an ROI Score for each state (e.g., Colorado’s ROI ≈ 2.0, North Dakota ≈ 1.8). This single metric balanced acquisition volume and cost efficiency, highlighting top-performing and underperforming regions on our bubble chart.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Per Acquisition (CPA):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 aggregated gross spend and total conversions by state, then computed CPA = SUM(Gross Cost) / SUM(Conversions). States like Florida (CPA ≈ 136) and California (CPA ≈ 250) proved highly cost-efficient, whereas Michigan (CPA ≈ 2,234) and Massachusetts (CPA ≈ 1,800) signaled expensive markets.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Conversion Rate (CVR):</w:t>
      </w:r>
      <w:r w:rsidDel="00000000" w:rsidR="00000000" w:rsidRPr="00000000">
        <w:rPr>
          <w:rtl w:val="0"/>
        </w:rPr>
        <w:t xml:space="preserve"> I mapped CVR = SUM(Conversions) / SUM(Clicks) to identify where ads resonated strongest. For example, Texas achieved a 12% CVR in the Beauty vertical, while Ohio and North Carolina exceeded 10% overall, indicating high‐quality traffic clusters.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Impressions &amp; Conversion Volume: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By visualizing total impressions and total conversions per state, I pinpointed where reach was sufficient but conversion efficiency lagged. Virginia and Maryland topped impressions, whereas North Dakota and Montana delivered the highest beauty-campaign conversion volumes (≈ 60 conversions each).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Together, these KPIs formed the foundation of my spatial analysis, allowing the cross-functional team to pinpoint high-ROI geographies, optimize budget allocation, and tailor audience, creative, and inventory strategies to specific states.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