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Cross-Functional Meeting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Data-Driven Listening and Sharing our team came prepared with a geographic insights (maps, state-level KPIs, spatial trends) and ready to explain how they connect to audience, creative, and inventory decisions.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 openly when other analysts present their findings our team asked clarifying questions (“How do your top audience buckets align with the regions I’ve identified as high-ROI?”) so everyone sees how the data interlocks.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Respectful, Agenda-Focused Collaboration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discussions solution-oriented, so time is well used and all functions stay aligned.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rtl w:val="0"/>
        </w:rPr>
        <w:t xml:space="preserve">How do your individual ( project role related ) responsibilities trickle up into the larger picture?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work on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tate, and region-level performance metrics (CPA, CVR, conversions per dollar) that directly inform where Audience Analysts focus their segmentation and where Creative Analysts tailor messaging. 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flagging that “Colorado and Virginia are high-ROI zones” steers the audience team to double down on lookalikes in those states and nudges the creative team to test region-specific ad copy or imagery.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