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F9F" w:rsidRDefault="00250F1A" w:rsidP="00F57C30">
      <w:pPr>
        <w:spacing w:line="240" w:lineRule="atLeast"/>
        <w:contextualSpacing/>
        <w:rPr>
          <w:rStyle w:val="Heading1Char"/>
        </w:rPr>
      </w:pPr>
      <w:r>
        <w:rPr>
          <w:rStyle w:val="Heading1Char"/>
        </w:rPr>
        <w:t/>
      </w:r>
      <w:proofErr w:type="gramStart"/>
      <w:r w:rsidR="00530D75">
        <w:rPr>
          <w:rStyle w:val="Heading1Char"/>
        </w:rPr>
        <w:t/>
      </w:r>
      <w:r>
        <w:rPr>
          <w:rStyle w:val="Heading1Char"/>
        </w:rPr>
        <w:t/>
      </w:r>
      <w:r w:rsidR="0059122C" w:rsidRPr="005C61F2">
        <w:rPr>
          <w:rStyle w:val="Heading1Char"/>
        </w:rPr>
        <w:t xml:space="preserve">Interaction Server</w:t>
      </w:r>
      <w:proofErr w:type="gramEnd"/>
      <w:r w:rsidR="00530D75">
        <w:rPr>
          <w:rStyle w:val="Heading1Char"/>
        </w:rPr>
        <w:t/>
      </w:r>
      <w:r>
        <w:rPr>
          <w:rStyle w:val="Heading1Char"/>
        </w:rPr>
        <w:t/>
      </w:r>
      <w:r w:rsidR="0059122C" w:rsidRPr="005C61F2">
        <w:rPr>
          <w:rStyle w:val="Heading1Char"/>
        </w:rPr>
        <w:t/>
      </w:r>
    </w:p>
    <w:tbl>
      <w:tblPr>
        <w:tblW w:w="10505" w:type="dxa"/>
        <w:tblLayout w:type="fixed"/>
        <w:tblCellMar>
          <w:left w:w="0" w:type="dxa"/>
          <w:right w:w="0" w:type="dxa"/>
        </w:tblCellMar>
        <w:tblLook w:val="04A0" w:firstRow="1" w:lastRow="0" w:firstColumn="1" w:lastColumn="0" w:noHBand="0" w:noVBand="1"/>
      </w:tblPr>
      <w:tblGrid>
        <w:gridCol w:w="1657"/>
        <w:gridCol w:w="1745"/>
        <w:gridCol w:w="1716"/>
        <w:gridCol w:w="1843"/>
        <w:gridCol w:w="1559"/>
        <w:gridCol w:w="1985"/>
      </w:tblGrid>
      <w:tr w:rsidR="00F57C30" w:rsidTr="00160D98">
        <w:trPr>
          <w:trHeight w:val="680"/>
        </w:trPr>
        <w:tc>
          <w:tcPr>
            <w:tcW w:w="1657" w:type="dxa"/>
            <w:tcBorders>
              <w:top w:val="single" w:sz="8" w:space="0" w:color="auto"/>
              <w:left w:val="single" w:sz="8" w:space="0" w:color="auto"/>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lang w:val="ru-RU"/>
              </w:rPr>
            </w:pPr>
            <w:r>
              <w:rPr>
                <w:b/>
                <w:bCs/>
              </w:rPr>
              <w:t>Current deployed</w:t>
            </w:r>
            <w:r>
              <w:rPr>
                <w:b/>
                <w:bCs/>
              </w:rPr>
              <w:br/>
              <w:t xml:space="preserve"> version</w:t>
            </w:r>
          </w:p>
        </w:tc>
        <w:tc>
          <w:tcPr>
            <w:tcW w:w="174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Last Care recommendation</w:t>
            </w:r>
          </w:p>
        </w:tc>
        <w:tc>
          <w:tcPr>
            <w:tcW w:w="1716"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same code stream</w:t>
            </w:r>
          </w:p>
        </w:tc>
        <w:tc>
          <w:tcPr>
            <w:tcW w:w="1843"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latest, same code stream</w:t>
            </w:r>
          </w:p>
        </w:tc>
        <w:tc>
          <w:tcPr>
            <w:tcW w:w="1559"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Latest version, all code streams</w:t>
            </w:r>
          </w:p>
        </w:tc>
        <w:tc>
          <w:tcPr>
            <w:tcW w:w="1985" w:type="dxa"/>
            <w:tcBorders>
              <w:top w:val="single" w:sz="8" w:space="0" w:color="auto"/>
              <w:left w:val="nil"/>
              <w:bottom w:val="single" w:sz="4" w:space="0" w:color="auto"/>
              <w:right w:val="single" w:sz="8" w:space="0" w:color="auto"/>
            </w:tcBorders>
            <w:shd w:val="clear" w:color="000000" w:fill="FFFFFF"/>
            <w:tcMar>
              <w:top w:w="15" w:type="dxa"/>
              <w:left w:w="15" w:type="dxa"/>
              <w:bottom w:w="0" w:type="dxa"/>
              <w:right w:w="15" w:type="dxa"/>
            </w:tcMar>
            <w:vAlign w:val="center"/>
            <w:hideMark/>
          </w:tcPr>
          <w:p w:rsidR="00581F9F" w:rsidRDefault="00581F9F" w:rsidP="00F57C30">
            <w:pPr>
              <w:spacing w:line="240" w:lineRule="atLeast"/>
              <w:contextualSpacing/>
              <w:jc w:val="center"/>
              <w:rPr>
                <w:b/>
                <w:bCs/>
              </w:rPr>
            </w:pPr>
            <w:r>
              <w:rPr>
                <w:b/>
                <w:bCs/>
              </w:rPr>
              <w:t xml:space="preserve">Version "delta", deployed </w:t>
            </w:r>
            <w:r>
              <w:rPr>
                <w:rFonts w:ascii="Wingdings" w:hAnsi="Wingdings"/>
                <w:b/>
                <w:bCs/>
              </w:rPr>
              <w:t></w:t>
            </w:r>
            <w:r>
              <w:rPr>
                <w:b/>
                <w:bCs/>
              </w:rPr>
              <w:t xml:space="preserve"> </w:t>
            </w:r>
            <w:proofErr w:type="gramStart"/>
            <w:r>
              <w:rPr>
                <w:b/>
                <w:bCs/>
              </w:rPr>
              <w:t>latest,  all</w:t>
            </w:r>
            <w:proofErr w:type="gramEnd"/>
            <w:r>
              <w:rPr>
                <w:b/>
                <w:bCs/>
              </w:rPr>
              <w:t xml:space="preserve"> code streams</w:t>
            </w:r>
          </w:p>
        </w:tc>
      </w:tr>
      <w:tr w:rsidR="006A4389" w:rsidRPr="00051DCF" w:rsidTr="00160D98">
        <w:trPr>
          <w:trHeight w:val="1266"/>
        </w:trPr>
        <w:tc>
          <w:tcPr>
            <w:tcW w:w="1657"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581F9F">
              <w:rPr>
                <w:rFonts w:ascii="Arial" w:hAnsi="Arial"/>
                <w:bCs/>
                <w:sz w:val="20"/>
                <w:szCs w:val="20"/>
              </w:rPr>
              <w:t/>
            </w:r>
            <w:proofErr w:type="spellEnd"/>
            <w:r>
              <w:rPr>
                <w:rFonts w:ascii="Arial" w:hAnsi="Arial"/>
                <w:bCs/>
                <w:sz w:val="20"/>
                <w:szCs w:val="20"/>
              </w:rPr>
              <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8.5.103.22</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08/04/15</w:t>
            </w:r>
          </w:p>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xml:space="preserve">General</w:t>
            </w:r>
            <w:proofErr w:type="spellStart"/>
            <w:r>
              <w:rPr>
                <w:rFonts w:ascii="Arial" w:hAnsi="Arial"/>
                <w:bCs/>
                <w:sz w:val="20"/>
                <w:szCs w:val="20"/>
              </w:rPr>
              <w:t/>
            </w:r>
            <w:proofErr w:type="spellEnd"/>
            <w:r>
              <w:rPr>
                <w:rFonts w:ascii="Arial" w:hAnsi="Arial"/>
                <w:bCs/>
                <w:sz w:val="20"/>
                <w:szCs w:val="20"/>
              </w:rPr>
              <w:t/>
            </w:r>
          </w:p>
          <w:p w:rsidR="00581F9F" w:rsidRPr="00051DCF" w:rsidRDefault="00581F9F" w:rsidP="00F57C30">
            <w:pPr>
              <w:spacing w:after="0" w:line="240" w:lineRule="atLeast"/>
              <w:contextualSpacing/>
              <w:jc w:val="center"/>
              <w:rPr>
                <w:rFonts w:ascii="Arial" w:hAnsi="Arial"/>
                <w:bCs/>
                <w:sz w:val="20"/>
                <w:szCs w:val="20"/>
              </w:rPr>
            </w:pPr>
            <w:r>
              <w:rPr>
                <w:rFonts w:ascii="Arial" w:hAnsi="Arial"/>
                <w:bCs/>
                <w:sz w:val="20"/>
                <w:szCs w:val="20"/>
              </w:rPr>
              <w:t/>
            </w:r>
            <w:r>
              <w:rPr>
                <w:rFonts w:ascii="Arial" w:hAnsi="Arial"/>
                <w:bCs/>
                <w:sz w:val="20"/>
                <w:szCs w:val="20"/>
              </w:rPr>
              <w:t/>
            </w:r>
            <w:proofErr w:type="spellStart"/>
            <w:r w:rsidRPr="00581F9F">
              <w:rPr>
                <w:rFonts w:ascii="Arial" w:hAnsi="Arial"/>
                <w:bCs/>
                <w:sz w:val="20"/>
                <w:szCs w:val="20"/>
              </w:rPr>
              <w:t/>
            </w:r>
            <w:proofErr w:type="spellEnd"/>
            <w:r>
              <w:rPr>
                <w:rFonts w:ascii="Arial" w:hAnsi="Arial"/>
                <w:bCs/>
                <w:sz w:val="20"/>
                <w:szCs w:val="20"/>
              </w:rPr>
              <w:t/>
            </w:r>
          </w:p>
        </w:tc>
        <w:tc>
          <w:tcPr>
            <w:tcW w:w="174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051DCF" w:rsidRDefault="00581F9F" w:rsidP="00F57C30">
            <w:pPr>
              <w:spacing w:line="240" w:lineRule="atLeast"/>
              <w:contextualSpacing/>
              <w:jc w:val="center"/>
              <w:rPr>
                <w:rFonts w:ascii="Arial" w:hAnsi="Arial"/>
                <w:bCs/>
                <w:sz w:val="20"/>
                <w:szCs w:val="20"/>
              </w:rPr>
            </w:pPr>
          </w:p>
        </w:tc>
        <w:tc>
          <w:tcPr>
            <w:tcW w:w="1716"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Default="00581F9F"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581F9F">
              <w:rPr>
                <w:rFonts w:ascii="Arial" w:hAnsi="Arial"/>
                <w:bCs/>
                <w:sz w:val="20"/>
                <w:szCs w:val="20"/>
              </w:rPr>
              <w:t/>
            </w:r>
            <w:proofErr w:type="spellEnd"/>
            <w:r>
              <w:rPr>
                <w:rFonts w:ascii="Arial" w:hAnsi="Arial"/>
                <w:bCs/>
                <w:sz w:val="20"/>
                <w:szCs w:val="20"/>
              </w:rPr>
              <w:t/>
            </w:r>
          </w:p>
        </w:tc>
        <w:tc>
          <w:tcPr>
            <w:tcW w:w="1843"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051DCF" w:rsidRDefault="00581F9F" w:rsidP="00F57C30">
            <w:pPr>
              <w:spacing w:line="240" w:lineRule="atLeast"/>
              <w:contextualSpacing/>
              <w:jc w:val="center"/>
              <w:rPr>
                <w:rFonts w:ascii="Arial" w:hAnsi="Arial"/>
                <w:bCs/>
                <w:sz w:val="20"/>
                <w:szCs w:val="20"/>
              </w:rPr>
            </w:pPr>
            <w:r>
              <w:rPr>
                <w:rFonts w:ascii="Arial" w:hAnsi="Arial"/>
                <w:bCs/>
                <w:sz w:val="20"/>
                <w:szCs w:val="20"/>
              </w:rPr>
              <w:t xml:space="preserve">13</w:t>
            </w:r>
            <w:proofErr w:type="spellStart"/>
            <w:r w:rsidRPr="00581F9F">
              <w:rPr>
                <w:rFonts w:ascii="Arial" w:hAnsi="Arial"/>
                <w:bCs/>
                <w:sz w:val="20"/>
                <w:szCs w:val="20"/>
              </w:rPr>
              <w:t/>
            </w:r>
            <w:proofErr w:type="spellEnd"/>
            <w:r>
              <w:rPr>
                <w:rFonts w:ascii="Arial" w:hAnsi="Arial"/>
                <w:bCs/>
                <w:sz w:val="20"/>
                <w:szCs w:val="20"/>
              </w:rPr>
              <w:t/>
            </w:r>
          </w:p>
        </w:tc>
        <w:tc>
          <w:tcPr>
            <w:tcW w:w="1559"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6A4389">
              <w:rPr>
                <w:rFonts w:ascii="Arial" w:hAnsi="Arial"/>
                <w:bCs/>
                <w:sz w:val="20"/>
                <w:szCs w:val="20"/>
              </w:rPr>
              <w:t/>
            </w:r>
            <w:proofErr w:type="spellEnd"/>
            <w:r>
              <w:rPr>
                <w:rFonts w:ascii="Arial" w:hAnsi="Arial"/>
                <w:bCs/>
                <w:sz w:val="20"/>
                <w:szCs w:val="20"/>
              </w:rPr>
              <w:t/>
            </w:r>
          </w:p>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xml:space="preserve">8.5.110.10</w:t>
            </w:r>
          </w:p>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xml:space="preserve">09/08/17</w:t>
            </w:r>
          </w:p>
          <w:p w:rsidR="006A4389" w:rsidRDefault="006A4389" w:rsidP="00F57C30">
            <w:pPr>
              <w:spacing w:after="0" w:line="240" w:lineRule="atLeast"/>
              <w:contextualSpacing/>
              <w:jc w:val="center"/>
              <w:rPr>
                <w:rFonts w:ascii="Arial" w:hAnsi="Arial"/>
                <w:bCs/>
                <w:sz w:val="20"/>
                <w:szCs w:val="20"/>
              </w:rPr>
            </w:pPr>
            <w:r>
              <w:rPr>
                <w:rFonts w:ascii="Arial" w:hAnsi="Arial"/>
                <w:bCs/>
                <w:sz w:val="20"/>
                <w:szCs w:val="20"/>
              </w:rPr>
              <w:t xml:space="preserve">General</w:t>
            </w:r>
            <w:proofErr w:type="spellStart"/>
            <w:r>
              <w:rPr>
                <w:rFonts w:ascii="Arial" w:hAnsi="Arial"/>
                <w:bCs/>
                <w:sz w:val="20"/>
                <w:szCs w:val="20"/>
              </w:rPr>
              <w:t/>
            </w:r>
            <w:proofErr w:type="spellEnd"/>
            <w:r>
              <w:rPr>
                <w:rFonts w:ascii="Arial" w:hAnsi="Arial"/>
                <w:bCs/>
                <w:sz w:val="20"/>
                <w:szCs w:val="20"/>
              </w:rPr>
              <w:t/>
            </w:r>
          </w:p>
          <w:p w:rsidR="00581F9F" w:rsidRPr="00051DCF" w:rsidRDefault="006A4389" w:rsidP="00F57C30">
            <w:pPr>
              <w:spacing w:after="0" w:line="240" w:lineRule="atLeast"/>
              <w:contextualSpacing/>
              <w:jc w:val="center"/>
              <w:rPr>
                <w:rFonts w:ascii="Arial" w:hAnsi="Arial"/>
                <w:bCs/>
                <w:sz w:val="20"/>
                <w:szCs w:val="20"/>
              </w:rPr>
            </w:pPr>
            <w:r>
              <w:rPr>
                <w:rFonts w:ascii="Arial" w:hAnsi="Arial"/>
                <w:bCs/>
                <w:sz w:val="20"/>
                <w:szCs w:val="20"/>
              </w:rPr>
              <w:t/>
            </w:r>
            <w:proofErr w:type="spellStart"/>
            <w:r w:rsidRPr="006A4389">
              <w:rPr>
                <w:rFonts w:ascii="Arial" w:hAnsi="Arial"/>
                <w:bCs/>
                <w:sz w:val="20"/>
                <w:szCs w:val="20"/>
              </w:rPr>
              <w:t/>
            </w:r>
            <w:proofErr w:type="spellEnd"/>
            <w:r>
              <w:rPr>
                <w:rFonts w:ascii="Arial" w:hAnsi="Arial"/>
                <w:bCs/>
                <w:sz w:val="20"/>
                <w:szCs w:val="20"/>
              </w:rPr>
              <w:t/>
            </w:r>
          </w:p>
        </w:tc>
        <w:tc>
          <w:tcPr>
            <w:tcW w:w="1985"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hideMark/>
          </w:tcPr>
          <w:p w:rsidR="00581F9F" w:rsidRPr="00051DCF" w:rsidRDefault="00581F9F" w:rsidP="00F57C30">
            <w:pPr>
              <w:spacing w:line="240" w:lineRule="atLeast"/>
              <w:contextualSpacing/>
              <w:jc w:val="center"/>
              <w:rPr>
                <w:rFonts w:ascii="Arial" w:hAnsi="Arial"/>
                <w:bCs/>
                <w:sz w:val="20"/>
                <w:szCs w:val="20"/>
              </w:rPr>
            </w:pPr>
            <w:r>
              <w:rPr>
                <w:rFonts w:ascii="Arial" w:hAnsi="Arial"/>
                <w:bCs/>
                <w:sz w:val="20"/>
                <w:szCs w:val="20"/>
              </w:rPr>
              <w:t xml:space="preserve">13</w:t>
            </w:r>
            <w:proofErr w:type="spellStart"/>
            <w:r w:rsidRPr="00581F9F">
              <w:rPr>
                <w:rFonts w:ascii="Arial" w:hAnsi="Arial"/>
                <w:bCs/>
                <w:sz w:val="20"/>
                <w:szCs w:val="20"/>
              </w:rPr>
              <w:t/>
            </w:r>
            <w:proofErr w:type="spellEnd"/>
            <w:r>
              <w:rPr>
                <w:rFonts w:ascii="Arial" w:hAnsi="Arial"/>
                <w:bCs/>
                <w:sz w:val="20"/>
                <w:szCs w:val="20"/>
              </w:rPr>
              <w:t/>
            </w:r>
          </w:p>
        </w:tc>
      </w:tr>
    </w:tbl>
    <w:p w:rsidR="00581F9F" w:rsidRDefault="00581F9F" w:rsidP="00F57C30">
      <w:pPr>
        <w:spacing w:line="240" w:lineRule="atLeast"/>
        <w:contextualSpacing/>
        <w:rPr>
          <w:rStyle w:val="Heading1Char"/>
        </w:rPr>
      </w:pPr>
    </w:p>
    <w:p w:rsidR="00C1486B" w:rsidRDefault="00774090" w:rsidP="00F57C30">
      <w:pPr>
        <w:spacing w:line="240" w:lineRule="atLeast"/>
        <w:contextualSpacing/>
        <w:rPr>
          <w:rStyle w:val="Heading2Char"/>
        </w:rPr>
      </w:pPr>
      <w:r>
        <w:rPr>
          <w:rStyle w:val="Heading2Char"/>
        </w:rPr>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8.5.104.05</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08/04/15</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version supports dates up to the year 2999 on Windows platforms or up to the year 9999 on other platforms. Previously the dates were limited to year 2037. Among the drawbacks of that limit was that it prevented scheduling interaction processing far into the future.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8.5.105.04</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10/09/15</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Now EventPartyRemoved, EventPlacedInQueue, and EventPlacedInWorkbin contain timestamps that show when the interaction was previously placed in a queue (specified in attr_old_queue). This feature enables Genesys real-time reporting (Stat Server) to provide additional metrics related to time in queue.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corrects an issue with strict checking of the Interaction Server database tables in ODBC mode. Now Interaction Server does not check fields for the NOT NULL constraint, allowing for more flexible structure and making ODBC mode consistent with DB Server mode. Specifically, the strict check caused issues with the  "external_id" field, which by design may be either nullable or not nullable, allowing external interaction IDs to be either unique or non-unique.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8.5.106.04</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02/05/16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PartyTenantId, PartyType, PartyStrategyId, PartyRouterId, PartyPlaceId, and PartyAgentId are available for Database Capture Point queries.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Third-party Groovy libraries are upgraded to the most recent available version. The -Djava.class.path configuration option in the [jvm-options] section needs to be updated with the new jar file name.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 The media-types configuration option is added. This option requires Interaction Server Proxy version 8.5.106.14 (a Restricted release) or later.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8.5.106.05</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02/09/16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8.5.107.06</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05/20/16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prints out the current license usage upon any attempt to log an agent in or out, including any automatic logouts due to timeouts, license cut or client/proxy disconnect.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log-custom-message-content, added to the log-control  section, allows you to enable or disable (the default) printing of the binary content of EventCustom in the Interaction Server log.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introduces agent auto-logout, which allows logging out agents due to inactivity. The new option login-session-timeout in the settings section specifies the inactivity timeout in minutes. If an agent application does not send any request to Interaction Server for the duration specified by the option, Interaction Server logs out and disconnects that agent.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 option reset-states-on-shutdown, added to the settings section, controls the behavior of Interaction Server when it is shut down normally. Previously, as part of shutting down when working with DB Server, Interaction Server finished all database updates and reset all interaction states to queued. Now, if this option is set to false, the Server does not update interaction states, so the agents have a chance to use the session restoration feature after reconnecting to a backup server. Note that when working with ODBC, the option has no effect and interaction states are not reset on shutdown.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supports Red Hat Enterprise Linux (RHEL) 7 64-bit native.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8.5.107.08</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06/03/16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8.5.107.11</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06/09/16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8.5.107.22</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09/02/16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introduces the option max-database-request-queue-size in the [settings] section. It sets the maximum size for the database request queue. Any client request that generates a database request will be rejected if the current queue size reaches the specified maximum. The default value is 10,000 and the valid value is any integer in the range 5,000–200,000. Changes take effect immediately.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There are two new KPI counters: current_request_queue_size and current_request_queue_wait. Like all other counters, these are accessible in ping messages, the health monitor, or datastream reporting. This feature relates to the resolved issue described below.</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A new configuration option in the [health-service] section controls whether and how often the current counters are written to the log file: log-output-timeout specifies the time, in seconds, between these log messages. The default value is 0 seconds (no logging), and the valid value is an integer in the range 1–600 (10 minutes). Changes take effect immediately. This feature also relates to the resolved issue described below.</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8.5.108.05</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11/10/16</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includes the most recent available version of third-party Groovy libraries. Be sure that you update the -Djava.class.path configuration option in the [jvm-options] section with the new .jar file name.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MS SQL Server 2014 and MS SQL Server 2014 Cluster are supported.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Java version 1.8 update 101 is supported. </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8.5.108.06</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01/24/17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8.5.109.01</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05/01/17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supports Universal Contact Server v9.0 in N+1 mode.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 this release, besides resetting the agent login session timeout when it receives requests that relate to interactions or agent states, Interaction Server also resets the timeout when it receives RequestGetWorkbinContent, RequestFindInteractions, or RequestTakeSnapshot from a client. 
Also, the valid range for the option login-session-timeout has been extended to include 0; a value of 0 disables the agent login session timeout.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is accompanied by the new component Cluster Manager Plug-in for GAX, a user interface that you can use to configure Interaction Server and Interaction Server Proxy clusters.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8.5.109.03</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06/02/17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Hot Fix</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r w:rsidR="00F13DE3" w:rsidRPr="00F13DE3">
        <w:rPr>
          <w:rStyle w:val="Heading2Char"/>
        </w:rPr>
        <w:t/>
      </w:r>
      <w:r>
        <w:rPr>
          <w:rStyle w:val="Heading2Char"/>
        </w:rPr>
        <w:t/>
      </w:r>
    </w:p>
    <w:tbl>
      <w:tblPr>
        <w:tblStyle w:val="TableGrid"/>
        <w:tblW w:w="10490" w:type="dxa"/>
        <w:tblInd w:w="108" w:type="dxa"/>
        <w:tblLayout w:type="fixed"/>
        <w:tblLook w:val="04A0" w:firstRow="1" w:lastRow="0" w:firstColumn="1" w:lastColumn="0" w:noHBand="0" w:noVBand="1"/>
      </w:tblPr>
      <w:tblGrid>
        <w:gridCol w:w="1276"/>
        <w:gridCol w:w="851"/>
        <w:gridCol w:w="1842"/>
        <w:gridCol w:w="1418"/>
        <w:gridCol w:w="1276"/>
        <w:gridCol w:w="1328"/>
        <w:gridCol w:w="1081"/>
        <w:gridCol w:w="1418"/>
      </w:tblGrid>
      <w:tr w:rsidR="00581F9F" w:rsidTr="00160D98">
        <w:tc>
          <w:tcPr>
            <w:tcW w:w="1276" w:type="dxa"/>
          </w:tcPr>
          <w:p w:rsidR="00581F9F" w:rsidRDefault="00581F9F" w:rsidP="00F57C30">
            <w:pPr>
              <w:spacing w:line="240" w:lineRule="atLeast"/>
              <w:contextualSpacing/>
              <w:rPr>
                <w:rStyle w:val="Heading2Char"/>
              </w:rPr>
            </w:pPr>
            <w:r>
              <w:rPr>
                <w:rStyle w:val="Heading2Char"/>
              </w:rPr>
              <w:t xml:space="preserve">Release </w:t>
            </w:r>
          </w:p>
        </w:tc>
        <w:tc>
          <w:tcPr>
            <w:tcW w:w="851" w:type="dxa"/>
          </w:tcPr>
          <w:p w:rsidR="00581F9F" w:rsidRDefault="00160D98" w:rsidP="00F57C30">
            <w:pPr>
              <w:spacing w:line="240" w:lineRule="atLeast"/>
              <w:contextualSpacing/>
              <w:rPr>
                <w:rStyle w:val="Heading2Char"/>
              </w:rPr>
            </w:pPr>
            <w:r>
              <w:rPr>
                <w:rStyle w:val="Heading2Char"/>
              </w:rPr>
              <w:t>D</w:t>
            </w:r>
            <w:r w:rsidR="00581F9F">
              <w:rPr>
                <w:rStyle w:val="Heading2Char"/>
              </w:rPr>
              <w:t>ate</w:t>
            </w:r>
          </w:p>
        </w:tc>
        <w:tc>
          <w:tcPr>
            <w:tcW w:w="1842" w:type="dxa"/>
          </w:tcPr>
          <w:p w:rsidR="00581F9F" w:rsidRDefault="00581F9F" w:rsidP="00F57C30">
            <w:pPr>
              <w:spacing w:line="240" w:lineRule="atLeast"/>
              <w:contextualSpacing/>
              <w:rPr>
                <w:rStyle w:val="Heading2Char"/>
              </w:rPr>
            </w:pPr>
            <w:r>
              <w:rPr>
                <w:rStyle w:val="Heading2Char"/>
              </w:rPr>
              <w:t>Release type</w:t>
            </w:r>
          </w:p>
        </w:tc>
        <w:tc>
          <w:tcPr>
            <w:tcW w:w="1418" w:type="dxa"/>
          </w:tcPr>
          <w:p w:rsidR="00581F9F" w:rsidRDefault="00581F9F" w:rsidP="00F57C30">
            <w:pPr>
              <w:spacing w:line="240" w:lineRule="atLeast"/>
              <w:contextualSpacing/>
              <w:rPr>
                <w:rStyle w:val="Heading2Char"/>
              </w:rPr>
            </w:pPr>
            <w:r>
              <w:rPr>
                <w:rStyle w:val="Heading2Char"/>
              </w:rPr>
              <w:t>Restricted</w:t>
            </w:r>
          </w:p>
        </w:tc>
        <w:tc>
          <w:tcPr>
            <w:tcW w:w="1276" w:type="dxa"/>
          </w:tcPr>
          <w:p w:rsidR="00581F9F" w:rsidRDefault="00581F9F" w:rsidP="00F57C30">
            <w:pPr>
              <w:spacing w:line="240" w:lineRule="atLeast"/>
              <w:contextualSpacing/>
              <w:rPr>
                <w:rStyle w:val="Heading2Char"/>
              </w:rPr>
            </w:pPr>
            <w:r>
              <w:rPr>
                <w:rStyle w:val="Heading2Char"/>
              </w:rPr>
              <w:t>Aix</w:t>
            </w:r>
          </w:p>
        </w:tc>
        <w:tc>
          <w:tcPr>
            <w:tcW w:w="1328" w:type="dxa"/>
          </w:tcPr>
          <w:p w:rsidR="00581F9F" w:rsidRDefault="00581F9F" w:rsidP="00F57C30">
            <w:pPr>
              <w:spacing w:line="240" w:lineRule="atLeast"/>
              <w:contextualSpacing/>
              <w:rPr>
                <w:rStyle w:val="Heading2Char"/>
              </w:rPr>
            </w:pPr>
            <w:r>
              <w:rPr>
                <w:rStyle w:val="Heading2Char"/>
              </w:rPr>
              <w:t>Linux</w:t>
            </w:r>
          </w:p>
        </w:tc>
        <w:tc>
          <w:tcPr>
            <w:tcW w:w="1081" w:type="dxa"/>
          </w:tcPr>
          <w:p w:rsidR="00581F9F" w:rsidRDefault="00581F9F" w:rsidP="00F57C30">
            <w:pPr>
              <w:spacing w:line="240" w:lineRule="atLeast"/>
              <w:contextualSpacing/>
              <w:rPr>
                <w:rStyle w:val="Heading2Char"/>
              </w:rPr>
            </w:pPr>
            <w:r>
              <w:rPr>
                <w:rStyle w:val="Heading2Char"/>
              </w:rPr>
              <w:t>Solaris</w:t>
            </w:r>
          </w:p>
        </w:tc>
        <w:tc>
          <w:tcPr>
            <w:tcW w:w="1418" w:type="dxa"/>
          </w:tcPr>
          <w:p w:rsidR="00581F9F" w:rsidRDefault="00581F9F" w:rsidP="00F57C30">
            <w:pPr>
              <w:spacing w:line="240" w:lineRule="atLeast"/>
              <w:contextualSpacing/>
              <w:rPr>
                <w:rStyle w:val="Heading2Char"/>
              </w:rPr>
            </w:pPr>
            <w:r>
              <w:rPr>
                <w:rStyle w:val="Heading2Char"/>
              </w:rPr>
              <w:t>Windows</w:t>
            </w:r>
          </w:p>
        </w:tc>
      </w:tr>
      <w:tr w:rsidR="00581F9F" w:rsidTr="00160D98">
        <w:tc>
          <w:tcPr>
            <w:tcW w:w="1276"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rFonts w:ascii="Calibri" w:eastAsia="Calibri" w:hAnsi="Calibri" w:cs="Times New Roman"/>
                <w:b/>
                <w:color w:val="000000" w:themeColor="text1"/>
                <w:sz w:val="22"/>
                <w:szCs w:val="22"/>
              </w:rPr>
              <w:t xml:space="preserve">8.5.110.10</w:t>
            </w:r>
          </w:p>
        </w:tc>
        <w:tc>
          <w:tcPr>
            <w:tcW w:w="851"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09/08/17</w:t>
            </w:r>
          </w:p>
        </w:tc>
        <w:tc>
          <w:tcPr>
            <w:tcW w:w="1842" w:type="dxa"/>
          </w:tcPr>
          <w:p w:rsidR="00581F9F" w:rsidRPr="00160D98" w:rsidRDefault="00581F9F" w:rsidP="00F57C30">
            <w:pPr>
              <w:spacing w:after="0" w:line="240" w:lineRule="atLeast"/>
              <w:contextualSpacing/>
              <w:rPr>
                <w:rStyle w:val="Heading2Char"/>
                <w:b/>
                <w:color w:val="000000" w:themeColor="text1"/>
                <w:sz w:val="22"/>
                <w:szCs w:val="22"/>
              </w:rPr>
            </w:pPr>
            <w:r w:rsidRPr="00160D98">
              <w:rPr>
                <w:rStyle w:val="Heading2Char"/>
                <w:b/>
                <w:color w:val="000000" w:themeColor="text1"/>
                <w:sz w:val="22"/>
                <w:szCs w:val="22"/>
              </w:rPr>
              <w:t xml:space="preserve">General</w:t>
            </w:r>
            <w:proofErr w:type="spellStart"/>
            <w:r w:rsidRPr="00160D98">
              <w:rPr>
                <w:rStyle w:val="Heading2Char"/>
                <w:b/>
                <w:color w:val="000000" w:themeColor="text1"/>
                <w:sz w:val="22"/>
                <w:szCs w:val="22"/>
              </w:rPr>
              <w:t/>
            </w:r>
            <w:proofErr w:type="spellEnd"/>
            <w:r w:rsidRPr="00160D98">
              <w:rPr>
                <w:rStyle w:val="Heading2Char"/>
                <w:b/>
                <w:color w:val="000000" w:themeColor="text1"/>
                <w:sz w:val="22"/>
                <w:szCs w:val="22"/>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c>
          <w:tcPr>
            <w:tcW w:w="1276"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sidRPr="00ED70AF">
              <w:rPr>
                <w:rStyle w:val="Heading2Char"/>
                <w:sz w:val="18"/>
              </w:rPr>
              <w:t/>
            </w:r>
            <w:proofErr w:type="spellEnd"/>
            <w:r w:rsidRPr="00ED70AF">
              <w:rPr>
                <w:rStyle w:val="Heading2Char"/>
                <w:sz w:val="18"/>
              </w:rPr>
              <w:t/>
            </w:r>
          </w:p>
        </w:tc>
        <w:tc>
          <w:tcPr>
            <w:tcW w:w="1328"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081" w:type="dxa"/>
          </w:tcPr>
          <w:p w:rsidR="00581F9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proofErr w:type="spellStart"/>
            <w:r>
              <w:rPr>
                <w:rStyle w:val="Heading2Char"/>
                <w:sz w:val="18"/>
              </w:rPr>
              <w:t/>
            </w:r>
            <w:proofErr w:type="spellEnd"/>
            <w:r w:rsidRPr="00ED70AF">
              <w:rPr>
                <w:rStyle w:val="Heading2Char"/>
                <w:sz w:val="18"/>
              </w:rPr>
              <w:t/>
            </w:r>
          </w:p>
        </w:tc>
        <w:tc>
          <w:tcPr>
            <w:tcW w:w="1418" w:type="dxa"/>
          </w:tcPr>
          <w:p w:rsidR="00581F9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p w:rsidR="00581F9F" w:rsidRDefault="00581F9F" w:rsidP="00F57C30">
            <w:pPr>
              <w:spacing w:after="0" w:line="240" w:lineRule="atLeast"/>
              <w:contextualSpacing/>
              <w:rPr>
                <w:rStyle w:val="Heading2Char"/>
                <w:sz w:val="18"/>
              </w:rPr>
            </w:pPr>
            <w:r w:rsidRPr="00ED70AF">
              <w:rPr>
                <w:rStyle w:val="Heading2Char"/>
                <w:sz w:val="18"/>
              </w:rPr>
              <w:t>X</w:t>
            </w:r>
          </w:p>
          <w:p w:rsidR="00581F9F" w:rsidRPr="00ED70AF" w:rsidRDefault="00581F9F" w:rsidP="00F57C30">
            <w:pPr>
              <w:spacing w:after="0" w:line="240" w:lineRule="atLeast"/>
              <w:contextualSpacing/>
              <w:rPr>
                <w:rStyle w:val="Heading2Char"/>
                <w:sz w:val="18"/>
              </w:rPr>
            </w:pPr>
            <w:r w:rsidRPr="00ED70AF">
              <w:rPr>
                <w:rStyle w:val="Heading2Char"/>
                <w:sz w:val="18"/>
              </w:rPr>
              <w:t/>
            </w:r>
            <w:r>
              <w:rPr>
                <w:rStyle w:val="Heading2Char"/>
                <w:sz w:val="18"/>
              </w:rPr>
              <w:t/>
            </w:r>
            <w:r w:rsidRPr="00ED70AF">
              <w:rPr>
                <w:rStyle w:val="Heading2Char"/>
                <w:sz w:val="18"/>
              </w:rPr>
              <w:t/>
            </w:r>
          </w:p>
        </w:tc>
      </w:tr>
    </w:tbl>
    <w:p w:rsidR="002F6722" w:rsidRDefault="002F6722" w:rsidP="00F57C30">
      <w:pPr>
        <w:spacing w:line="240" w:lineRule="atLeast"/>
        <w:contextualSpacing/>
        <w:rPr>
          <w:rStyle w:val="Heading2Char"/>
        </w:rPr>
      </w:pPr>
    </w:p>
    <w:p w:rsidR="00C1486B" w:rsidRDefault="00C1486B" w:rsidP="00F57C30">
      <w:pPr>
        <w:pStyle w:val="Heading2"/>
        <w:rPr>
          <w:rStyle w:val="Heading2Char"/>
          <w:color w:val="243F60" w:themeColor="accent1" w:themeShade="7F"/>
          <w:sz w:val="24"/>
          <w:szCs w:val="24"/>
        </w:rPr>
      </w:pPr>
      <w:r w:rsidRPr="00C1486B">
        <w:rPr>
          <w:rStyle w:val="Heading2Char"/>
        </w:rPr>
        <w:t>New Features:</w:t>
      </w:r>
      <w:r w:rsidR="004E2458" w:rsidRPr="004E2458">
        <w:rPr>
          <w:rStyle w:val="Strong"/>
        </w:rPr>
        <w:t xml:space="preserve"> </w:t>
      </w:r>
      <w:r w:rsidR="004E2458"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now supports TLS 1.2.</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can now generate a new reporting event, EventAbandoned, if a customer abandons an interaction (the attribute IsOnline changes value from 1 to 0) before an agent was assigned to it. You can use this event to track abandoned interactions, which are then calculated by reporting clients such as Stat Server. The Genesys Chat solution supports this feature out-of-the-box.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Interaction Server no longer supports the T-Server application type. Customers must now use the Interaction Server application type. Additionally, the installation procedure no longer offers to install Interaction Server using the T-Server application type.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adjusts the default values of the following options in section [log-control]:
max-protocol-message-size=16384
max-protocol-attribute-size=256</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max-protocol-message-size=16384</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max-protocol-attribute-size=256</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You can now use the Groovy Event Logger to process reporting events using custom Groovy scripts. </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adds the configuration option max-userdata-size to the section [settings]. Use this option to specify the maximum user data size, in kilobytes, that can be stored for any specific interaction. The value 0 disables the check.</w:t>
      </w:r>
    </w:p>
    <w:p w:rsidR="00F57C30" w:rsidRDefault="004E2458" w:rsidP="00F57C30">
      <w:pPr>
        <w:spacing w:line="240" w:lineRule="atLeast"/>
        <w:contextualSpacing/>
        <w:rPr>
          <w:rStyle w:val="Strong"/>
        </w:rPr>
      </w:pPr>
      <w:r w:rsidRPr="005C61F2">
        <w:rPr>
          <w:rStyle w:val="Strong"/>
        </w:rPr>
        <w:t/>
      </w:r>
      <w:bookmarkStart w:id="0" w:name="_GoBack"/>
      <w:bookmarkEnd w:id="0"/>
    </w:p>
    <w:p w:rsidR="00982DEF" w:rsidRPr="00982DEF" w:rsidRDefault="00982DEF" w:rsidP="00F57C30">
      <w:pPr>
        <w:pStyle w:val="ListParagraph"/>
        <w:numPr>
          <w:ilvl w:val="0"/>
          <w:numId w:val="1"/>
        </w:numPr>
        <w:spacing w:after="120" w:line="240" w:lineRule="atLeast"/>
        <w:rPr>
          <w:rStyle w:val="Strong"/>
        </w:rPr>
      </w:pPr>
      <w:r w:rsidRPr="005C61F2">
        <w:rPr>
          <w:rStyle w:val="Strong"/>
        </w:rPr>
        <w:t xml:space="preserve">This release adds the configuration options trace-segmented-views and max-segments-traced-number in the section [log-control]. Use these options to control log messages regarding the segmentation process.</w:t>
      </w:r>
    </w:p>
    <w:p w:rsidR="00F57C30" w:rsidRDefault="004E2458" w:rsidP="00F57C30">
      <w:pPr>
        <w:spacing w:line="240" w:lineRule="atLeast"/>
        <w:contextualSpacing/>
        <w:rPr>
          <w:rStyle w:val="Strong"/>
        </w:rPr>
      </w:pPr>
      <w:r w:rsidRPr="005C61F2">
        <w:rPr>
          <w:rStyle w:val="Strong"/>
        </w:rPr>
        <w:t/>
      </w:r>
    </w:p>
    <w:p w:rsidR="00F57C30" w:rsidRPr="00F57C30" w:rsidRDefault="00F57C30" w:rsidP="00F57C30">
      <w:pPr>
        <w:pStyle w:val="Heading2"/>
        <w:rPr>
          <w:rStyle w:val="Strong"/>
          <w:b w:val="0"/>
        </w:rPr>
      </w:pPr>
      <w:r w:rsidRPr="00F57C30">
        <w:rPr>
          <w:rStyle w:val="Strong"/>
          <w:b w:val="0"/>
        </w:rPr>
        <w:t xml:space="preserve">Resolved </w:t>
      </w:r>
      <w:proofErr w:type="gramStart"/>
      <w:r w:rsidRPr="00F57C30">
        <w:rPr>
          <w:rStyle w:val="Strong"/>
          <w:b w:val="0"/>
        </w:rPr>
        <w:t>issues:</w:t>
      </w:r>
      <w:proofErr w:type="gramStart"/>
      <w:r>
        <w:rPr>
          <w:rStyle w:val="Strong"/>
        </w:rPr>
        <w:t/>
      </w:r>
      <w:r w:rsidRPr="005C61F2">
        <w:rPr>
          <w:rStyle w:val="Strong"/>
        </w:rPr>
        <w:t/>
      </w:r>
      <w:r w:rsidR="00D50460">
        <w:t/>
      </w:r>
      <w:proofErr w:type="gramEnd"/>
      <w:r w:rsidR="00D50460">
        <w:t/>
      </w:r>
      <w:r w:rsidR="00774090">
        <w:t/>
      </w:r>
      <w:r w:rsidR="00BC00BE">
        <w:rPr>
          <w:rStyle w:val="Heading1Char"/>
        </w:rPr>
        <w:t/>
      </w:r>
    </w:p>
    <w:p w:rsidR="005C61F2" w:rsidRDefault="005C61F2" w:rsidP="00F57C30">
      <w:pPr>
        <w:spacing w:after="120" w:line="240" w:lineRule="atLeast"/>
        <w:contextualSpacing/>
      </w:pPr>
    </w:p>
    <w:p w:rsidR="007F2130" w:rsidRDefault="007F2130">
      <w:pPr>
        <w:spacing w:after="0" w:line="240" w:lineRule="auto"/>
      </w:pPr>
      <w:r>
        <w:br w:type="page"/>
      </w:r>
    </w:p>
    <w:p w:rsidR="00BC00BE" w:rsidRPr="0059122C" w:rsidRDefault="00BC00BE" w:rsidP="00F57C30">
      <w:pPr>
        <w:spacing w:line="240" w:lineRule="atLeast"/>
        <w:contextualSpacing/>
      </w:pPr>
    </w:p>
    <w:sectPr w:rsidR="00BC00BE" w:rsidRPr="0059122C" w:rsidSect="007F2130">
      <w:headerReference w:type="default" r:id="rId7"/>
      <w:footerReference w:type="default" r:id="rId8"/>
      <w:pgSz w:w="12240" w:h="15840"/>
      <w:pgMar w:top="426" w:right="47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336" w:rsidRDefault="00E17336" w:rsidP="00C703AC">
      <w:pPr>
        <w:spacing w:after="0" w:line="240" w:lineRule="auto"/>
      </w:pPr>
      <w:r>
        <w:separator/>
      </w:r>
    </w:p>
  </w:endnote>
  <w:endnote w:type="continuationSeparator" w:id="0">
    <w:p w:rsidR="00E17336" w:rsidRDefault="00E17336"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21E2D">
    <w:pPr>
      <w:pStyle w:val="Footer"/>
    </w:pPr>
    <w:r w:rsidRPr="002B39F0">
      <w:rPr>
        <w:color w:val="FF0000"/>
      </w:rPr>
      <w:t xml:space="preserve">undefined</w:t>
    </w:r>
    <w:proofErr w:type="spellStart"/>
    <w:r w:rsidR="008B4316">
      <w:rPr>
        <w:color w:val="FF0000"/>
      </w:rPr>
      <w:t/>
    </w:r>
    <w:proofErr w:type="spellEnd"/>
    <w:r w:rsidRPr="002B39F0">
      <w:rPr>
        <w:color w:val="FF0000"/>
      </w:rPr>
      <w:t/>
    </w:r>
    <w:r>
      <w:ptab w:relativeTo="margin" w:alignment="center" w:leader="none"/>
    </w:r>
    <w:r w:rsidRPr="002B39F0">
      <w:rPr>
        <w:highlight w:val="yellow"/>
      </w:rPr>
      <w:t xml:space="preserve">undefined</w:t>
    </w:r>
    <w:proofErr w:type="spellStart"/>
    <w:r w:rsidR="008B4316">
      <w:rPr>
        <w:highlight w:val="yellow"/>
      </w:rPr>
      <w:t/>
    </w:r>
    <w:proofErr w:type="spellEnd"/>
    <w:r w:rsidRPr="002B39F0">
      <w:rPr>
        <w:highlight w:val="yellow"/>
      </w:rPr>
      <w:t/>
    </w:r>
    <w:r>
      <w:ptab w:relativeTo="margin" w:alignment="right" w:leader="none"/>
    </w:r>
    <w:r>
      <w:t xml:space="preserve">undefined</w:t>
    </w:r>
    <w:r w:rsidR="008B4316">
      <w:t/>
    </w:r>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336" w:rsidRDefault="00E17336" w:rsidP="00C703AC">
      <w:pPr>
        <w:spacing w:after="0" w:line="240" w:lineRule="auto"/>
      </w:pPr>
      <w:r>
        <w:separator/>
      </w:r>
    </w:p>
  </w:footnote>
  <w:footnote w:type="continuationSeparator" w:id="0">
    <w:p w:rsidR="00E17336" w:rsidRDefault="00E17336" w:rsidP="00C70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3AC" w:rsidRDefault="00F57C30">
    <w:pPr>
      <w:pStyle w:val="Header"/>
    </w:pPr>
    <w:r>
      <w:rPr>
        <w:noProof/>
      </w:rPr>
      <w:pict>
        <v:shapetype id="_x0000_t202" coordsize="21600,21600" o:spt="202" path="m,l,21600r21600,l21600,xe">
          <v:stroke joinstyle="miter"/>
          <v:path gradientshapeok="t" o:connecttype="rect"/>
        </v:shapetype>
        <v:shape id="_x0000_s2050" type="#_x0000_t202" style="position:absolute;margin-left:-15.8pt;margin-top:-14.75pt;width:196.95pt;height:31.25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" filled="f" stroked="f">
          <v:textbox style="mso-next-textbox:#_x0000_s2050">
            <w:txbxContent>
              <w:p w:rsidR="00363758" w:rsidRDefault="008B4316" w:rsidP="00C95001">
                <w:r>
                  <w:t xml:space="preserve">undefined</w:t>
                </w:r>
                <w:proofErr w:type="spellStart"/>
                <w:r>
                  <w:t/>
                </w:r>
                <w:proofErr w:type="spellEnd"/>
                <w:r w:rsidR="00363758">
                  <w:t xml:space="preserve"> undefined</w:t>
                </w:r>
                <w:proofErr w:type="spellStart"/>
                <w:r>
                  <w:t/>
                </w:r>
                <w:proofErr w:type="spellEnd"/>
                <w:r w:rsidR="00363758">
                  <w:t/>
                </w:r>
                <w:r w:rsidR="00F57C30">
                  <w:t xml:space="preserve"> </w:t>
                </w:r>
                <w:r>
                  <w:t xml:space="preserve">undefined</w:t>
                </w:r>
                <w:r w:rsidR="00363758">
                  <w:t/>
                </w:r>
              </w:p>
              <w:p w:rsidR="00363758" w:rsidRDefault="00363758" w:rsidP="00C95001"/>
              <w:p w:rsidR="00363758" w:rsidRDefault="00363758" w:rsidP="00C95001"/>
              <w:p w:rsidR="00363758" w:rsidRDefault="00363758" w:rsidP="00C95001"/>
              <w:p w:rsidR="00363758" w:rsidRDefault="00363758" w:rsidP="00C95001"/>
            </w:txbxContent>
          </v:textbox>
        </v:shape>
      </w:pict>
    </w:r>
    <w:r>
      <w:rPr>
        <w:noProof/>
      </w:rPr>
      <w:pict>
        <v:shape id="Zone de texte 2" o:spid="_x0000_s2049" type="#_x0000_t202" style="position:absolute;margin-left:337.65pt;margin-top:-13.4pt;width:145.6pt;height:29.9pt;z-index:251659264;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" fillcolor="white [3201]" strokecolor="white [3212]" strokeweight="2pt">
          <v:textbox style="mso-next-textbox:#Zone de texte 2">
            <w:txbxContent>
              <w:p w:rsidR="00363758" w:rsidRDefault="008B4316" w:rsidP="00C95001">
                <w:r>
                  <w:t xml:space="preserve">undefined</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7B0BDE"/>
    <w:multiLevelType w:val="hybridMultilevel"/>
    <w:tmpl w:val="F698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A68DC"/>
    <w:rsid w:val="00160D98"/>
    <w:rsid w:val="001845E1"/>
    <w:rsid w:val="00184A40"/>
    <w:rsid w:val="001A6335"/>
    <w:rsid w:val="001F60D9"/>
    <w:rsid w:val="0022454E"/>
    <w:rsid w:val="00250F1A"/>
    <w:rsid w:val="00272ED9"/>
    <w:rsid w:val="0028666D"/>
    <w:rsid w:val="002B39F0"/>
    <w:rsid w:val="002C76FD"/>
    <w:rsid w:val="002F6722"/>
    <w:rsid w:val="00363758"/>
    <w:rsid w:val="004D7CED"/>
    <w:rsid w:val="004E2458"/>
    <w:rsid w:val="005002ED"/>
    <w:rsid w:val="00530D75"/>
    <w:rsid w:val="00581F9F"/>
    <w:rsid w:val="005909A6"/>
    <w:rsid w:val="0059122C"/>
    <w:rsid w:val="005C61F2"/>
    <w:rsid w:val="0061198C"/>
    <w:rsid w:val="006437CE"/>
    <w:rsid w:val="006653E2"/>
    <w:rsid w:val="00677111"/>
    <w:rsid w:val="006A4389"/>
    <w:rsid w:val="006C4B18"/>
    <w:rsid w:val="006D2C45"/>
    <w:rsid w:val="007729B7"/>
    <w:rsid w:val="00774090"/>
    <w:rsid w:val="007A3AB3"/>
    <w:rsid w:val="007F2130"/>
    <w:rsid w:val="008B4316"/>
    <w:rsid w:val="008F004A"/>
    <w:rsid w:val="0096440B"/>
    <w:rsid w:val="00982DEF"/>
    <w:rsid w:val="009C1E90"/>
    <w:rsid w:val="00A21141"/>
    <w:rsid w:val="00BC00BE"/>
    <w:rsid w:val="00C1486B"/>
    <w:rsid w:val="00C703AC"/>
    <w:rsid w:val="00C74D24"/>
    <w:rsid w:val="00CC30F8"/>
    <w:rsid w:val="00CD7014"/>
    <w:rsid w:val="00D3381C"/>
    <w:rsid w:val="00D50460"/>
    <w:rsid w:val="00D83B3E"/>
    <w:rsid w:val="00E17336"/>
    <w:rsid w:val="00EA68DC"/>
    <w:rsid w:val="00EC60B3"/>
    <w:rsid w:val="00ED70AF"/>
    <w:rsid w:val="00F12554"/>
    <w:rsid w:val="00F13DE3"/>
    <w:rsid w:val="00F21E2D"/>
    <w:rsid w:val="00F2509D"/>
    <w:rsid w:val="00F57C30"/>
    <w:rsid w:val="00FC1F29"/>
    <w:rsid w:val="00FC7120"/>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5E6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335"/>
    <w:pPr>
      <w:spacing w:after="200" w:line="276" w:lineRule="auto"/>
    </w:pPr>
    <w:rPr>
      <w:sz w:val="24"/>
      <w:szCs w:val="24"/>
    </w:rPr>
  </w:style>
  <w:style w:type="paragraph" w:styleId="Heading1">
    <w:name w:val="heading 1"/>
    <w:basedOn w:val="Normal"/>
    <w:next w:val="Normal"/>
    <w:link w:val="Heading1Char"/>
    <w:uiPriority w:val="1"/>
    <w:qFormat/>
    <w:rsid w:val="005C6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5C61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1"/>
    <w:qFormat/>
    <w:rsid w:val="00C1486B"/>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1"/>
    <w:unhideWhenUsed/>
    <w:qFormat/>
    <w:rsid w:val="00F57C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customStyle="1" w:styleId="Heading1Char">
    <w:name w:val="Heading 1 Char"/>
    <w:basedOn w:val="DefaultParagraphFont"/>
    <w:link w:val="Heading1"/>
    <w:uiPriority w:val="1"/>
    <w:rsid w:val="005C61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1"/>
    <w:rsid w:val="005C61F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
    <w:qFormat/>
    <w:rsid w:val="005C61F2"/>
    <w:rPr>
      <w:b/>
      <w:bCs/>
    </w:rPr>
  </w:style>
  <w:style w:type="paragraph" w:styleId="ListParagraph">
    <w:name w:val="List Paragraph"/>
    <w:basedOn w:val="Normal"/>
    <w:uiPriority w:val="34"/>
    <w:qFormat/>
    <w:rsid w:val="00C1486B"/>
    <w:pPr>
      <w:ind w:left="720"/>
      <w:contextualSpacing/>
    </w:pPr>
  </w:style>
  <w:style w:type="character" w:customStyle="1" w:styleId="Heading3Char">
    <w:name w:val="Heading 3 Char"/>
    <w:basedOn w:val="DefaultParagraphFont"/>
    <w:link w:val="Heading3"/>
    <w:uiPriority w:val="1"/>
    <w:rsid w:val="00C1486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1"/>
    <w:unhideWhenUsed/>
    <w:rsid w:val="00FC7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F57C30"/>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2112">
      <w:bodyDiv w:val="1"/>
      <w:marLeft w:val="0"/>
      <w:marRight w:val="0"/>
      <w:marTop w:val="0"/>
      <w:marBottom w:val="0"/>
      <w:divBdr>
        <w:top w:val="none" w:sz="0" w:space="0" w:color="auto"/>
        <w:left w:val="none" w:sz="0" w:space="0" w:color="auto"/>
        <w:bottom w:val="none" w:sz="0" w:space="0" w:color="auto"/>
        <w:right w:val="none" w:sz="0" w:space="0" w:color="auto"/>
      </w:divBdr>
      <w:divsChild>
        <w:div w:id="956761148">
          <w:marLeft w:val="0"/>
          <w:marRight w:val="0"/>
          <w:marTop w:val="0"/>
          <w:marBottom w:val="0"/>
          <w:divBdr>
            <w:top w:val="none" w:sz="0" w:space="0" w:color="auto"/>
            <w:left w:val="none" w:sz="0" w:space="0" w:color="auto"/>
            <w:bottom w:val="none" w:sz="0" w:space="0" w:color="auto"/>
            <w:right w:val="none" w:sz="0" w:space="0" w:color="auto"/>
          </w:divBdr>
          <w:divsChild>
            <w:div w:id="15789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992">
      <w:bodyDiv w:val="1"/>
      <w:marLeft w:val="0"/>
      <w:marRight w:val="0"/>
      <w:marTop w:val="0"/>
      <w:marBottom w:val="0"/>
      <w:divBdr>
        <w:top w:val="none" w:sz="0" w:space="0" w:color="auto"/>
        <w:left w:val="none" w:sz="0" w:space="0" w:color="auto"/>
        <w:bottom w:val="none" w:sz="0" w:space="0" w:color="auto"/>
        <w:right w:val="none" w:sz="0" w:space="0" w:color="auto"/>
      </w:divBdr>
      <w:divsChild>
        <w:div w:id="1588999649">
          <w:marLeft w:val="0"/>
          <w:marRight w:val="0"/>
          <w:marTop w:val="0"/>
          <w:marBottom w:val="0"/>
          <w:divBdr>
            <w:top w:val="none" w:sz="0" w:space="0" w:color="auto"/>
            <w:left w:val="none" w:sz="0" w:space="0" w:color="auto"/>
            <w:bottom w:val="none" w:sz="0" w:space="0" w:color="auto"/>
            <w:right w:val="none" w:sz="0" w:space="0" w:color="auto"/>
          </w:divBdr>
          <w:divsChild>
            <w:div w:id="7758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203">
      <w:bodyDiv w:val="1"/>
      <w:marLeft w:val="0"/>
      <w:marRight w:val="0"/>
      <w:marTop w:val="0"/>
      <w:marBottom w:val="0"/>
      <w:divBdr>
        <w:top w:val="none" w:sz="0" w:space="0" w:color="auto"/>
        <w:left w:val="none" w:sz="0" w:space="0" w:color="auto"/>
        <w:bottom w:val="none" w:sz="0" w:space="0" w:color="auto"/>
        <w:right w:val="none" w:sz="0" w:space="0" w:color="auto"/>
      </w:divBdr>
      <w:divsChild>
        <w:div w:id="2014257770">
          <w:marLeft w:val="0"/>
          <w:marRight w:val="0"/>
          <w:marTop w:val="0"/>
          <w:marBottom w:val="0"/>
          <w:divBdr>
            <w:top w:val="none" w:sz="0" w:space="0" w:color="auto"/>
            <w:left w:val="none" w:sz="0" w:space="0" w:color="auto"/>
            <w:bottom w:val="none" w:sz="0" w:space="0" w:color="auto"/>
            <w:right w:val="none" w:sz="0" w:space="0" w:color="auto"/>
          </w:divBdr>
          <w:divsChild>
            <w:div w:id="10208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462">
      <w:bodyDiv w:val="1"/>
      <w:marLeft w:val="0"/>
      <w:marRight w:val="0"/>
      <w:marTop w:val="0"/>
      <w:marBottom w:val="0"/>
      <w:divBdr>
        <w:top w:val="none" w:sz="0" w:space="0" w:color="auto"/>
        <w:left w:val="none" w:sz="0" w:space="0" w:color="auto"/>
        <w:bottom w:val="none" w:sz="0" w:space="0" w:color="auto"/>
        <w:right w:val="none" w:sz="0" w:space="0" w:color="auto"/>
      </w:divBdr>
      <w:divsChild>
        <w:div w:id="1439175747">
          <w:marLeft w:val="0"/>
          <w:marRight w:val="0"/>
          <w:marTop w:val="0"/>
          <w:marBottom w:val="0"/>
          <w:divBdr>
            <w:top w:val="none" w:sz="0" w:space="0" w:color="auto"/>
            <w:left w:val="none" w:sz="0" w:space="0" w:color="auto"/>
            <w:bottom w:val="none" w:sz="0" w:space="0" w:color="auto"/>
            <w:right w:val="none" w:sz="0" w:space="0" w:color="auto"/>
          </w:divBdr>
          <w:divsChild>
            <w:div w:id="15854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765">
      <w:bodyDiv w:val="1"/>
      <w:marLeft w:val="0"/>
      <w:marRight w:val="0"/>
      <w:marTop w:val="0"/>
      <w:marBottom w:val="0"/>
      <w:divBdr>
        <w:top w:val="none" w:sz="0" w:space="0" w:color="auto"/>
        <w:left w:val="none" w:sz="0" w:space="0" w:color="auto"/>
        <w:bottom w:val="none" w:sz="0" w:space="0" w:color="auto"/>
        <w:right w:val="none" w:sz="0" w:space="0" w:color="auto"/>
      </w:divBdr>
      <w:divsChild>
        <w:div w:id="487329249">
          <w:marLeft w:val="0"/>
          <w:marRight w:val="0"/>
          <w:marTop w:val="0"/>
          <w:marBottom w:val="0"/>
          <w:divBdr>
            <w:top w:val="none" w:sz="0" w:space="0" w:color="auto"/>
            <w:left w:val="none" w:sz="0" w:space="0" w:color="auto"/>
            <w:bottom w:val="none" w:sz="0" w:space="0" w:color="auto"/>
            <w:right w:val="none" w:sz="0" w:space="0" w:color="auto"/>
          </w:divBdr>
          <w:divsChild>
            <w:div w:id="1597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20324">
      <w:bodyDiv w:val="1"/>
      <w:marLeft w:val="0"/>
      <w:marRight w:val="0"/>
      <w:marTop w:val="0"/>
      <w:marBottom w:val="0"/>
      <w:divBdr>
        <w:top w:val="none" w:sz="0" w:space="0" w:color="auto"/>
        <w:left w:val="none" w:sz="0" w:space="0" w:color="auto"/>
        <w:bottom w:val="none" w:sz="0" w:space="0" w:color="auto"/>
        <w:right w:val="none" w:sz="0" w:space="0" w:color="auto"/>
      </w:divBdr>
      <w:divsChild>
        <w:div w:id="66803194">
          <w:marLeft w:val="0"/>
          <w:marRight w:val="0"/>
          <w:marTop w:val="0"/>
          <w:marBottom w:val="0"/>
          <w:divBdr>
            <w:top w:val="none" w:sz="0" w:space="0" w:color="auto"/>
            <w:left w:val="none" w:sz="0" w:space="0" w:color="auto"/>
            <w:bottom w:val="none" w:sz="0" w:space="0" w:color="auto"/>
            <w:right w:val="none" w:sz="0" w:space="0" w:color="auto"/>
          </w:divBdr>
          <w:divsChild>
            <w:div w:id="9357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7963">
      <w:bodyDiv w:val="1"/>
      <w:marLeft w:val="0"/>
      <w:marRight w:val="0"/>
      <w:marTop w:val="0"/>
      <w:marBottom w:val="0"/>
      <w:divBdr>
        <w:top w:val="none" w:sz="0" w:space="0" w:color="auto"/>
        <w:left w:val="none" w:sz="0" w:space="0" w:color="auto"/>
        <w:bottom w:val="none" w:sz="0" w:space="0" w:color="auto"/>
        <w:right w:val="none" w:sz="0" w:space="0" w:color="auto"/>
      </w:divBdr>
      <w:divsChild>
        <w:div w:id="944112066">
          <w:marLeft w:val="0"/>
          <w:marRight w:val="0"/>
          <w:marTop w:val="0"/>
          <w:marBottom w:val="0"/>
          <w:divBdr>
            <w:top w:val="none" w:sz="0" w:space="0" w:color="auto"/>
            <w:left w:val="none" w:sz="0" w:space="0" w:color="auto"/>
            <w:bottom w:val="none" w:sz="0" w:space="0" w:color="auto"/>
            <w:right w:val="none" w:sz="0" w:space="0" w:color="auto"/>
          </w:divBdr>
          <w:divsChild>
            <w:div w:id="418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2007-08-15T06:28:00Z</dcterms:created>
  <dcterms:modified xsi:type="dcterms:W3CDTF">2017-12-21T08:25:00Z</dcterms:modified>
</cp:coreProperties>
</file>