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2400" w:after="240"/>
        <w:jc w:val="center"/>
      </w:pPr>
      <w:r>
        <w:rPr>
          <w:color w:val="595959"/>
          <w:sz w:val="28"/>
          <w:szCs w:val="28"/>
        </w:rPr>
        <w:t xml:space="preserve">Cashless Platform</w:t>
      </w:r>
    </w:p>
    <w:p>
      <w:pPr>
        <w:spacing w:after="240"/>
        <w:jc w:val="center"/>
      </w:pPr>
      <w:r>
        <w:rPr>
          <w:b/>
          <w:bCs/>
          <w:color w:val="1F4E79"/>
          <w:sz w:val="44"/>
          <w:szCs w:val="44"/>
        </w:rPr>
        <w:t xml:space="preserve">Mission 5a : Identité et enrôlement des terminaux</w:t>
      </w:r>
    </w:p>
    <w:p>
      <w:pPr>
        <w:spacing w:after="600"/>
        <w:jc w:val="center"/>
      </w:pPr>
      <w:r>
        <w:rPr>
          <w:sz w:val="24"/>
          <w:szCs w:val="24"/>
        </w:rPr>
        <w:t xml:space="preserve">Contenu détaillé de la mission : besoin, décisions, architecture, plan de travail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438"/>
      </w:tblGrid>
      <w:tr>
        <w:trPr>
          <w:tblHeader/>
        </w:trPr>
        <w:tc>
          <w:tcPr>
            <w:tcW w:w="32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Élément</w:t>
            </w:r>
          </w:p>
        </w:tc>
        <w:tc>
          <w:tcPr>
            <w:tcW w:w="6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Valeur</w:t>
            </w:r>
          </w:p>
        </w:tc>
      </w:tr>
      <w:tr>
        <w:tc>
          <w:tcPr>
            <w:tcW w:w="3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Identifiant Spec Kitty</w:t>
            </w:r>
          </w:p>
        </w:tc>
        <w:tc>
          <w:tcPr>
            <w:tcW w:w="6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identite-enrolement-terminaux-01M52R6H</w:t>
            </w:r>
          </w:p>
        </w:tc>
      </w:tr>
      <w:tr>
        <w:tc>
          <w:tcPr>
            <w:tcW w:w="3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Branche de travail</w:t>
            </w:r>
          </w:p>
        </w:tc>
        <w:tc>
          <w:tcPr>
            <w:tcW w:w="6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feat/identite-enrolement-terminaux (fusion ensuite dans main)</w:t>
            </w:r>
          </w:p>
        </w:tc>
      </w:tr>
      <w:tr>
        <w:tc>
          <w:tcPr>
            <w:tcW w:w="3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Date</w:t>
            </w:r>
          </w:p>
        </w:tc>
        <w:tc>
          <w:tcPr>
            <w:tcW w:w="6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22 octobre 2026</w:t>
            </w:r>
          </w:p>
        </w:tc>
      </w:tr>
      <w:tr>
        <w:tc>
          <w:tcPr>
            <w:tcW w:w="3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État</w:t>
            </w:r>
          </w:p>
        </w:tc>
        <w:tc>
          <w:tcPr>
            <w:tcW w:w="6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Mergée le 21 octobre 2026 dans feat/identite-enrolement-terminaux (18 lots sur 18 approuvés) ; revue après fusion : PASS WITH NOTES ; correctif post-fusion n° 1 relu et approuvé ; demande de fusion vers main ouverte (PR #4)</w:t>
            </w:r>
          </w:p>
        </w:tc>
      </w:tr>
      <w:tr>
        <w:tc>
          <w:tcPr>
            <w:tcW w:w="3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Sources</w:t>
            </w:r>
          </w:p>
        </w:tc>
        <w:tc>
          <w:tcPr>
            <w:tcW w:w="6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kitty-specs/identite-enrolement-terminaux-01M52R6H/ (spec.md, plan.md, research.md, data-model.md, contracts/, tasks.md, acceptance-matrix.json, reviews/, mission-review-report.md, post-merge-fix-1.md, post-merge-fix-1-review.md), docs/POINTS_OUVERTS.md, docs/DECISIONS_ADR.md, PROMPTS-A-ENVOYER.md</w:t>
            </w:r>
          </w:p>
        </w:tc>
      </w:tr>
    </w:tbl>
    <w:p>
      <w:pPr>
        <w:spacing w:after="120"/>
      </w:pPr>
    </w:p>
    <w:p>
      <w:r>
        <w:br w:type="page"/>
      </w:r>
    </w:p>
    <w:p>
      <w:pPr>
        <w:pStyle w:val="Titre1"/>
      </w:pPr>
      <w:bookmarkStart w:id="0" w:name="_Toc0"/>
      <w:r>
        <w:t xml:space="preserve">Sommaire</w:t>
      </w:r>
      <w:bookmarkEnd w:id="0"/>
    </w:p>
    <w:p>
      <w:pPr>
        <w:tabs>
          <w:tab w:val="right" w:leader="dot" w:pos="9638"/>
        </w:tabs>
        <w:rPr>
          <w:noProof/>
        </w:rPr>
      </w:pPr>
      <w:r>
        <w:fldChar w:fldCharType="begin" w:dirty="true"/>
        <w:instrText xml:space="preserve">TOC \h \o "1-2"</w:instrText>
        <w:fldChar w:fldCharType="separate"/>
      </w:r>
      <w:hyperlink w:anchor="_Toc1" w:history="1">
        <w:r>
          <w:rPr>
            <w:noProof/>
          </w:rPr>
          <w:t xml:space="preserve">1. Résumé</w:t>
          <w:tab/>
          <w:fldChar w:fldCharType="begin" w:dirty="true"/>
          <w:instrText xml:space="preserve">PAGEREF _Toc1 \h</w:instrText>
          <w:fldChar w:fldCharType="separate"/>
          <w:t xml:space="preserve"> </w:t>
          <w:fldChar w:fldCharType="end"/>
        </w:r>
      </w:hyperlink>
    </w:p>
    <w:p>
      <w:pPr>
        <w:tabs>
          <w:tab w:val="right" w:leader="dot" w:pos="9638"/>
        </w:tabs>
        <w:ind w:left="220"/>
        <w:rPr>
          <w:noProof/>
        </w:rPr>
      </w:pPr>
      <w:hyperlink w:anchor="_Toc2" w:history="1">
        <w:r>
          <w:rPr>
            <w:noProof/>
          </w:rPr>
          <w:t xml:space="preserve">Ce que la mission doit prouver, et ce qui l’est déjà</w:t>
          <w:tab/>
          <w:fldChar w:fldCharType="begin" w:dirty="true"/>
          <w:instrText xml:space="preserve">PAGEREF _Toc2 \h</w:instrText>
          <w:fldChar w:fldCharType="separate"/>
          <w:t xml:space="preserve"> </w:t>
          <w:fldChar w:fldCharType="end"/>
        </w:r>
      </w:hyperlink>
    </w:p>
    <w:p>
      <w:pPr>
        <w:tabs>
          <w:tab w:val="right" w:leader="dot" w:pos="9638"/>
        </w:tabs>
        <w:rPr>
          <w:noProof/>
        </w:rPr>
      </w:pPr>
      <w:hyperlink w:anchor="_Toc3" w:history="1">
        <w:r>
          <w:rPr>
            <w:noProof/>
          </w:rPr>
          <w:t xml:space="preserve">2. Contexte et sources</w:t>
          <w:tab/>
          <w:fldChar w:fldCharType="begin" w:dirty="true"/>
          <w:instrText xml:space="preserve">PAGEREF _Toc3 \h</w:instrText>
          <w:fldChar w:fldCharType="separate"/>
          <w:t xml:space="preserve"> </w:t>
          <w:fldChar w:fldCharType="end"/>
        </w:r>
      </w:hyperlink>
    </w:p>
    <w:p>
      <w:pPr>
        <w:tabs>
          <w:tab w:val="right" w:leader="dot" w:pos="9638"/>
        </w:tabs>
        <w:rPr>
          <w:noProof/>
        </w:rPr>
      </w:pPr>
      <w:hyperlink w:anchor="_Toc4" w:history="1">
        <w:r>
          <w:rPr>
            <w:noProof/>
          </w:rPr>
          <w:t xml:space="preserve">3. Périmètre</w:t>
          <w:tab/>
          <w:fldChar w:fldCharType="begin" w:dirty="true"/>
          <w:instrText xml:space="preserve">PAGEREF _Toc4 \h</w:instrText>
          <w:fldChar w:fldCharType="separate"/>
          <w:t xml:space="preserve"> </w:t>
          <w:fldChar w:fldCharType="end"/>
        </w:r>
      </w:hyperlink>
    </w:p>
    <w:p>
      <w:pPr>
        <w:tabs>
          <w:tab w:val="right" w:leader="dot" w:pos="9638"/>
        </w:tabs>
        <w:ind w:left="220"/>
        <w:rPr>
          <w:noProof/>
        </w:rPr>
      </w:pPr>
      <w:hyperlink w:anchor="_Toc5" w:history="1">
        <w:r>
          <w:rPr>
            <w:noProof/>
          </w:rPr>
          <w:t xml:space="preserve">Inclus</w:t>
          <w:tab/>
          <w:fldChar w:fldCharType="begin" w:dirty="true"/>
          <w:instrText xml:space="preserve">PAGEREF _Toc5 \h</w:instrText>
          <w:fldChar w:fldCharType="separate"/>
          <w:t xml:space="preserve"> </w:t>
          <w:fldChar w:fldCharType="end"/>
        </w:r>
      </w:hyperlink>
    </w:p>
    <w:p>
      <w:pPr>
        <w:tabs>
          <w:tab w:val="right" w:leader="dot" w:pos="9638"/>
        </w:tabs>
        <w:ind w:left="220"/>
        <w:rPr>
          <w:noProof/>
        </w:rPr>
      </w:pPr>
      <w:hyperlink w:anchor="_Toc6" w:history="1">
        <w:r>
          <w:rPr>
            <w:noProof/>
          </w:rPr>
          <w:t xml:space="preserve">Hors périmètre (missions suivantes)</w:t>
          <w:tab/>
          <w:fldChar w:fldCharType="begin" w:dirty="true"/>
          <w:instrText xml:space="preserve">PAGEREF _Toc6 \h</w:instrText>
          <w:fldChar w:fldCharType="separate"/>
          <w:t xml:space="preserve"> </w:t>
          <w:fldChar w:fldCharType="end"/>
        </w:r>
      </w:hyperlink>
    </w:p>
    <w:p>
      <w:pPr>
        <w:tabs>
          <w:tab w:val="right" w:leader="dot" w:pos="9638"/>
        </w:tabs>
        <w:rPr>
          <w:noProof/>
        </w:rPr>
      </w:pPr>
      <w:hyperlink w:anchor="_Toc7" w:history="1">
        <w:r>
          <w:rPr>
            <w:noProof/>
          </w:rPr>
          <w:t xml:space="preserve">4. Décisions de cadrage</w:t>
          <w:tab/>
          <w:fldChar w:fldCharType="begin" w:dirty="true"/>
          <w:instrText xml:space="preserve">PAGEREF _Toc7 \h</w:instrText>
          <w:fldChar w:fldCharType="separate"/>
          <w:t xml:space="preserve"> </w:t>
          <w:fldChar w:fldCharType="end"/>
        </w:r>
      </w:hyperlink>
    </w:p>
    <w:p>
      <w:pPr>
        <w:tabs>
          <w:tab w:val="right" w:leader="dot" w:pos="9638"/>
        </w:tabs>
        <w:rPr>
          <w:noProof/>
        </w:rPr>
      </w:pPr>
      <w:hyperlink w:anchor="_Toc8" w:history="1">
        <w:r>
          <w:rPr>
            <w:noProof/>
          </w:rPr>
          <w:t xml:space="preserve">5. Exigences</w:t>
          <w:tab/>
          <w:fldChar w:fldCharType="begin" w:dirty="true"/>
          <w:instrText xml:space="preserve">PAGEREF _Toc8 \h</w:instrText>
          <w:fldChar w:fldCharType="separate"/>
          <w:t xml:space="preserve"> </w:t>
          <w:fldChar w:fldCharType="end"/>
        </w:r>
      </w:hyperlink>
    </w:p>
    <w:p>
      <w:pPr>
        <w:tabs>
          <w:tab w:val="right" w:leader="dot" w:pos="9638"/>
        </w:tabs>
        <w:ind w:left="220"/>
        <w:rPr>
          <w:noProof/>
        </w:rPr>
      </w:pPr>
      <w:hyperlink w:anchor="_Toc9" w:history="1">
        <w:r>
          <w:rPr>
            <w:noProof/>
          </w:rPr>
          <w:t xml:space="preserve">5.1 Exigences fonctionnelles (26)</w:t>
          <w:tab/>
          <w:fldChar w:fldCharType="begin" w:dirty="true"/>
          <w:instrText xml:space="preserve">PAGEREF _Toc9 \h</w:instrText>
          <w:fldChar w:fldCharType="separate"/>
          <w:t xml:space="preserve"> </w:t>
          <w:fldChar w:fldCharType="end"/>
        </w:r>
      </w:hyperlink>
    </w:p>
    <w:p>
      <w:pPr>
        <w:tabs>
          <w:tab w:val="right" w:leader="dot" w:pos="9638"/>
        </w:tabs>
        <w:ind w:left="220"/>
        <w:rPr>
          <w:noProof/>
        </w:rPr>
      </w:pPr>
      <w:hyperlink w:anchor="_Toc10" w:history="1">
        <w:r>
          <w:rPr>
            <w:noProof/>
          </w:rPr>
          <w:t xml:space="preserve">5.2 Exigences non fonctionnelles (11)</w:t>
          <w:tab/>
          <w:fldChar w:fldCharType="begin" w:dirty="true"/>
          <w:instrText xml:space="preserve">PAGEREF _Toc10 \h</w:instrText>
          <w:fldChar w:fldCharType="separate"/>
          <w:t xml:space="preserve"> </w:t>
          <w:fldChar w:fldCharType="end"/>
        </w:r>
      </w:hyperlink>
    </w:p>
    <w:p>
      <w:pPr>
        <w:tabs>
          <w:tab w:val="right" w:leader="dot" w:pos="9638"/>
        </w:tabs>
        <w:ind w:left="220"/>
        <w:rPr>
          <w:noProof/>
        </w:rPr>
      </w:pPr>
      <w:hyperlink w:anchor="_Toc11" w:history="1">
        <w:r>
          <w:rPr>
            <w:noProof/>
          </w:rPr>
          <w:t xml:space="preserve">5.3 Contraintes (12)</w:t>
          <w:tab/>
          <w:fldChar w:fldCharType="begin" w:dirty="true"/>
          <w:instrText xml:space="preserve">PAGEREF _Toc11 \h</w:instrText>
          <w:fldChar w:fldCharType="separate"/>
          <w:t xml:space="preserve"> </w:t>
          <w:fldChar w:fldCharType="end"/>
        </w:r>
      </w:hyperlink>
    </w:p>
    <w:p>
      <w:pPr>
        <w:tabs>
          <w:tab w:val="right" w:leader="dot" w:pos="9638"/>
        </w:tabs>
        <w:rPr>
          <w:noProof/>
        </w:rPr>
      </w:pPr>
      <w:hyperlink w:anchor="_Toc12" w:history="1">
        <w:r>
          <w:rPr>
            <w:noProof/>
          </w:rPr>
          <w:t xml:space="preserve">6. Architecture retenue</w:t>
          <w:tab/>
          <w:fldChar w:fldCharType="begin" w:dirty="true"/>
          <w:instrText xml:space="preserve">PAGEREF _Toc12 \h</w:instrText>
          <w:fldChar w:fldCharType="separate"/>
          <w:t xml:space="preserve"> </w:t>
          <w:fldChar w:fldCharType="end"/>
        </w:r>
      </w:hyperlink>
    </w:p>
    <w:p>
      <w:pPr>
        <w:tabs>
          <w:tab w:val="right" w:leader="dot" w:pos="9638"/>
        </w:tabs>
        <w:ind w:left="220"/>
        <w:rPr>
          <w:noProof/>
        </w:rPr>
      </w:pPr>
      <w:hyperlink w:anchor="_Toc13" w:history="1">
        <w:r>
          <w:rPr>
            <w:noProof/>
          </w:rPr>
          <w:t xml:space="preserve">6.1 Composants</w:t>
          <w:tab/>
          <w:fldChar w:fldCharType="begin" w:dirty="true"/>
          <w:instrText xml:space="preserve">PAGEREF _Toc13 \h</w:instrText>
          <w:fldChar w:fldCharType="separate"/>
          <w:t xml:space="preserve"> </w:t>
          <w:fldChar w:fldCharType="end"/>
        </w:r>
      </w:hyperlink>
    </w:p>
    <w:p>
      <w:pPr>
        <w:tabs>
          <w:tab w:val="right" w:leader="dot" w:pos="9638"/>
        </w:tabs>
        <w:ind w:left="220"/>
        <w:rPr>
          <w:noProof/>
        </w:rPr>
      </w:pPr>
      <w:hyperlink w:anchor="_Toc14" w:history="1">
        <w:r>
          <w:rPr>
            <w:noProof/>
          </w:rPr>
          <w:t xml:space="preserve">6.2 Les trois preuves par requête</w:t>
          <w:tab/>
          <w:fldChar w:fldCharType="begin" w:dirty="true"/>
          <w:instrText xml:space="preserve">PAGEREF _Toc14 \h</w:instrText>
          <w:fldChar w:fldCharType="separate"/>
          <w:t xml:space="preserve"> </w:t>
          <w:fldChar w:fldCharType="end"/>
        </w:r>
      </w:hyperlink>
    </w:p>
    <w:p>
      <w:pPr>
        <w:tabs>
          <w:tab w:val="right" w:leader="dot" w:pos="9638"/>
        </w:tabs>
        <w:ind w:left="220"/>
        <w:rPr>
          <w:noProof/>
        </w:rPr>
      </w:pPr>
      <w:hyperlink w:anchor="_Toc15" w:history="1">
        <w:r>
          <w:rPr>
            <w:noProof/>
          </w:rPr>
          <w:t xml:space="preserve">6.3 Chaîne d’un enrôlement</w:t>
          <w:tab/>
          <w:fldChar w:fldCharType="begin" w:dirty="true"/>
          <w:instrText xml:space="preserve">PAGEREF _Toc15 \h</w:instrText>
          <w:fldChar w:fldCharType="separate"/>
          <w:t xml:space="preserve"> </w:t>
          <w:fldChar w:fldCharType="end"/>
        </w:r>
      </w:hyperlink>
    </w:p>
    <w:p>
      <w:pPr>
        <w:tabs>
          <w:tab w:val="right" w:leader="dot" w:pos="9638"/>
        </w:tabs>
        <w:ind w:left="220"/>
        <w:rPr>
          <w:noProof/>
        </w:rPr>
      </w:pPr>
      <w:hyperlink w:anchor="_Toc16" w:history="1">
        <w:r>
          <w:rPr>
            <w:noProof/>
          </w:rPr>
          <w:t xml:space="preserve">6.4 Décisions d’architecture</w:t>
          <w:tab/>
          <w:fldChar w:fldCharType="begin" w:dirty="true"/>
          <w:instrText xml:space="preserve">PAGEREF _Toc16 \h</w:instrText>
          <w:fldChar w:fldCharType="separate"/>
          <w:t xml:space="preserve"> </w:t>
          <w:fldChar w:fldCharType="end"/>
        </w:r>
      </w:hyperlink>
    </w:p>
    <w:p>
      <w:pPr>
        <w:tabs>
          <w:tab w:val="right" w:leader="dot" w:pos="9638"/>
        </w:tabs>
        <w:rPr>
          <w:noProof/>
        </w:rPr>
      </w:pPr>
      <w:hyperlink w:anchor="_Toc17" w:history="1">
        <w:r>
          <w:rPr>
            <w:noProof/>
          </w:rPr>
          <w:t xml:space="preserve">7. Points d’attention et contradictions</w:t>
          <w:tab/>
          <w:fldChar w:fldCharType="begin" w:dirty="true"/>
          <w:instrText xml:space="preserve">PAGEREF _Toc17 \h</w:instrText>
          <w:fldChar w:fldCharType="separate"/>
          <w:t xml:space="preserve"> </w:t>
          <w:fldChar w:fldCharType="end"/>
        </w:r>
      </w:hyperlink>
    </w:p>
    <w:p>
      <w:pPr>
        <w:tabs>
          <w:tab w:val="right" w:leader="dot" w:pos="9638"/>
        </w:tabs>
        <w:ind w:left="220"/>
        <w:rPr>
          <w:noProof/>
        </w:rPr>
      </w:pPr>
      <w:hyperlink w:anchor="_Toc18" w:history="1">
        <w:r>
          <w:rPr>
            <w:noProof/>
          </w:rPr>
          <w:t xml:space="preserve">7.1 Dettes de sécurité acceptées</w:t>
          <w:tab/>
          <w:fldChar w:fldCharType="begin" w:dirty="true"/>
          <w:instrText xml:space="preserve">PAGEREF _Toc18 \h</w:instrText>
          <w:fldChar w:fldCharType="separate"/>
          <w:t xml:space="preserve"> </w:t>
          <w:fldChar w:fldCharType="end"/>
        </w:r>
      </w:hyperlink>
    </w:p>
    <w:p>
      <w:pPr>
        <w:tabs>
          <w:tab w:val="right" w:leader="dot" w:pos="9638"/>
        </w:tabs>
        <w:ind w:left="220"/>
        <w:rPr>
          <w:noProof/>
        </w:rPr>
      </w:pPr>
      <w:hyperlink w:anchor="_Toc19" w:history="1">
        <w:r>
          <w:rPr>
            <w:noProof/>
          </w:rPr>
          <w:t xml:space="preserve">7.2 Résultat de l’analyse de cohérence</w:t>
          <w:tab/>
          <w:fldChar w:fldCharType="begin" w:dirty="true"/>
          <w:instrText xml:space="preserve">PAGEREF _Toc19 \h</w:instrText>
          <w:fldChar w:fldCharType="separate"/>
          <w:t xml:space="preserve"> </w:t>
          <w:fldChar w:fldCharType="end"/>
        </w:r>
      </w:hyperlink>
    </w:p>
    <w:p>
      <w:pPr>
        <w:tabs>
          <w:tab w:val="right" w:leader="dot" w:pos="9638"/>
        </w:tabs>
        <w:ind w:left="220"/>
        <w:rPr>
          <w:noProof/>
        </w:rPr>
      </w:pPr>
      <w:hyperlink w:anchor="_Toc20" w:history="1">
        <w:r>
          <w:rPr>
            <w:noProof/>
          </w:rPr>
          <w:t xml:space="preserve">7.3 Constats pendant l’implémentation</w:t>
          <w:tab/>
          <w:fldChar w:fldCharType="begin" w:dirty="true"/>
          <w:instrText xml:space="preserve">PAGEREF _Toc20 \h</w:instrText>
          <w:fldChar w:fldCharType="separate"/>
          <w:t xml:space="preserve"> </w:t>
          <w:fldChar w:fldCharType="end"/>
        </w:r>
      </w:hyperlink>
    </w:p>
    <w:p>
      <w:pPr>
        <w:tabs>
          <w:tab w:val="right" w:leader="dot" w:pos="9638"/>
        </w:tabs>
        <w:ind w:left="220"/>
        <w:rPr>
          <w:noProof/>
        </w:rPr>
      </w:pPr>
      <w:hyperlink w:anchor="_Toc21" w:history="1">
        <w:r>
          <w:rPr>
            <w:noProof/>
          </w:rPr>
          <w:t xml:space="preserve">7.4 Relecture</w:t>
          <w:tab/>
          <w:fldChar w:fldCharType="begin" w:dirty="true"/>
          <w:instrText xml:space="preserve">PAGEREF _Toc21 \h</w:instrText>
          <w:fldChar w:fldCharType="separate"/>
          <w:t xml:space="preserve"> </w:t>
          <w:fldChar w:fldCharType="end"/>
        </w:r>
      </w:hyperlink>
    </w:p>
    <w:p>
      <w:pPr>
        <w:tabs>
          <w:tab w:val="right" w:leader="dot" w:pos="9638"/>
        </w:tabs>
        <w:rPr>
          <w:noProof/>
        </w:rPr>
      </w:pPr>
      <w:hyperlink w:anchor="_Toc22" w:history="1">
        <w:r>
          <w:rPr>
            <w:noProof/>
          </w:rPr>
          <w:t xml:space="preserve">8. Plan de travail</w:t>
          <w:tab/>
          <w:fldChar w:fldCharType="begin" w:dirty="true"/>
          <w:instrText xml:space="preserve">PAGEREF _Toc22 \h</w:instrText>
          <w:fldChar w:fldCharType="separate"/>
          <w:t xml:space="preserve"> </w:t>
          <w:fldChar w:fldCharType="end"/>
        </w:r>
      </w:hyperlink>
    </w:p>
    <w:p>
      <w:pPr>
        <w:tabs>
          <w:tab w:val="right" w:leader="dot" w:pos="9638"/>
        </w:tabs>
        <w:ind w:left="220"/>
        <w:rPr>
          <w:noProof/>
        </w:rPr>
      </w:pPr>
      <w:hyperlink w:anchor="_Toc23" w:history="1">
        <w:r>
          <w:rPr>
            <w:noProof/>
          </w:rPr>
          <w:t xml:space="preserve">Ordre et parallélisme</w:t>
          <w:tab/>
          <w:fldChar w:fldCharType="begin" w:dirty="true"/>
          <w:instrText xml:space="preserve">PAGEREF _Toc23 \h</w:instrText>
          <w:fldChar w:fldCharType="separate"/>
          <w:t xml:space="preserve"> </w:t>
          <w:fldChar w:fldCharType="end"/>
        </w:r>
      </w:hyperlink>
    </w:p>
    <w:p>
      <w:pPr>
        <w:tabs>
          <w:tab w:val="right" w:leader="dot" w:pos="9638"/>
        </w:tabs>
        <w:rPr>
          <w:noProof/>
        </w:rPr>
      </w:pPr>
      <w:hyperlink w:anchor="_Toc24" w:history="1">
        <w:r>
          <w:rPr>
            <w:noProof/>
          </w:rPr>
          <w:t xml:space="preserve">9. Avancement et prochaines étapes</w:t>
          <w:tab/>
          <w:fldChar w:fldCharType="begin" w:dirty="true"/>
          <w:instrText xml:space="preserve">PAGEREF _Toc24 \h</w:instrText>
          <w:fldChar w:fldCharType="separate"/>
          <w:t xml:space="preserve"> </w:t>
          <w:fldChar w:fldCharType="end"/>
        </w:r>
      </w:hyperlink>
      <w:r>
        <w:fldChar w:fldCharType="end"/>
      </w:r>
    </w:p>
    <w:p>
      <w:r>
        <w:br w:type="page"/>
      </w:r>
    </w:p>
    <w:p>
      <w:pPr>
        <w:pStyle w:val="Titre1"/>
      </w:pPr>
      <w:bookmarkStart w:id="1" w:name="_Toc1"/>
      <w:r>
        <w:t xml:space="preserve">1. Résumé</w:t>
      </w:r>
      <w:bookmarkEnd w:id="1"/>
    </w:p>
    <w:p>
      <w:pPr>
        <w:spacing w:after="120"/>
      </w:pPr>
      <w:r>
        <w:t xml:space="preserve">La mission 5a donne au terminal une identité réelle. Un terminal est un téléphone Android ou iOS qui exécute l’app d’encaissement. Il entre dans le système par un code d’enrôlement à usage unique, affiché en QR par le back-office. Il s’enregistre avec ses clés et son attestation. Il reçoit un certificat client, un jeton d’appareil et un jeton de rafraîchissement. Ensuite, chaque requête qu’il envoie porte trois preuves liées au même terminal. Un administrateur peut le suspendre, le réactiver ou le révoquer. Le terminal lit sa configuration et envoie un battement de cœur.</w:t>
      </w:r>
    </w:p>
    <w:p>
      <w:pPr>
        <w:spacing w:after="120"/>
      </w:pPr>
      <w:r>
        <w:t xml:space="preserve">Trois mots reviennent dans tout le document. Une attestation est une preuve fournie par le système du téléphone (Android Key Attestation, iOS App Attest) que la clé est dans le matériel sécurisé et que l’app est intacte. Un certificat client est un certificat délivré au terminal à l’enrôlement, qu’il présente à chaque connexion chiffrée (mTLS). Un jeton est une courte chaîne signée par le serveur qui dit « ce terminal est authentifié » ; le jeton d’appareil dure 15 minutes, le jeton de rafraîchissement sert une fois à en obtenir un nouveau.</w:t>
      </w:r>
    </w:p>
    <w:p>
      <w:pPr>
        <w:spacing w:after="120"/>
      </w:pPr>
      <w:r>
        <w:t xml:space="preserve">La mission lève aussi les dettes de sécurité de la base héritées de la mission 4. Deux d’entre elles bloquent la production : OP-N59 (fonctions privilégiées sans pg_temp) et OP-N63 (clé d’accord du terminal réécrivable par l’API). Elle remplace enfin le faux d’identité du terminal de la mission 4 (OP-N42), qui croyait des en-têtes.</w:t>
      </w:r>
    </w:p>
    <w:p>
      <w:pPr>
        <w:spacing w:after="120"/>
      </w:pPr>
      <w:r>
        <w:t xml:space="preserve">Elle ne livre ni encaissement (mission 5b), ni hors ligne, ni application du terminal, ni écran. L’autorité des terminaux, le signataire des jetons et le service de clés restent derrière des prises (« ports ») avec des faux pour les tests, que la production refuse de démarrer.</w:t>
      </w:r>
    </w:p>
    <w:p>
      <w:pPr>
        <w:spacing w:after="120"/>
      </w:pPr>
      <w:r>
        <w:t xml:space="preserve">État au 22 octobre 2026 : mission terminée. Les 18 lots sont approuvés après relecture indépendante, acceptés (26 exigences fonctionnelles et 12 invariants vérifiés) et fusionnés le 21 octobre dans feat/identite-enrolement-terminaux. La revue après fusion rend PASS WITH NOTES ; ses deux renforcements (SEC-2, DRIFT-2) sont faits par le correctif post-fusion n° 1, relu et approuvé. La demande de fusion vers main est ouverte (PR #4).</w:t>
      </w:r>
    </w:p>
    <w:p>
      <w:pPr>
        <w:pStyle w:val="Titre2"/>
      </w:pPr>
      <w:bookmarkStart w:id="2" w:name="_Toc2"/>
      <w:r>
        <w:t xml:space="preserve">Ce que la mission doit prouver, et ce qui l’est déjà</w:t>
      </w:r>
      <w:bookmarkEnd w:id="2"/>
    </w:p>
    <w:p>
      <w:pPr>
        <w:pStyle w:val="Paragraphedeliste"/>
        <w:numPr>
          <w:ilvl w:val="0"/>
          <w:numId w:val="2"/>
        </w:numPr>
        <w:spacing w:after="60"/>
      </w:pPr>
      <w:r>
        <w:t xml:space="preserve">Aucune preuve seule ne suffit : fait. Une requête à qui il manque le certificat, le jeton ou la signature, ou dont une preuve est fausse, expirée, rejouée ou d’un autre terminal, est refusée sur chaque route de terminal (matrice route × preuve du lot 18, device-auth-matrix.spec.ts).</w:t>
      </w:r>
    </w:p>
    <w:p>
      <w:pPr>
        <w:pStyle w:val="Paragraphedeliste"/>
        <w:numPr>
          <w:ilvl w:val="0"/>
          <w:numId w:val="2"/>
        </w:numPr>
        <w:spacing w:after="60"/>
      </w:pPr>
      <w:r>
        <w:t xml:space="preserve">Révocation immédiate : fait. Un terminal suspendu ou révoqué est refusé dès la requête suivante, sur chaque route (403 DEVICE_REVOKED après preuves valides, ADR-115) ; statut relu en base à chaque requête et famille de jetons révoquée.</w:t>
      </w:r>
    </w:p>
    <w:p>
      <w:pPr>
        <w:pStyle w:val="Paragraphedeliste"/>
        <w:numPr>
          <w:ilvl w:val="0"/>
          <w:numId w:val="2"/>
        </w:numPr>
        <w:spacing w:after="60"/>
      </w:pPr>
      <w:r>
        <w:t xml:space="preserve">Dettes levées, chacune avec son test : OP-N42, OP-N44, OP-N50, OP-N54, OP-N59, OP-N62 et OP-N63, plus OP-N70 et OP-N71 apparus pendant la mission. Les trois qui bloquaient la production (OP-N42, OP-N59, OP-N63) sont levées.</w:t>
      </w:r>
    </w:p>
    <w:p>
      <w:pPr>
        <w:pStyle w:val="Paragraphedeliste"/>
        <w:numPr>
          <w:ilvl w:val="0"/>
          <w:numId w:val="2"/>
        </w:numPr>
        <w:spacing w:after="60"/>
      </w:pPr>
      <w:r>
        <w:t xml:space="preserve">Aucun secret en clair au repos : fait. Seules des empreintes de codes et de jetons sont stockées ; après un parcours complet, aucune valeur de test n’est retrouvée dans la base, les journaux ni les réponses d’erreur (device-secrets.spec.ts). Depuis le correctif post-fusion, l’API ne peut même plus lire l’empreinte des codes d’enrôlement (SEC-2).</w:t>
      </w:r>
    </w:p>
    <w:p>
      <w:pPr>
        <w:pStyle w:val="Paragraphedeliste"/>
        <w:numPr>
          <w:ilvl w:val="0"/>
          <w:numId w:val="2"/>
        </w:numPr>
        <w:spacing w:after="60"/>
      </w:pPr>
      <w:r>
        <w:t xml:space="preserve">Aucun faux en production : fait. La garde de démarrage refuse chaque faux (autorité, signataire, attestation, terminal de test) et l’environnement de développement d’Apple, un test par faux. L’autorité et le signataire n’ont pas encore d’adaptateur réel : la mise en production attend la mission 7 (OP-N73).</w:t>
      </w:r>
    </w:p>
    <w:p>
      <w:pPr>
        <w:pStyle w:val="Paragraphedeliste"/>
        <w:numPr>
          <w:ilvl w:val="0"/>
          <w:numId w:val="2"/>
        </w:numPr>
        <w:spacing w:after="60"/>
      </w:pPr>
      <w:r>
        <w:t xml:space="preserve">Isolation entre prestataires : fait, en base sur les nouvelles tables et sur chaque route (device-isolation.spec.ts).</w:t>
      </w:r>
    </w:p>
    <w:p>
      <w:pPr>
        <w:pStyle w:val="Paragraphedeliste"/>
        <w:numPr>
          <w:ilvl w:val="0"/>
          <w:numId w:val="2"/>
        </w:numPr>
        <w:spacing w:after="60"/>
      </w:pPr>
      <w:r>
        <w:t xml:space="preserve">Suites vertes : pgTAP 2083 sur 2083 et 1704 tests de l’API réussis (6 ignorés) au correctif post-fusion ; mesures de latence 17 sur 17 (surcoût des trois preuves p95 17,3 ms pour 20 ms permis). GitHub Actions vert sur la branche le 22 octobre 2026 (run 39762590535) : pgTAP 2083/2083, Jest 1705 réussis et 6 ignorés, bibliothèque de format 39/39, mesures de latence en série vertes (NFR-011 tenue).</w:t>
      </w:r>
    </w:p>
    <w:p>
      <w:pPr>
        <w:pStyle w:val="Titre1"/>
      </w:pPr>
      <w:bookmarkStart w:id="3" w:name="_Toc3"/>
      <w:r>
        <w:t xml:space="preserve">2. Contexte et sources</w:t>
      </w:r>
      <w:bookmarkEnd w:id="3"/>
    </w:p>
    <w:p>
      <w:pPr>
        <w:spacing w:after="120"/>
      </w:pPr>
      <w:r>
        <w:t xml:space="preserve">Depuis la mission 4, les routes appelées par un terminal (lecture d’un bracelet, mot de passe d’un bracelet) reçoivent l’identité du terminal d’une prise servie par un faux qui croit des en-têtes. En l’état, quiconque se dit terminal obtient le mot de passe d’un bracelet. Il n’y a pas d’outil de gestion de flotte ni d’effacement à distance (ADR-69) : la révocation est la seule défense contre un terminal perdu ou volé. Toute la sécurité repose donc sur un enrôlement sûr, sur des preuves vérifiées à chaque requête et sur un statut relu en base à chaque fois.</w:t>
      </w:r>
    </w:p>
    <w:p>
      <w:pPr>
        <w:spacing w:after="120"/>
      </w:pPr>
      <w:r>
        <w:t xml:space="preserve">Sources normatives, par ordre de priorité en cas de contradiction (SPECIFICATION §0.3) :</w:t>
      </w:r>
    </w:p>
    <w:p>
      <w:pPr>
        <w:pStyle w:val="Paragraphedeliste"/>
        <w:numPr>
          <w:ilvl w:val="0"/>
          <w:numId w:val="2"/>
        </w:numPr>
        <w:spacing w:after="60"/>
      </w:pPr>
      <w:r>
        <w:t xml:space="preserve">les tests exécutables : suites pgTAP, dont la suite de référence régénérée par gen_tests.py ;</w:t>
      </w:r>
    </w:p>
    <w:p>
      <w:pPr>
        <w:pStyle w:val="Paragraphedeliste"/>
        <w:numPr>
          <w:ilvl w:val="0"/>
          <w:numId w:val="2"/>
        </w:numPr>
        <w:spacing w:after="60"/>
      </w:pPr>
      <w:r>
        <w:t xml:space="preserve">le schéma SQL de référence (table device, index device_serial_active), le contrat openapi.yaml (tag « Terminaux ») et sync_protocol.md (§3.1) ;</w:t>
      </w:r>
    </w:p>
    <w:p>
      <w:pPr>
        <w:pStyle w:val="Paragraphedeliste"/>
        <w:numPr>
          <w:ilvl w:val="0"/>
          <w:numId w:val="2"/>
        </w:numPr>
        <w:spacing w:after="60"/>
      </w:pPr>
      <w:r>
        <w:t xml:space="preserve">docs/SPECIFICATION.md (§3.2, §8.1, §8.2, §10.3, §13.1, §13.2, §13.4, §14.2 S5) et les décisions ADR-43, 69, 88, 96, 99, 101, 102, 105 ;</w:t>
      </w:r>
    </w:p>
    <w:p>
      <w:pPr>
        <w:pStyle w:val="Paragraphedeliste"/>
        <w:numPr>
          <w:ilvl w:val="0"/>
          <w:numId w:val="2"/>
        </w:numPr>
        <w:spacing w:after="60"/>
      </w:pPr>
      <w:r>
        <w:t xml:space="preserve">PRD.md.</w:t>
      </w:r>
    </w:p>
    <w:p>
      <w:pPr>
        <w:spacing w:after="120"/>
      </w:pPr>
      <w:r>
        <w:t xml:space="preserve">Règle intangible : les fichiers .sql générés de packages/ledger-sql ne sont jamais modifiés à la main ; tout ajout passe par une migration, et les attentes de la suite de référence par ses générateurs.</w:t>
      </w:r>
    </w:p>
    <w:p>
      <w:pPr>
        <w:spacing w:after="120"/>
      </w:pPr>
      <w:r>
        <w:t xml:space="preserve">La mission dépend des missions 1 (idempotence, erreurs normalisées), 2 (personnes, rôles, audit), 3 (événements, points de vente, réglages des terminaux) et 4 (prise d’identité du terminal, prises du service de clés, processus des clés de bracelet, garde de production).</w:t>
      </w:r>
    </w:p>
    <w:p>
      <w:pPr>
        <w:pStyle w:val="Titre1"/>
      </w:pPr>
      <w:bookmarkStart w:id="4" w:name="_Toc4"/>
      <w:r>
        <w:t xml:space="preserve">3. Périmètre</w:t>
      </w:r>
      <w:bookmarkEnd w:id="4"/>
    </w:p>
    <w:p>
      <w:pPr>
        <w:pStyle w:val="Titre2"/>
      </w:pPr>
      <w:bookmarkStart w:id="5" w:name="_Toc5"/>
      <w:r>
        <w:t xml:space="preserve">Inclus</w:t>
      </w:r>
      <w:bookmarkEnd w:id="5"/>
    </w:p>
    <w:p>
      <w:pPr>
        <w:pStyle w:val="Paragraphedeliste"/>
        <w:numPr>
          <w:ilvl w:val="0"/>
          <w:numId w:val="2"/>
        </w:numPr>
        <w:spacing w:after="60"/>
      </w:pPr>
      <w:r>
        <w:t xml:space="preserve">Codes d’enrôlement : à usage unique, liés à un prestataire et obligatoirement à un événement (et parfois à un point de vente et à un mode), avec le choix obligatoire « téléphone personnel » ; 24 h par défaut ; affichés une fois ; seule l’empreinte est gardée.</w:t>
      </w:r>
    </w:p>
    <w:p>
      <w:pPr>
        <w:pStyle w:val="Paragraphedeliste"/>
        <w:numPr>
          <w:ilvl w:val="0"/>
          <w:numId w:val="2"/>
        </w:numPr>
        <w:spacing w:after="60"/>
      </w:pPr>
      <w:r>
        <w:t xml:space="preserve">Enrôlement : clés de signature et d’accord P-256, attestation Android (version 12 au moins, deux chaînes) ou iOS (App Attest), demande de certificat, certificat client émis par l’autorité des terminaux, premier numéro de séquence.</w:t>
      </w:r>
    </w:p>
    <w:p>
      <w:pPr>
        <w:pStyle w:val="Paragraphedeliste"/>
        <w:numPr>
          <w:ilvl w:val="0"/>
          <w:numId w:val="2"/>
        </w:numPr>
        <w:spacing w:after="60"/>
      </w:pPr>
      <w:r>
        <w:t xml:space="preserve">Unicité du serial parmi les terminaux non révoqués d’un même prestataire, et ré-enrôlement d’un serial révoqué sans réutiliser un numéro de séquence.</w:t>
      </w:r>
    </w:p>
    <w:p>
      <w:pPr>
        <w:pStyle w:val="Paragraphedeliste"/>
        <w:numPr>
          <w:ilvl w:val="0"/>
          <w:numId w:val="2"/>
        </w:numPr>
        <w:spacing w:after="60"/>
      </w:pPr>
      <w:r>
        <w:t xml:space="preserve">Jeton d’appareil de 15 minutes lié à la clé du terminal ; jeton de rafraîchissement à rotation, avec familles de jetons et grâce de 60 s.</w:t>
      </w:r>
    </w:p>
    <w:p>
      <w:pPr>
        <w:pStyle w:val="Paragraphedeliste"/>
        <w:numPr>
          <w:ilvl w:val="0"/>
          <w:numId w:val="2"/>
        </w:numPr>
        <w:spacing w:after="60"/>
      </w:pPr>
      <w:r>
        <w:t xml:space="preserve">Trois preuves sur chaque requête de terminal : certificat client, jeton d’appareil, signature de la requête ; refus du rejeu.</w:t>
      </w:r>
    </w:p>
    <w:p>
      <w:pPr>
        <w:pStyle w:val="Paragraphedeliste"/>
        <w:numPr>
          <w:ilvl w:val="0"/>
          <w:numId w:val="2"/>
        </w:numPr>
        <w:spacing w:after="60"/>
      </w:pPr>
      <w:r>
        <w:t xml:space="preserve">Identité réelle derrière la prise de la mission 4, sans changer les routes qui l’utilisent ; faux retiré hors des tests.</w:t>
      </w:r>
    </w:p>
    <w:p>
      <w:pPr>
        <w:pStyle w:val="Paragraphedeliste"/>
        <w:numPr>
          <w:ilvl w:val="0"/>
          <w:numId w:val="2"/>
        </w:numPr>
        <w:spacing w:after="60"/>
      </w:pPr>
      <w:r>
        <w:t xml:space="preserve">Back-office des terminaux (par l’API) : liste, fiche, suspension, réactivation, révocation, avec historique et audit.</w:t>
      </w:r>
    </w:p>
    <w:p>
      <w:pPr>
        <w:pStyle w:val="Paragraphedeliste"/>
        <w:numPr>
          <w:ilvl w:val="0"/>
          <w:numId w:val="2"/>
        </w:numPr>
        <w:spacing w:after="60"/>
      </w:pPr>
      <w:r>
        <w:t xml:space="preserve">Configuration servie (DeviceConfig, config_id, ETag) et battement de cœur.</w:t>
      </w:r>
    </w:p>
    <w:p>
      <w:pPr>
        <w:pStyle w:val="Paragraphedeliste"/>
        <w:numPr>
          <w:ilvl w:val="0"/>
          <w:numId w:val="2"/>
        </w:numPr>
        <w:spacing w:after="60"/>
      </w:pPr>
      <w:r>
        <w:t xml:space="preserve">Dettes de la base héritées de la mission 4 : OP-N59, OP-N44, OP-N50, OP-N54, OP-N62, OP-N63.</w:t>
      </w:r>
    </w:p>
    <w:p>
      <w:pPr>
        <w:pStyle w:val="Paragraphedeliste"/>
        <w:numPr>
          <w:ilvl w:val="0"/>
          <w:numId w:val="2"/>
        </w:numPr>
        <w:spacing w:after="60"/>
      </w:pPr>
      <w:r>
        <w:t xml:space="preserve">Contrat d’API complété (6 routes du back-office ajoutées, trois preuves exigées, en-têtes de signature) et types TypeScript et Dart régénérés.</w:t>
      </w:r>
    </w:p>
    <w:p>
      <w:pPr>
        <w:pStyle w:val="Titre2"/>
      </w:pPr>
      <w:bookmarkStart w:id="6" w:name="_Toc6"/>
      <w:r>
        <w:t xml:space="preserve">Hors périmètre (missions suivantes)</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8"/>
        <w:gridCol w:w="4000"/>
      </w:tblGrid>
      <w:tr>
        <w:trPr>
          <w:tblHeader/>
        </w:trPr>
        <w:tc>
          <w:tcPr>
            <w:tcW w:w="56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Sujet</w:t>
            </w:r>
          </w:p>
        </w:tc>
        <w:tc>
          <w:tcPr>
            <w:tcW w:w="40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Mission prévue</w:t>
            </w:r>
          </w:p>
        </w:tc>
      </w:tr>
      <w:tr>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Encaissement en ligne : vendeurs, catalogue, paiement par bracelet et par QR, annulation, identification au guichet</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Mission 5b</w:t>
            </w:r>
          </w:p>
        </w:tc>
      </w:tr>
      <w:tr>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Snapshot hors ligne, lots hors ligne</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Mission 7</w:t>
            </w:r>
          </w:p>
        </w:tc>
      </w:tr>
      <w:tr>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Passerelle locale</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Mission 8</w:t>
            </w:r>
          </w:p>
        </w:tc>
      </w:tr>
      <w:tr>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Écrans du back-office (liste des terminaux, QR du code)</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Mission 11</w:t>
            </w:r>
          </w:p>
        </w:tc>
      </w:tr>
      <w:tr>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Application du terminal ; requêtes iOS signées par assertion App Attest (levée d’OP-N64)</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Mission 12</w:t>
            </w:r>
          </w:p>
        </w:tc>
      </w:tr>
      <w:tr>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Essais sur de vrais appareils ; réexamen de la grâce de 60 s (OP-N65) et d’OP-N67</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Mission 13 (recette V1)</w:t>
            </w:r>
          </w:p>
        </w:tc>
      </w:tr>
      <w:tr>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Adaptateurs réels de l’autorité des terminaux, du signataire des jetons et du service de clés</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Mise en production (point ouvert OP-N11)</w:t>
            </w:r>
          </w:p>
        </w:tc>
      </w:tr>
      <w:tr>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Gestion de flotte (MDM), effacement à distance</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Aucune (ADR-69)</w:t>
            </w:r>
          </w:p>
        </w:tc>
      </w:tr>
      <w:tr>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Contrôle d’intégrité périodique d’un terminal déjà enrôlé</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Non prévu (hypothèse A3)</w:t>
            </w:r>
          </w:p>
        </w:tc>
      </w:tr>
      <w:tr>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Import lent du fichier de l’imprimeur sur une grosse table de bracelets (OP-N66, défaut de la mission 4)</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Hors mission 5a, à évaluer</w:t>
            </w:r>
          </w:p>
        </w:tc>
      </w:tr>
    </w:tbl>
    <w:p>
      <w:pPr>
        <w:pStyle w:val="Titre1"/>
      </w:pPr>
      <w:bookmarkStart w:id="7" w:name="_Toc7"/>
      <w:r>
        <w:t xml:space="preserve">4. Décisions de cadrage</w:t>
      </w:r>
      <w:bookmarkEnd w:id="7"/>
    </w:p>
    <w:p>
      <w:pPr>
        <w:spacing w:after="120"/>
      </w:pPr>
      <w:r>
        <w:t xml:space="preserve">Les décisions de cadrage ont été prises avec le porteur du projet du 16 au 19 octobre 2026, au découpage, à la spécification, au plan et à l’analyse. Elles sont tracées dans kitty-specs/identite-enrolement-terminaux-01M52R6H/ (decisions/, spec.md et research.md). Les décisions prises pendant l’implémentation sont en 7.3.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800"/>
        <w:gridCol w:w="3438"/>
      </w:tblGrid>
      <w:tr>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Sujet</w:t>
            </w:r>
          </w:p>
        </w:tc>
        <w:tc>
          <w:tcPr>
            <w:tcW w:w="3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Décision</w:t>
            </w:r>
          </w:p>
        </w:tc>
        <w:tc>
          <w:tcPr>
            <w:tcW w:w="3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Pourquoi</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Taille de la mission 5</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Scindée en 5a (identité, enrôlement, dettes de sécurité) puis 5b (encaissement en ligne), le 16/10</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L’identité réelle et les dettes qui bloquent la production passent avant l’encaissement</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Authentification des terminaux</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Jeton lié, mTLS et signature de chaque requête, ensemble</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Condition de levée d’OP-N42 ; §10.3 et le contrat disaient « l’un ou l’autre » : contradiction signalée, résolue dans le sens le plus sûr (ADR-107)</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Attestation</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Android Key Attestation et iOS App Attest vérifiés dans cette mission</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Ne pas refuser les iPhone, ni les laisser entrer sans preuve</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OP-N50</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Levée en 5a, comme prévu</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Levée : migrations 0024 et 0026 (lots 5 et 7)</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Routes du back-office des terminaux</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Ajoutées au contrat avec les conventions existantes (A1)</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 contrat ne les décrivait pas</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Suspension, réactivation, révocation</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Par une seule personne habilitée (A2)</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La révocation protège ; la réactivation ne rend que les droits d’un terminal déjà attesté</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Moment de l’attestation</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À l’enrôlement seulement (A3)</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Un contrôle périodique n’est pas dans cette mission</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Autorité des terminaux et terminal de test</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Derrière une prise, avec un faux pour les tests, refusé en production (A4, A5)</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Même règle que pour le service de clés (OP-N11)</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Terminal sans événement</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Événement obligatoire sur tout code ; réaffectation par révocation puis ré-enrôlement</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La configuration du contrat exige un événement (constat U1 de l’analyse)</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Où vérifier le certificat client</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Dans les processus Node, le répartiteur en simple passage TCP</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Aucun en-tête de répartiteur n’est cru</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Clé de signature iOS</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Liée à l’instance attestée par le défi ; limite consignée (OP-N64, ADR-106)</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 Attest n’atteste que sa propre clé ; un iPhone encaisse en QR seulement et ne reçoit jamais le mot de passe d’un bracelet</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Version d’Android</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Android 12 minimum</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La clé d’accord n’est dans le matériel sécurisé qu’à partir d’Android 12 ; en dessous, elle est copiable</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Rafraîchissement et serial</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Grâce de 60 s pour le même terminal (OP-N65, ADR-108) ; serial unique par prestataire (ADR-109)</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Une réponse perdue ne doit pas faire perdre ses jetons au terminal ; l’unicité globale révélait le serial d’un autre prestataire et permettait de le bloquer</w:t>
            </w:r>
          </w:p>
        </w:tc>
      </w:tr>
    </w:tbl>
    <w:p>
      <w:pPr>
        <w:pStyle w:val="Titre1"/>
      </w:pPr>
      <w:bookmarkStart w:id="8" w:name="_Toc8"/>
      <w:r>
        <w:t xml:space="preserve">5. Exigences</w:t>
      </w:r>
      <w:bookmarkEnd w:id="8"/>
    </w:p>
    <w:p>
      <w:pPr>
        <w:pStyle w:val="Titre2"/>
      </w:pPr>
      <w:bookmarkStart w:id="9" w:name="_Toc9"/>
      <w:r>
        <w:t xml:space="preserve">5.1 Exigences fonctionnelles (26)</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8438"/>
      </w:tblGrid>
      <w:tr>
        <w:trPr>
          <w:tblHeader/>
        </w:trPr>
        <w:tc>
          <w:tcPr>
            <w:tcW w:w="12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ID</w:t>
            </w:r>
          </w:p>
        </w:tc>
        <w:tc>
          <w:tcPr>
            <w:tcW w:w="8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Exigence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FR-001</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Code d’enrôlement à usage unique : prestataire, événement obligatoire, point de vente et mode facultatifs, choix « téléphone personnel » obligatoire, 24 h par défaut, affiché une fois, empreinte seule gardée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FR-002</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Mode PAIRED_TPE refusé à la création du code et à l’enrôlement (422 DEVICE_MODE_NOT_ALLOWED)</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FR-003</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Enrôlement avec code, serial, système, version de l’app, clés publiques P-256, attestation et demande de certificat ; réponse : identifiant, certificat, jetons, next_seq</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FR-004</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Code consommé une seule fois, même sous enrôlements simultanés, et seulement par un enrôlement réussi ; même réponse pour un code inconnu et un code déjà utilisé</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FR-005</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Attestation Android (12 au moins) des deux clés jusqu’à une racine de confiance : matériel sécurisé, appareil verrouillé, app attendue, défi lié</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FR-006</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Attestation iOS App Attest : app attendue et intacte, défi qui lie les clés du terminal ; limite consignée (OP-N64)</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FR-007</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Serial jamais porté par deux terminaux non révoqués d’un même prestataire ; ré-enrôlement après révocation avec next_seq = plus grand numéro vu + 1</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FR-008</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Clé d’accord écrite à l’enrôlement seulement, par une fonction de la base ; l’API perd le droit de la modifier (OP-N63)</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FR-009</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Certificat client délivré par l’autorité des terminaux, lié à la clé de signature, durée bornée, empreinte enregistrée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FR-010</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Jeton d’appareil de 15 minutes lié à la clé de signature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FR-011</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Rafraîchissement à rotation avec preuve de possession ; une représentation tolérée dans les 60 s par le même terminal ; toute autre réutilisation révoque la famille ; terminal suspendu ou révoqué refusé</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FR-012</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Trois preuves exigées ensemble sur toute route de terminal, liées au même terminal ; requête rejouée refusée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FR-013</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Identité réelle derrière la prise de la mission 4, sans modifier les routes ; faux non branché hors des tests (OP-N42)</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FR-014</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Statut, prestataire et affectation relus en base à chaque requête, jamais tirés du jeton ni du certificat</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FR-015</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Suspension avec motif (le terminal remonte ses lots, lit sa configuration, envoie son battement de cœur, mais n’autorise rien) et réactivation</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FR-016</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Révocation définitive avec motif : requêtes refusées, jetons révoqués, certificat refusé, serial libéré</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FR-017</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Liste filtrée et paginée, et fiche des terminaux du périmètre, sans aucun secret</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FR-018</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Configuration conforme à DeviceConfig, avec config_id et ETag ; parties des missions suivantes sous forme minimale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FR-019</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Battement de cœur : dernière présence mise à jour, heure serveur et ETag renvoyés, aucun numéro de séquence consommé</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FR-020</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Aucune table temporaire ne masque une table lue par une fonction privilégiée (OP-N59)</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FR-021</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Fonctions d’API non exécutables par PUBLIC ; chaque rôle de base n’exécute que les siennes (OP-N44)</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FR-022</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Une lecture qui a confirmé un rattachement ne sert plus à consume_tap (OP-N50)</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FR-023</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Empreinte du registre d’idempotence impossible à recalculer à partir de la requête seule (OP-N54)</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FR-024</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Retrait d’une clé dédiée seulement par un travail RETIRE_KEY en cours ; demande approuvée mais expirée refusée (OP-N62)</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FR-025</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Ligne d’audit pour chaque code créé, enrôlement réussi ou refusé, changement de statut et famille de jetons révoquée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FR-026</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Routes de la mission au contrat d’API, trois preuves exigées, types TypeScript et Dart régénérés</w:t>
            </w:r>
          </w:p>
        </w:tc>
      </w:tr>
    </w:tbl>
    <w:p>
      <w:pPr>
        <w:pStyle w:val="Titre2"/>
      </w:pPr>
      <w:bookmarkStart w:id="10" w:name="_Toc10"/>
      <w:r>
        <w:t xml:space="preserve">5.2 Exigences non fonctionnelles (11)</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2800"/>
        <w:gridCol w:w="5638"/>
      </w:tblGrid>
      <w:tr>
        <w:trPr>
          <w:tblHeader/>
        </w:trPr>
        <w:tc>
          <w:tcPr>
            <w:tcW w:w="12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ID</w:t>
            </w:r>
          </w:p>
        </w:tc>
        <w:tc>
          <w:tcPr>
            <w:tcW w:w="2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Sujet</w:t>
            </w:r>
          </w:p>
        </w:tc>
        <w:tc>
          <w:tcPr>
            <w:tcW w:w="56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Seuil mesurable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NFR-001</w:t>
            </w:r>
          </w:p>
        </w:tc>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Aucun faux en production</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0 démarrage réussi en production sur 4 cas (faux d’identité, d’autorité, d’attestation, terminal de test), un test par faux</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NFR-002</w:t>
            </w:r>
          </w:p>
        </w:tc>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Aucune preuve seule ne suffit</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100 % des requêtes à qui manque une preuve, ou dont une preuve est fausse, expirée ou d’un autre terminal, refusées (matrice route × preuve)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NFR-003</w:t>
            </w:r>
          </w:p>
        </w:tc>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Effet immédiat de la révocation</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0 requête autorisée après une suspension ou une révocation, même avec un jeton encore valide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NFR-004</w:t>
            </w:r>
          </w:p>
        </w:tc>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Pas de rejeu</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0 requête signée acceptée deux fois ; horodatage hors tolérance refusé</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NFR-005</w:t>
            </w:r>
          </w:p>
        </w:tc>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Aucun secret en clair au repos</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0 code d’enrôlement et 0 jeton en clair dans la base, les journaux, l’audit et les erreurs</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NFR-006</w:t>
            </w:r>
          </w:p>
        </w:tc>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Pas d’énumération des codes</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Code inconnu et code déjà utilisé : même statut, même corps, écart de temps médian &lt; 20 ms sur 200 essais de chaque sorte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NFR-007</w:t>
            </w:r>
          </w:p>
        </w:tc>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Isolation entre prestataires</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0 terminal ou code d’un autre prestataire lisible ou modifiable, sur chaque route et chaque nouvelle table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NFR-008</w:t>
            </w:r>
          </w:p>
        </w:tc>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Concurrence</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20 enrôlements simultanés sur un code : exactement 1 réussite ; 20 rafraîchissements arrivés pendant la rotation du premier : 1 réussite, les autres 409 IN_PROGRESS sans révocation</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NFR-009</w:t>
            </w:r>
          </w:p>
        </w:tc>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Latence</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Trois preuves : p95 ≤ 20 ms ajoutés par requête ; enrôlement p95 ≤ 1 s ; configuration et battement de cœur p95 ≤ 200 ms</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NFR-010</w:t>
            </w:r>
          </w:p>
        </w:tc>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Dettes levées prouvées</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Chacune des 6 dettes de la base et OP-N42 a au moins un test qui échouait avant la mission et passe après</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NFR-011</w:t>
            </w:r>
          </w:p>
        </w:tc>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Tests existants verts</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Suites de la base, tests des missions 1 à 4 et rejeu du scénario verts en CI à chaque commit</w:t>
            </w:r>
          </w:p>
        </w:tc>
      </w:tr>
    </w:tbl>
    <w:p>
      <w:pPr>
        <w:pStyle w:val="Titre2"/>
      </w:pPr>
      <w:bookmarkStart w:id="11" w:name="_Toc11"/>
      <w:r>
        <w:t xml:space="preserve">5.3 Contraintes (12)</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8438"/>
      </w:tblGrid>
      <w:tr>
        <w:trPr>
          <w:tblHeader/>
        </w:trPr>
        <w:tc>
          <w:tcPr>
            <w:tcW w:w="12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ID</w:t>
            </w:r>
          </w:p>
        </w:tc>
        <w:tc>
          <w:tcPr>
            <w:tcW w:w="8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Contrainte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C-001</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Les fonctions de la base font les règles (enrôlement, serial, statut, clé d’accord) ; l’API les appelle sans les réécrire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C-002</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Aucun fichier .sql généré du kit modifié à la main ; ajouts et corrections par migration et par les générateurs</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C-003</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Trois preuves exigées ensemble ; la contradiction avec §10.3 et le contrat est signalée, le contrat mis à jour dans le sens le plus sûr</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C-004</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Pas d’adaptateur AWS : autorité des terminaux et service de clés derrière des prises avec des faux, refusés en production</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C-005</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Pas d’encaissement (mission 5b)</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C-006</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Pas de hors ligne ni d’application du terminal ; un terminal de test, interdit en production, sert aux tests</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C-007</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Pas d’outil de gestion de flotte ni d’effacement à distance (ADR-69)</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C-008</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Contrat d’abord : toute route est décrite avant d’être servie ; types générés</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C-009</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Aucun écran</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C-010</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Pas de droit INSERT rouvert sur tag_key_job : travaux créés par les fonctions de la migration 0020 seulement</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C-011</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Tout écart qui affaiblit la sécurité est soumis au porteur avant d’être codé</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C-012</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Chaque dette de sécurité acceptée est nommée, gardée par un test et reportée à la mission qui la lève</w:t>
            </w:r>
          </w:p>
        </w:tc>
      </w:tr>
    </w:tbl>
    <w:p>
      <w:pPr>
        <w:pStyle w:val="Titre1"/>
      </w:pPr>
      <w:bookmarkStart w:id="12" w:name="_Toc12"/>
      <w:r>
        <w:t xml:space="preserve">6. Architecture retenue</w:t>
      </w:r>
      <w:bookmarkEnd w:id="12"/>
    </w:p>
    <w:p>
      <w:pPr>
        <w:pStyle w:val="Titre2"/>
      </w:pPr>
      <w:bookmarkStart w:id="13" w:name="_Toc13"/>
      <w:r>
        <w:t xml:space="preserve">6.1 Composants</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638"/>
      </w:tblGrid>
      <w:tr>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Composant</w:t>
            </w:r>
          </w:p>
        </w:tc>
        <w:tc>
          <w:tcPr>
            <w:tcW w:w="66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Rôle</w:t>
            </w:r>
          </w:p>
        </w:tc>
      </w:tr>
      <w:t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packages/ledger-sql</w:t>
            </w:r>
          </w:p>
        </w:tc>
        <w:tc>
          <w:tcPr>
            <w:tcW w:w="6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Migrations 0021 (search_path des fonctions privilégiées), 0022 (codes, enrôlement, statut, serial par prestataire), 0023 (jetons, familles, nonces, garde de statut), 0024 et 0026 (consume_tap), 0025 (retrait de clé), 0027 (audit de tous les refus d’enrôlement), 0029 (configuration servie durcie), 0030 (limites d’enrôlement atomiques) ; post-roles.sql (droits rôle par rôle, empreinte des codes illisible par l’API) ; gen_tests.py ; nouvelles suites pgTAP</w:t>
            </w:r>
          </w:p>
        </w:tc>
      </w:tr>
      <w:t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packages/contracts</w:t>
            </w:r>
          </w:p>
        </w:tc>
        <w:tc>
          <w:tcPr>
            <w:tcW w:w="6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Contrat complété : schéma deviceSignature, trois preuves dans une seule entrée de sécurité, 6 routes du back-office des terminaux, nouveaux codes d’erreur ; types TypeScript et Dart régénérés</w:t>
            </w:r>
          </w:p>
        </w:tc>
      </w:tr>
      <w:t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apps/api/src/processes, src/config</w:t>
            </w:r>
          </w:p>
        </w:tc>
        <w:tc>
          <w:tcPr>
            <w:tcW w:w="6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Processus HTTP en TLS 1.3 avec certificat client demandé ; aucune écoute en clair en production ; réglages de la mission</w:t>
            </w:r>
          </w:p>
        </w:tc>
      </w:tr>
      <w:t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apps/api/src/device-identity</w:t>
            </w:r>
          </w:p>
        </w:tc>
        <w:tc>
          <w:tcPr>
            <w:tcW w:w="6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Identité réelle : vérification des trois preuves, profil de signature des requêtes, magasin de nonces ; le faux reste pour les tests</w:t>
            </w:r>
          </w:p>
        </w:tc>
      </w:tr>
      <w:t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apps/api/src/device-ca, src/device-tokens</w:t>
            </w:r>
          </w:p>
        </w:tc>
        <w:tc>
          <w:tcPr>
            <w:tcW w:w="6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Prise de l’autorité des terminaux (certificat à partir de la demande) et prise du signataire des jetons, avec leurs faux</w:t>
            </w:r>
          </w:p>
        </w:tc>
      </w:tr>
      <w:t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apps/api/src/attestation</w:t>
            </w:r>
          </w:p>
        </w:tc>
        <w:tc>
          <w:tcPr>
            <w:tcW w:w="6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Vérificateurs Android et iOS, défis d’enrôlement, liste de révocation de Google en cache</w:t>
            </w:r>
          </w:p>
        </w:tc>
      </w:tr>
      <w:t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apps/api/src/devices</w:t>
            </w:r>
          </w:p>
        </w:tc>
        <w:tc>
          <w:tcPr>
            <w:tcW w:w="6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Routes : codes, enrôlement, rafraîchissement, configuration, battement de cœur, back-office</w:t>
            </w:r>
          </w:p>
        </w:tc>
      </w:tr>
      <w:t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apps/api/src/idempotency, src/enrollment-code</w:t>
            </w:r>
          </w:p>
        </w:tc>
        <w:tc>
          <w:tcPr>
            <w:tcW w:w="6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Empreinte à clé du registre d’idempotence (OP-N54) ; génération et empreinte du code d’enrôlement</w:t>
            </w:r>
          </w:p>
        </w:tc>
      </w:tr>
      <w:t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apps/api/src/kms/production-guard.ts</w:t>
            </w:r>
          </w:p>
        </w:tc>
        <w:tc>
          <w:tcPr>
            <w:tcW w:w="6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Garde de démarrage étendue à l’autorité, au signataire, à l’attestation et au terminal de test</w:t>
            </w:r>
          </w:p>
        </w:tc>
      </w:tr>
      <w:t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apps/api/test/support</w:t>
            </w:r>
          </w:p>
        </w:tc>
        <w:tc>
          <w:tcPr>
            <w:tcW w:w="6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Terminal de test (clés, attestations de test, demande de certificat, requêtes signées, connexion mTLS)</w:t>
            </w:r>
          </w:p>
        </w:tc>
      </w:tr>
    </w:tbl>
    <w:p>
      <w:pPr>
        <w:pStyle w:val="Titre2"/>
      </w:pPr>
      <w:bookmarkStart w:id="14" w:name="_Toc14"/>
      <w:r>
        <w:t xml:space="preserve">6.2 Les trois preuves par requête</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400"/>
        <w:gridCol w:w="3000"/>
        <w:gridCol w:w="2438"/>
      </w:tblGrid>
      <w:tr>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Preuve</w:t>
            </w:r>
          </w:p>
        </w:tc>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Où</w:t>
            </w:r>
          </w:p>
        </w:tc>
        <w:tc>
          <w:tcPr>
            <w:tcW w:w="30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Ce qu’elle prouve</w:t>
            </w:r>
          </w:p>
        </w:tc>
        <w:tc>
          <w:tcPr>
            <w:tcW w:w="2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Refus</w:t>
            </w:r>
          </w:p>
        </w:tc>
      </w:tr>
      <w:tr>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Certificat client</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Connexion TLS</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La connexion vient du terminal enrôlé : certificat de l’autorité des terminaux, non expiré, empreinte égale à celle enregistrée</w:t>
            </w:r>
          </w:p>
        </w:tc>
        <w:tc>
          <w:tcPr>
            <w:tcW w:w="2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401</w:t>
            </w:r>
          </w:p>
        </w:tc>
      </w:tr>
      <w:tr>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Jeton d’appareil</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En-tête Authorization</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 terminal s’est authentifié il y a moins de 15 minutes ; le jeton est lié à sa clé de signature et à une famille non révoquée</w:t>
            </w:r>
          </w:p>
        </w:tc>
        <w:tc>
          <w:tcPr>
            <w:tcW w:w="2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401</w:t>
            </w:r>
          </w:p>
        </w:tc>
      </w:tr>
      <w:tr>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Signature de la requête</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En-têtes Signature, Signature-Input, Content-Digest</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 contenu exact (méthode, hôte, chemin, corps, identifiants) vient de la clé du terminal ; un nonce à usage unique empêche le rejeu</w:t>
            </w:r>
          </w:p>
        </w:tc>
        <w:tc>
          <w:tcPr>
            <w:tcW w:w="2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401 DEVICE_SIGNATURE_INVALID</w:t>
            </w:r>
          </w:p>
        </w:tc>
      </w:tr>
    </w:tbl>
    <w:p>
      <w:pPr>
        <w:pStyle w:val="Paragraphedeliste"/>
        <w:numPr>
          <w:ilvl w:val="0"/>
          <w:numId w:val="2"/>
        </w:numPr>
        <w:spacing w:after="60"/>
      </w:pPr>
      <w:r>
        <w:t xml:space="preserve">Chaque preuve couvre un vol différent : un jeton seul se rejoue s’il fuit d’un journal ; un certificat seul ne lie pas le contenu ; la signature lie le contenu et empêche le rejeu.</w:t>
      </w:r>
    </w:p>
    <w:p>
      <w:pPr>
        <w:pStyle w:val="Paragraphedeliste"/>
        <w:numPr>
          <w:ilvl w:val="0"/>
          <w:numId w:val="2"/>
        </w:numPr>
        <w:spacing w:after="60"/>
      </w:pPr>
      <w:r>
        <w:t xml:space="preserve">Les contrôles suivent un ordre fixé ; le premier échec arrête. Rien n’est écrit avant la vérification des trois preuves, puis le nonce est consommé à l’heure de la base.</w:t>
      </w:r>
    </w:p>
    <w:p>
      <w:pPr>
        <w:pStyle w:val="Paragraphedeliste"/>
        <w:numPr>
          <w:ilvl w:val="0"/>
          <w:numId w:val="2"/>
        </w:numPr>
        <w:spacing w:after="60"/>
      </w:pPr>
      <w:r>
        <w:t xml:space="preserve">Une horloge du terminal hors tolérance (300 s au plus) donne 400 CLOCK_SKEW_TOO_LARGE avec l’heure serveur, pour que le terminal se recale.</w:t>
      </w:r>
    </w:p>
    <w:p>
      <w:pPr>
        <w:pStyle w:val="Paragraphedeliste"/>
        <w:numPr>
          <w:ilvl w:val="0"/>
          <w:numId w:val="2"/>
        </w:numPr>
        <w:spacing w:after="60"/>
      </w:pPr>
      <w:r>
        <w:t xml:space="preserve">Le statut est vérifié en dernier : REVOKED donne 403 DEVICE_REVOKED, SUSPENDED donne 403 DEVICE_SUSPENDED, sauf sur la configuration et le battement de cœur. Toute écriture relit le statut dans sa propre transaction.</w:t>
      </w:r>
    </w:p>
    <w:p>
      <w:pPr>
        <w:pStyle w:val="Paragraphedeliste"/>
        <w:numPr>
          <w:ilvl w:val="0"/>
          <w:numId w:val="2"/>
        </w:numPr>
        <w:spacing w:after="60"/>
      </w:pPr>
      <w:r>
        <w:t xml:space="preserve">Une réponse d’échec ne dit pas quelle preuve a échoué ; la raison va au journal technique, sans jeton, signature ni certificat complet.</w:t>
      </w:r>
    </w:p>
    <w:p>
      <w:pPr>
        <w:pStyle w:val="Titre2"/>
      </w:pPr>
      <w:bookmarkStart w:id="15" w:name="_Toc15"/>
      <w:r>
        <w:t xml:space="preserve">6.3 Chaîne d’un enrôlement</w:t>
      </w:r>
      <w:bookmarkEnd w:id="15"/>
    </w:p>
    <w:p>
      <w:pPr>
        <w:pStyle w:val="Paragraphedeliste"/>
        <w:numPr>
          <w:ilvl w:val="0"/>
          <w:numId w:val="2"/>
        </w:numPr>
        <w:spacing w:after="60"/>
      </w:pPr>
      <w:r>
        <w:t xml:space="preserve">L’administrateur crée le code (12 caractères, 24 h par défaut) ; le serveur n’en garde qu’une empreinte à clé.</w:t>
      </w:r>
    </w:p>
    <w:p>
      <w:pPr>
        <w:pStyle w:val="Paragraphedeliste"/>
        <w:numPr>
          <w:ilvl w:val="0"/>
          <w:numId w:val="2"/>
        </w:numPr>
        <w:spacing w:after="60"/>
      </w:pPr>
      <w:r>
        <w:t xml:space="preserve">Le terminal scanne le code, puis seulement génère ses clés : le défi d’attestation contient le code et le serial (et, sur Android, la clé d’accord dans le défi de la clé de signature).</w:t>
      </w:r>
    </w:p>
    <w:p>
      <w:pPr>
        <w:pStyle w:val="Paragraphedeliste"/>
        <w:numPr>
          <w:ilvl w:val="0"/>
          <w:numId w:val="2"/>
        </w:numPr>
        <w:spacing w:after="60"/>
      </w:pPr>
      <w:r>
        <w:t xml:space="preserve">Le serveur vérifie le corps et les clés, puis le code (inconnu ou utilisé : même réponse), le mode, les défis, l’attestation et la demande de certificat. Un échec à ces étapes ne consomme pas le code ; les essais sont limités à 10 par code et 30 par adresse, par heure.</w:t>
      </w:r>
    </w:p>
    <w:p>
      <w:pPr>
        <w:pStyle w:val="Paragraphedeliste"/>
        <w:numPr>
          <w:ilvl w:val="0"/>
          <w:numId w:val="2"/>
        </w:numPr>
        <w:spacing w:after="60"/>
      </w:pPr>
      <w:r>
        <w:t xml:space="preserve">L’autorité des terminaux émet le certificat client (365 jours par défaut) ; un jeton de rafraîchissement est tiré.</w:t>
      </w:r>
    </w:p>
    <w:p>
      <w:pPr>
        <w:pStyle w:val="Paragraphedeliste"/>
        <w:numPr>
          <w:ilvl w:val="0"/>
          <w:numId w:val="2"/>
        </w:numPr>
        <w:spacing w:after="60"/>
      </w:pPr>
      <w:r>
        <w:t xml:space="preserve">La fonction de la base enroll_device, en une transaction, verrouille le code, refuse un serial actif du même prestataire, crée le terminal, écrit sa clé d’accord, consomme le code et crée la famille de jetons.</w:t>
      </w:r>
    </w:p>
    <w:p>
      <w:pPr>
        <w:pStyle w:val="Paragraphedeliste"/>
        <w:numPr>
          <w:ilvl w:val="0"/>
          <w:numId w:val="2"/>
        </w:numPr>
        <w:spacing w:after="60"/>
      </w:pPr>
      <w:r>
        <w:t xml:space="preserve">Le terminal reçoit son identifiant, son certificat, son jeton d’appareil, son jeton de rafraîchissement et son premier numéro de séquence.</w:t>
      </w:r>
    </w:p>
    <w:p>
      <w:pPr>
        <w:spacing w:after="120"/>
      </w:pPr>
      <w:r>
        <w:t xml:space="preserve">Les cinq schémas de la mission (un diagramme de cas d’usage, quatre séquences : enrôlement, requête d’un terminal, rafraîchissement, révocation) sont dans kitty-specs/identite-enrolement-terminaux-01M52R6H/docs/diagrams/.</w:t>
      </w:r>
    </w:p>
    <w:p>
      <w:pPr>
        <w:pStyle w:val="Titre2"/>
      </w:pPr>
      <w:bookmarkStart w:id="16" w:name="_Toc16"/>
      <w:r>
        <w:t xml:space="preserve">6.4 Décisions d’architecture</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3400"/>
        <w:gridCol w:w="2638"/>
      </w:tblGrid>
      <w:tr>
        <w:trPr>
          <w:tblHeader/>
        </w:trPr>
        <w:tc>
          <w:tcPr>
            <w:tcW w:w="36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Décision</w:t>
            </w:r>
          </w:p>
        </w:tc>
        <w:tc>
          <w:tcPr>
            <w:tcW w:w="3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Justification</w:t>
            </w:r>
          </w:p>
        </w:tc>
        <w:tc>
          <w:tcPr>
            <w:tcW w:w="26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Alternative écartée</w:t>
            </w:r>
          </w:p>
        </w:tc>
      </w:tr>
      <w:tr>
        <w:tc>
          <w:tcPr>
            <w:tcW w:w="3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Certificat client vérifié dans les processus Node</w:t>
            </w:r>
          </w:p>
        </w:tc>
        <w:tc>
          <w:tcPr>
            <w:tcW w:w="3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 mTLS ne dépend pas du réglage d’un répartiteur</w:t>
            </w:r>
          </w:p>
        </w:tc>
        <w:tc>
          <w:tcPr>
            <w:tcW w:w="2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Terminaison au répartiteur, certificat passé en en-tête</w:t>
            </w:r>
          </w:p>
        </w:tc>
      </w:tr>
      <w:tr>
        <w:tc>
          <w:tcPr>
            <w:tcW w:w="3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Signature des requêtes selon un profil restreint de RFC 9421</w:t>
            </w:r>
          </w:p>
        </w:tc>
        <w:tc>
          <w:tcPr>
            <w:tcW w:w="3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Format normalisé, avec des bibliothèques pour l’app ; couvre méthode, chemin et corps</w:t>
            </w:r>
          </w:p>
        </w:tc>
        <w:tc>
          <w:tcPr>
            <w:tcW w:w="2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Format maison ; signature détachée du seul corps</w:t>
            </w:r>
          </w:p>
        </w:tc>
      </w:tr>
      <w:tr>
        <w:tc>
          <w:tcPr>
            <w:tcW w:w="3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Nonces dans une table de la base</w:t>
            </w:r>
          </w:p>
        </w:tc>
        <w:tc>
          <w:tcPr>
            <w:tcW w:w="3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Plusieurs processus et instances partagent le refus du rejeu</w:t>
            </w:r>
          </w:p>
        </w:tc>
        <w:tc>
          <w:tcPr>
            <w:tcW w:w="2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Cache en mémoire : rejeu possible sur une autre instance</w:t>
            </w:r>
          </w:p>
        </w:tc>
      </w:tr>
      <w:tr>
        <w:tc>
          <w:tcPr>
            <w:tcW w:w="3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Jeton d’appareil JWT ES256 lié à la clé ; jeton de rafraîchissement aléatoire de 256 bits, seule son empreinte gardée</w:t>
            </w:r>
          </w:p>
        </w:tc>
        <w:tc>
          <w:tcPr>
            <w:tcW w:w="3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Pas de secret partagé ; une famille révoquée invalide aussitôt ses jetons</w:t>
            </w:r>
          </w:p>
        </w:tc>
        <w:tc>
          <w:tcPr>
            <w:tcW w:w="2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Jeton opaque en base (contraire au contrat) ; HMAC à clé partagée</w:t>
            </w:r>
          </w:p>
        </w:tc>
      </w:tr>
      <w:tr>
        <w:tc>
          <w:tcPr>
            <w:tcW w:w="3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Verrou par famille de jetons pendant la rotation et la révocation</w:t>
            </w:r>
          </w:p>
        </w:tc>
        <w:tc>
          <w:tcPr>
            <w:tcW w:w="3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Une révocation voit toujours le jeton créé par un échange concurrent</w:t>
            </w:r>
          </w:p>
        </w:tc>
        <w:tc>
          <w:tcPr>
            <w:tcW w:w="2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Verrou du seul jeton présenté (défaut trouvé à la relecture de WP04)</w:t>
            </w:r>
          </w:p>
        </w:tc>
      </w:tr>
      <w:tr>
        <w:tc>
          <w:tcPr>
            <w:tcW w:w="3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Défi d’attestation tiré du code d’enrôlement</w:t>
            </w:r>
          </w:p>
        </w:tc>
        <w:tc>
          <w:tcPr>
            <w:tcW w:w="3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 code apporte la fraîcheur sans aller-retour de plus</w:t>
            </w:r>
          </w:p>
        </w:tc>
        <w:tc>
          <w:tcPr>
            <w:tcW w:w="2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Route de défi servie par le serveur</w:t>
            </w:r>
          </w:p>
        </w:tc>
      </w:tr>
      <w:tr>
        <w:tc>
          <w:tcPr>
            <w:tcW w:w="3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Deux prises nouvelles (autorité des terminaux, signataire des jetons)</w:t>
            </w:r>
          </w:p>
        </w:tc>
        <w:tc>
          <w:tcPr>
            <w:tcW w:w="3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Clés de signature hors du code et de l’environnement (§13.2)</w:t>
            </w:r>
          </w:p>
        </w:tc>
        <w:tc>
          <w:tcPr>
            <w:tcW w:w="2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Clés dans l’environnement</w:t>
            </w:r>
          </w:p>
        </w:tc>
      </w:tr>
      <w:tr>
        <w:tc>
          <w:tcPr>
            <w:tcW w:w="3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Trois dépendances d’analyse (ASN.1, CBOR, en-têtes structurés), versions épinglées</w:t>
            </w:r>
          </w:p>
        </w:tc>
        <w:tc>
          <w:tcPr>
            <w:tcW w:w="3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Écrire ces analyseurs à la main est plus risqué sur du code de sécurité</w:t>
            </w:r>
          </w:p>
        </w:tc>
        <w:tc>
          <w:tcPr>
            <w:tcW w:w="2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Analyseurs maison</w:t>
            </w:r>
          </w:p>
        </w:tc>
      </w:tr>
      <w:tr>
        <w:tc>
          <w:tcPr>
            <w:tcW w:w="3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Empreintes à clé (HMAC-SHA256, secret hors de la base) pour le registre d’idempotence et le code d’enrôlement</w:t>
            </w:r>
          </w:p>
        </w:tc>
        <w:tc>
          <w:tcPr>
            <w:tcW w:w="3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Une fuite de la base ne permet pas de retrouver un code par essais</w:t>
            </w:r>
          </w:p>
        </w:tc>
        <w:tc>
          <w:tcPr>
            <w:tcW w:w="2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SHA-256 simple ; exclusion des champs secrets</w:t>
            </w:r>
          </w:p>
        </w:tc>
      </w:tr>
    </w:tbl>
    <w:p>
      <w:pPr>
        <w:pStyle w:val="Titre1"/>
      </w:pPr>
      <w:bookmarkStart w:id="17" w:name="_Toc17"/>
      <w:r>
        <w:t xml:space="preserve">7. Points d’attention et contradictions</w:t>
      </w:r>
      <w:bookmarkEnd w:id="17"/>
    </w:p>
    <w:p>
      <w:pPr>
        <w:pStyle w:val="Titre2"/>
      </w:pPr>
      <w:bookmarkStart w:id="18" w:name="_Toc18"/>
      <w:r>
        <w:t xml:space="preserve">7.1 Dettes de sécurité acceptées</w:t>
      </w:r>
      <w:bookmarkEnd w:id="18"/>
    </w:p>
    <w:p>
      <w:pPr>
        <w:spacing w:after="120"/>
      </w:pPr>
      <w:r>
        <w:t xml:space="preserve">Chaque écart accepté est consigné dans docs/POINTS_OUVERTS.md et docs/DECISIONS_ADR.md, avec son risque, la mission qui le lève et la condition de levée. Un seul bloque la production : OP-N73 (autorité et signataire sans adaptateur réel). Pour OP-N68 et OP-N69, la réponse « bloque la production » attend encore le porteur.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4000"/>
        <w:gridCol w:w="4438"/>
      </w:tblGrid>
      <w:tr>
        <w:trPr>
          <w:tblHeader/>
        </w:trPr>
        <w:tc>
          <w:tcPr>
            <w:tcW w:w="12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Point</w:t>
            </w:r>
          </w:p>
        </w:tc>
        <w:tc>
          <w:tcPr>
            <w:tcW w:w="40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Dette</w:t>
            </w:r>
          </w:p>
        </w:tc>
        <w:tc>
          <w:tcPr>
            <w:tcW w:w="4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Garde en place et levée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OP-N64 (ADR-106)</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Sur iOS, la clé de signature du terminal n’est pas attestée : App Attest n’atteste que sa propre clé</w:t>
            </w:r>
          </w:p>
        </w:tc>
        <w:tc>
          <w:tcPr>
            <w:tcW w:w="4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Défi qui couvre le code, le serial et les deux clés ; un iPhone n’a jamais le NFC ni le mot de passe d’un bracelet (test) ; levée par la mission 12</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OP-N65 (ADR-108)</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Un jeton de rafraîchissement consommé est accepté une fois dans les 60 s par le même terminal</w:t>
            </w:r>
          </w:p>
        </w:tc>
        <w:tc>
          <w:tcPr>
            <w:tcW w:w="4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mTLS et preuve de possession exigés ; seconde représentation, plus de 60 s ou autre certificat : famille révoquée (test) ; réexamen en mission 13</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OP-N67 (ADR-110)</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Android : l’identité de l’app (attestationApplicationId) est lue dans la liste logicielle, seul champ lu là</w:t>
            </w:r>
          </w:p>
        </w:tc>
        <w:tc>
          <w:tcPr>
            <w:tcW w:w="4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Clé générée dans le matériel, démarrage vérifié, appareil verrouillé et niveaux de correctifs lus dans la liste matérielle ; test qui échoue si un autre champ est lu dans la liste logicielle ; réexamen en mission 13</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OP-N73 (ADR-119)</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L’autorité des terminaux et le signataire des jetons d’appareil n’existent qu’en faux</w:t>
            </w:r>
          </w:p>
        </w:tc>
        <w:tc>
          <w:tcPr>
            <w:tcW w:w="4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Refus de démarrer en production ; bloque la production ; levée par la mission 7, avec le service de clés</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OP-N68 (ADR-111)</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Une fonction créée hors de migrate.ts reste exécutable par PUBLIC jusqu’au rejeu des droits</w:t>
            </w:r>
          </w:p>
        </w:tc>
        <w:tc>
          <w:tcPr>
            <w:tcW w:w="4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Droits rejoués dans la transaction des migrations ; levée par la mission 7 (droit par défaut)</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OP-N69 (ADR-112)</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L’API écrit encore directement la numérotation, la présence et l’affectation d’un terminal</w:t>
            </w:r>
          </w:p>
        </w:tc>
        <w:tc>
          <w:tcPr>
            <w:tcW w:w="4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Colonnes nommées une à une, test de la liste exacte ; levée par la mission 7</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OP-N72</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Aucune limite en amont de l’enrôlement ; la chaîne d’audit de la plateforme est sollicitée par les refus</w:t>
            </w:r>
          </w:p>
        </w:tc>
        <w:tc>
          <w:tcPr>
            <w:tcW w:w="4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Limites atomiques sur les refus (ADR-117) ; levée par la mission 13</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OP-N74 (ADR-120)</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Un code peut viser un événement clos ou un point de vente supprimé</w:t>
            </w:r>
          </w:p>
        </w:tc>
        <w:tc>
          <w:tcPr>
            <w:tcW w:w="4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Ne bloque pas la production ; levée par la mission 5b</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OP-N75 (ADR-114)</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Les purges des nonces et des essais d’enrôlement sont exécutées par l’API publique</w:t>
            </w:r>
          </w:p>
        </w:tc>
        <w:tc>
          <w:tcPr>
            <w:tcW w:w="4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Lignes expirées seulement, fenêtre bornée par un test ; levée par la mission 7</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OP-N56 (ADR-105)</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La base croit l’API pour l’auteur et les preuves d’un enrôlement</w:t>
            </w:r>
          </w:p>
        </w:tc>
        <w:tc>
          <w:tcPr>
            <w:tcW w:w="4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Barrière réelle hors de la base (autorité, signataire) ; empreinte des codes illisible par l’API depuis le correctif post-fusion ; levée par la mission 11</w:t>
            </w:r>
          </w:p>
        </w:tc>
      </w:tr>
    </w:tbl>
    <w:p>
      <w:pPr>
        <w:spacing w:after="120"/>
      </w:pPr>
      <w:r>
        <w:t xml:space="preserve">Les dettes héritées de la mission 4 sont toutes levées, chacune avec son test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4000"/>
        <w:gridCol w:w="4438"/>
      </w:tblGrid>
      <w:tr>
        <w:trPr>
          <w:tblHeader/>
        </w:trPr>
        <w:tc>
          <w:tcPr>
            <w:tcW w:w="12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Point</w:t>
            </w:r>
          </w:p>
        </w:tc>
        <w:tc>
          <w:tcPr>
            <w:tcW w:w="40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Dette</w:t>
            </w:r>
          </w:p>
        </w:tc>
        <w:tc>
          <w:tcPr>
            <w:tcW w:w="4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Où en est la levée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OP-N42</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L’identité du terminal est un faux qui croit des en-têtes (bloque la production)</w:t>
            </w:r>
          </w:p>
        </w:tc>
        <w:tc>
          <w:tcPr>
            <w:tcW w:w="4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Levée (lot 12) : trois preuves derrière la prise ; faux réservé aux tests</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OP-N59</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Fonctions privilégiées sans pg_temp dans leur search_path (bloque la production)</w:t>
            </w:r>
          </w:p>
        </w:tc>
        <w:tc>
          <w:tcPr>
            <w:tcW w:w="4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Levée : migration 0021 (lot 2) et retrait du droit TEMPORARY (lot 7)</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OP-N44</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Les rôles des processus des clés héritent de PUBLIC le droit d’exécuter les fonctions d’API</w:t>
            </w:r>
          </w:p>
        </w:tc>
        <w:tc>
          <w:tcPr>
            <w:tcW w:w="4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Levée (lot 7) : chaque rôle n’exécute que ses fonctions</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OP-N50</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consume_tap accepte une lecture qui a confirmé un rattachement</w:t>
            </w:r>
          </w:p>
        </w:tc>
        <w:tc>
          <w:tcPr>
            <w:tcW w:w="4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Migration 0024 faite (lot 5) ; complément de droits au lot 7 ; consignation au lot 18</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OP-N54</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Empreinte de requête sans clé au registre d’idempotence</w:t>
            </w:r>
          </w:p>
        </w:tc>
        <w:tc>
          <w:tcPr>
            <w:tcW w:w="4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Levée : empreinte à clé (lot 13), personnalisation et purge des anciennes lignes (lot 18)</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OP-N62</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Retrait d’une clé dédiée sans travail en cours ; demande approuvée mais expirée acceptée</w:t>
            </w:r>
          </w:p>
        </w:tc>
        <w:tc>
          <w:tcPr>
            <w:tcW w:w="4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Levée : migration 0025 (lot 6) et retrait du droit direct (lot 7)</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OP-N63</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L’API peut réécrire la clé d’accord d’un terminal (bloque la production)</w:t>
            </w:r>
          </w:p>
        </w:tc>
        <w:tc>
          <w:tcPr>
            <w:tcW w:w="4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Levée : écriture par enroll_device (lot 3) et retrait des droits de l’API (lot 7)</w:t>
            </w:r>
          </w:p>
        </w:tc>
      </w:tr>
    </w:tbl>
    <w:p>
      <w:pPr>
        <w:pStyle w:val="Titre2"/>
      </w:pPr>
      <w:bookmarkStart w:id="19" w:name="_Toc19"/>
      <w:r>
        <w:t xml:space="preserve">7.2 Résultat de l’analyse de cohérence</w:t>
      </w:r>
      <w:bookmarkEnd w:id="19"/>
    </w:p>
    <w:p>
      <w:pPr>
        <w:spacing w:after="120"/>
      </w:pPr>
      <w:r>
        <w:t xml:space="preserve">Premier passage (19 octobre) : bloquée, pour un point élevé et sept autres. La configuration du contrat exige un événement, alors qu’un code pouvait n’en viser aucun : un terminal sans événement n’aurait jamais reçu sa configuration. Le porteur a tranché (événement obligatoire) ; les autres écarts (numéros des migrations, borne iOS et routes de la mission 4, propriétaire de la table des erreurs, signatures de fonctions, couverture de tests) ont été corrigés. Deuxième passage : prête, aucun constat. Troisième passage (20 octobre, après la précision de NFR-008) : prête, avec deux écarts mineurs à corriger en un seul lot : data-model.md ne cite pas le verrou de famille de WP04, et une même réponse porte deux noms (IN_PROGRESS dans la fonction, 409 CONFLICT_STATE dans le contrat).</w:t>
      </w:r>
    </w:p>
    <w:p>
      <w:pPr>
        <w:pStyle w:val="Titre2"/>
      </w:pPr>
      <w:bookmarkStart w:id="20" w:name="_Toc20"/>
      <w:r>
        <w:t xml:space="preserve">7.3 Constats pendant l’implémentation</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4800"/>
        <w:gridCol w:w="4238"/>
      </w:tblGrid>
      <w:tr>
        <w:trPr>
          <w:tblHeader/>
        </w:trPr>
        <w:tc>
          <w:tcPr>
            <w:tcW w:w="6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N°</w:t>
            </w:r>
          </w:p>
        </w:tc>
        <w:tc>
          <w:tcPr>
            <w:tcW w:w="4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Constat</w:t>
            </w:r>
          </w:p>
        </w:tc>
        <w:tc>
          <w:tcPr>
            <w:tcW w:w="42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Décision</w:t>
            </w:r>
          </w:p>
        </w:tc>
      </w:tr>
      <w:t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1</w:t>
            </w:r>
          </w:p>
        </w:tc>
        <w:tc>
          <w:tcPr>
            <w:tcW w:w="4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Les fonctions d’enrôlement lisent des tables isolées par prestataire alors qu’aucun prestataire n’est connu de la session (relecture de WP03)</w:t>
            </w:r>
          </w:p>
        </w:tc>
        <w:tc>
          <w:tcPr>
            <w:tcW w:w="4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Hypothèse « le propriétaire des fonctions ignore l’isolation » acceptée par le porteur, figée par un test au lot 7 ; étendue le 20/10 à rotate_device_refresh_token et purge_device_request_nonces</w:t>
            </w:r>
          </w:p>
        </w:tc>
      </w:tr>
      <w:t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w:t>
            </w:r>
          </w:p>
        </w:tc>
        <w:tc>
          <w:tcPr>
            <w:tcW w:w="4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Un code invalide présenté avec un serial déjà actif : quel refus donner ?</w:t>
            </w:r>
          </w:p>
        </w:tc>
        <w:tc>
          <w:tcPr>
            <w:tcW w:w="4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Refus du code, jamais 409 (porteur, 19/10)</w:t>
            </w:r>
          </w:p>
        </w:tc>
      </w:tr>
      <w:t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3</w:t>
            </w:r>
          </w:p>
        </w:tc>
        <w:tc>
          <w:tcPr>
            <w:tcW w:w="4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Une révocation de famille pouvait manquer le jeton créé par un échange concurrent : un jeton volé gardait l’accès (relecture de WP04)</w:t>
            </w:r>
          </w:p>
        </w:tc>
        <w:tc>
          <w:tcPr>
            <w:tcW w:w="4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Verrou par famille, niveau d’isolation READ COMMITTED exigé (renforcement)</w:t>
            </w:r>
          </w:p>
        </w:tc>
      </w:tr>
      <w:t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4</w:t>
            </w:r>
          </w:p>
        </w:tc>
        <w:tc>
          <w:tcPr>
            <w:tcW w:w="4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NFR-008 (une seule réussite sur 20 rafraîchissements) contredisait la grâce de 60 s</w:t>
            </w:r>
          </w:p>
        </w:tc>
        <w:tc>
          <w:tcPr>
            <w:tcW w:w="4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NFR-008 précisé : requêtes arrivées pendant la rotation → 409 IN_PROGRESS sans révocation (porteur, 20/10)</w:t>
            </w:r>
          </w:p>
        </w:tc>
      </w:tr>
      <w:t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5</w:t>
            </w:r>
          </w:p>
        </w:tc>
        <w:tc>
          <w:tcPr>
            <w:tcW w:w="4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Les fonctions de lecture d’un bracelet et d’écriture comptable du schéma ne contrôlent pas le statut du terminal</w:t>
            </w:r>
          </w:p>
        </w:tc>
        <w:tc>
          <w:tcPr>
            <w:tcW w:w="4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Appel de assert_device_active obligatoire avant elles, dans un ordre fixé pour éviter un interblocage ; reporté aux lots 12 et 15</w:t>
            </w:r>
          </w:p>
        </w:tc>
      </w:tr>
      <w:t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6</w:t>
            </w:r>
          </w:p>
        </w:tc>
        <w:tc>
          <w:tcPr>
            <w:tcW w:w="4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La purge des nonces n’avait aucun appelant prévu</w:t>
            </w:r>
          </w:p>
        </w:tc>
        <w:tc>
          <w:tcPr>
            <w:tcW w:w="4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Branchement confié au lot 12</w:t>
            </w:r>
          </w:p>
        </w:tc>
      </w:tr>
      <w:t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7</w:t>
            </w:r>
          </w:p>
        </w:tc>
        <w:tc>
          <w:tcPr>
            <w:tcW w:w="4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Une écriture et une demande de rattachement concurrentes pouvaient utiliser la même lecture (défaut antérieur) ; l’API peut encore écrire le lien d’une demande directement</w:t>
            </w:r>
          </w:p>
        </w:tc>
        <w:tc>
          <w:tcPr>
            <w:tcW w:w="4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Verrou par lecture (renforcement, lot 5) ; retrait du droit direct au lot 7 ; pas d’extension dblink : test à deux connexions en Jest au lot 18</w:t>
            </w:r>
          </w:p>
        </w:tc>
      </w:tr>
      <w:t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8</w:t>
            </w:r>
          </w:p>
        </w:tc>
        <w:tc>
          <w:tcPr>
            <w:tcW w:w="4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Sur les vrais appareils Android, l’identité de l’app est écrite dans la liste logicielle : la lecture stricte refuserait tout terminal</w:t>
            </w:r>
          </w:p>
        </w:tc>
        <w:tc>
          <w:tcPr>
            <w:tcW w:w="4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Écart accepté par le porteur : OP-N67, ADR-110</w:t>
            </w:r>
          </w:p>
        </w:tc>
      </w:tr>
      <w:t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9</w:t>
            </w:r>
          </w:p>
        </w:tc>
        <w:tc>
          <w:tcPr>
            <w:tcW w:w="4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Android : liste de révocation jugée fraîche si l’horloge recule ; deux chaînes possibles de deux appareils différents (relecture de WP10)</w:t>
            </w:r>
          </w:p>
        </w:tc>
        <w:tc>
          <w:tcPr>
            <w:tcW w:w="4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Refus fermé quand l’horloge recule ; même appareil exigé pour les deux clés (renforcements)</w:t>
            </w:r>
          </w:p>
        </w:tc>
      </w:tr>
      <w:t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10</w:t>
            </w:r>
          </w:p>
        </w:tc>
        <w:tc>
          <w:tcPr>
            <w:tcW w:w="4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iOS : R-06 et R-08 semblaient demander de hacher deux fois le défi</w:t>
            </w:r>
          </w:p>
        </w:tc>
        <w:tc>
          <w:tcPr>
            <w:tcW w:w="4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Pas de vraie contradiction : un seul hachage (relecture de WP11)</w:t>
            </w:r>
          </w:p>
        </w:tc>
      </w:tr>
      <w:t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11</w:t>
            </w:r>
          </w:p>
        </w:tc>
        <w:tc>
          <w:tcPr>
            <w:tcW w:w="4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 préfixe h1: prévu pour l’empreinte d’idempotence est interdit par une contrainte de la migration 0002</w:t>
            </w:r>
          </w:p>
        </w:tc>
        <w:tc>
          <w:tcPr>
            <w:tcW w:w="4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HMAC-SHA256 en hexadécimal sur 64 caractères, sans préfixe (porteur, 20/10)</w:t>
            </w:r>
          </w:p>
        </w:tc>
      </w:tr>
      <w:t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12</w:t>
            </w:r>
          </w:p>
        </w:tc>
        <w:tc>
          <w:tcPr>
            <w:tcW w:w="4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L’empreinte de la personnalisation reste un SHA-256 sans clé ; les lignes écrites avant WP13 n’ont pas de clé</w:t>
            </w:r>
          </w:p>
        </w:tc>
        <w:tc>
          <w:tcPr>
            <w:tcW w:w="4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Passage sous clé et purge avant la mise en production, au lot 18, avant de déclarer OP-N54 levé</w:t>
            </w:r>
          </w:p>
        </w:tc>
      </w:tr>
      <w:t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13</w:t>
            </w:r>
          </w:p>
        </w:tc>
        <w:tc>
          <w:tcPr>
            <w:tcW w:w="4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L’import du fichier de l’imprimeur ralentit avec 100 000 bracelets en base (défaut de la mission 4)</w:t>
            </w:r>
          </w:p>
        </w:tc>
        <w:tc>
          <w:tcPr>
            <w:tcW w:w="4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Point ouvert OP-N66, hors mission (porteur, 19/10)</w:t>
            </w:r>
          </w:p>
        </w:tc>
      </w:tr>
      <w:t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14</w:t>
            </w:r>
          </w:p>
        </w:tc>
        <w:tc>
          <w:tcPr>
            <w:tcW w:w="4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data-model.md décrit la clé d’accord en point de 65 octets, la prise en SPKI : iOS hache les octets reçus tels quels</w:t>
            </w:r>
          </w:p>
        </w:tc>
        <w:tc>
          <w:tcPr>
            <w:tcW w:w="4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Format unique à écrire au contrat et à tester, au lot 14</w:t>
            </w:r>
          </w:p>
        </w:tc>
      </w:tr>
      <w:t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15</w:t>
            </w:r>
          </w:p>
        </w:tc>
        <w:tc>
          <w:tcPr>
            <w:tcW w:w="4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 guichet, deux jetons Bearer ne tiennent pas dans l’en-tête Authorization</w:t>
            </w:r>
          </w:p>
        </w:tc>
        <w:tc>
          <w:tcPr>
            <w:tcW w:w="4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Jeton de la personne dans X-Staff-Authorization (ADR-113)</w:t>
            </w:r>
          </w:p>
        </w:tc>
      </w:tr>
      <w:t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16</w:t>
            </w:r>
          </w:p>
        </w:tc>
        <w:tc>
          <w:tcPr>
            <w:tcW w:w="4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 rejeu d’idempotence pouvait viser une autre ressource ou une autre personne</w:t>
            </w:r>
          </w:p>
        </w:tc>
        <w:tc>
          <w:tcPr>
            <w:tcW w:w="4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Chemin concret et appelant dans l’empreinte, 409 sur toutes les routes (ADR-116, OP-N71)</w:t>
            </w:r>
          </w:p>
        </w:tc>
      </w:tr>
      <w:t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17</w:t>
            </w:r>
          </w:p>
        </w:tc>
        <w:tc>
          <w:tcPr>
            <w:tcW w:w="4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Un refus d’enrôlement pouvait révéler qu’un code existe ; les limites n’étaient pas atomiques</w:t>
            </w:r>
          </w:p>
        </w:tc>
        <w:tc>
          <w:tcPr>
            <w:tcW w:w="4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Audit de tous les refus, limites sur les refus seuls, atomiques en base, /64 en IPv6 (ADR-117, migrations 0027 et 0030)</w:t>
            </w:r>
          </w:p>
        </w:tc>
      </w:tr>
      <w:t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18</w:t>
            </w:r>
          </w:p>
        </w:tc>
        <w:tc>
          <w:tcPr>
            <w:tcW w:w="4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La configuration servie pouvait être enregistrée pour un terminal révoqué ou une version d’un autre prestataire</w:t>
            </w:r>
          </w:p>
        </w:tc>
        <w:tc>
          <w:tcPr>
            <w:tcW w:w="4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Refus par la fonction de la base elle-même (ADR-118, migration 0029)</w:t>
            </w:r>
          </w:p>
        </w:tc>
      </w:tr>
      <w:t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19</w:t>
            </w:r>
          </w:p>
        </w:tc>
        <w:tc>
          <w:tcPr>
            <w:tcW w:w="4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Revue après fusion : un code peut viser un événement clos (DRIFT-1)</w:t>
            </w:r>
          </w:p>
        </w:tc>
        <w:tc>
          <w:tcPr>
            <w:tcW w:w="4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Consigné, levée par la mission 5b (OP-N74, ADR-120 ; porteur, 21/10)</w:t>
            </w:r>
          </w:p>
        </w:tc>
      </w:tr>
      <w:t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20</w:t>
            </w:r>
          </w:p>
        </w:tc>
        <w:tc>
          <w:tcPr>
            <w:tcW w:w="4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Revue après fusion : l’API pouvait lire l’empreinte des codes (SEC-2) ; durée du jeton réglable jusqu’à 1 h en production (DRIFT-2)</w:t>
            </w:r>
          </w:p>
        </w:tc>
        <w:tc>
          <w:tcPr>
            <w:tcW w:w="4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Correctif post-fusion n° 1 (porteur, 21/10) : empreinte illisible par l’API, aussi dans la table des essais ; 900 s au plus en production</w:t>
            </w:r>
          </w:p>
        </w:tc>
      </w:tr>
    </w:tbl>
    <w:p>
      <w:pPr>
        <w:pStyle w:val="Titre2"/>
      </w:pPr>
      <w:bookmarkStart w:id="21" w:name="_Toc21"/>
      <w:r>
        <w:t xml:space="preserve">7.4 Relecture</w:t>
      </w:r>
      <w:bookmarkEnd w:id="21"/>
    </w:p>
    <w:p>
      <w:pPr>
        <w:spacing w:after="120"/>
      </w:pPr>
      <w:r>
        <w:t xml:space="preserve">Chaque lot est relu par un agent distinct de celui qui l’a écrit, dans une session séparée ; le verdict est enregistré par l’orchestrateur. La revue après fusion (mission-review-report.md, PASS WITH NOTES) et la relecture du correctif post-fusion (post-merge-fix-1-review.md, approuvé) sont faites aussi par des agents. Ce n’est pas une relecture par une personne. Fichiers à faire relire par une personne avant la production : packages/ledger-sql/migrations/0021 à 0030 et post-roles.sql (droits de la base, verrous, révocation de famille, empreinte des codes) ; tests/tests_device_rights.sql ; apps/api/src/attestation ; apps/api/src/device-ca et src/device-tokens (clés, certificats, jetons) ; apps/api/src/config/config.ts ; apps/api/src/idempotency/request-hash.ts et src/enrollment-code/enrollment-code.ts (secrets). La liste détaillée est dans mission-review-report.md.</w:t>
      </w:r>
    </w:p>
    <w:p>
      <w:pPr>
        <w:pStyle w:val="Titre1"/>
      </w:pPr>
      <w:bookmarkStart w:id="22" w:name="_Toc22"/>
      <w:r>
        <w:t xml:space="preserve">8. Plan de travail</w:t>
      </w:r>
      <w:bookmarkEnd w:id="22"/>
    </w:p>
    <w:p>
      <w:pPr>
        <w:spacing w:after="120"/>
      </w:pPr>
      <w:r>
        <w:t xml:space="preserve">18 lots de travail, 87 sous-tâches. Chaque lot a ses propres fichiers et une lane dédiée.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900"/>
        <w:gridCol w:w="1100"/>
        <w:gridCol w:w="2300"/>
        <w:gridCol w:w="1438"/>
      </w:tblGrid>
      <w:tr>
        <w:trPr>
          <w:tblHeader/>
        </w:trPr>
        <w:tc>
          <w:tcPr>
            <w:tcW w:w="9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Lot</w:t>
            </w:r>
          </w:p>
        </w:tc>
        <w:tc>
          <w:tcPr>
            <w:tcW w:w="39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Objet</w:t>
            </w:r>
          </w:p>
        </w:tc>
        <w:tc>
          <w:tcPr>
            <w:tcW w:w="11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Sous-tâches</w:t>
            </w:r>
          </w:p>
        </w:tc>
        <w:tc>
          <w:tcPr>
            <w:tcW w:w="23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Dépend de</w:t>
            </w:r>
          </w:p>
        </w:tc>
        <w:tc>
          <w:tcPr>
            <w:tcW w:w="1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État</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WP01</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Contrat d’API et types : trois preuves, enrôlement, back-office des terminaux</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5</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Aucune</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WP02</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OP-N59 : search_path des fonctions privilégiées (0021)</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4</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Aucune</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WP03</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Codes d’enrôlement, enrôlement et statut des terminaux (0022)</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6</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Aucune</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WP04</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Jetons de rafraîchissement, nonces et garde de statut (0023)</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5</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WP03</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WP05</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OP-N50 : consume_tap refuse une lecture de rattachement (0024)</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4</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Aucune</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WP06</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OP-N62 : retrait d’une clé dédiée et demandes périmées (0025)</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4</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Aucune</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WP07</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Droits de la base : OP-N44, OP-N59, OP-N63</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6</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WP02 à WP06</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WP08</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Socle : dépendances, réglages, HTTPS avec certificat client, garde de production</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6</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Aucune</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WP09</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Autorité des terminaux et signataire des jetons</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5</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WP08</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WP10</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Attestation Android (deux clés, Android 12+)</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6</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WP08</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WP11</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Attestation iOS (App Attest) et limite consignée</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4</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WP10</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WP12</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Identité réelle : trois preuves derrière la prise de la mission 4 (OP-N42)</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7</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WP04, WP07, WP08, WP09</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WP13</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OP-N54 : empreinte de requête à clé ; empreinte du code d’enrôlement</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3</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WP08</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WP14</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Routes : codes d’enrôlement et enrôlement</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5</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WP01, WP03, WP07, WP09 à WP13</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WP15</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Route : rafraîchissement des jetons</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4</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WP04, WP09, WP12, WP14</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WP16</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Routes : back-office des terminaux</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4</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WP01, WP03, WP04, WP07, WP12</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WP17</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Routes : configuration et battement de cœur</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4</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WP12, WP14</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WP18</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Preuves de bout en bout, CI, consignation des dettes et décisions</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5</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WP01 à WP17</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bl>
    <w:p>
      <w:pPr>
        <w:spacing w:after="120"/>
      </w:pPr>
      <w:r>
        <w:t xml:space="preserve">Quatre lots ont été rejetés une fois avant d’être approuvés au second cycle. WP03 : des refus et des contraintes de table n’avaient pas de test (69 assertions au second cycle). WP04 : la révocation de famille pouvait manquer un jeton créé par un échange concurrent. WP10 : trois contrôles de la chaîne Android (émetteur autorité, chaînage par nom, dates de chaque certificat) n’avaient aucun test de refus. WP14 : second cycle de relecture. WP18 a été approuvé sous trois réserves (dette de l’autorité et du signataire à nommer, report de DEVICE_REQUEST_AUTHORITIES, vue d’ensemble des points ouverts), consignées le 21 octobre (OP-N73, ADR-119).</w:t>
      </w:r>
    </w:p>
    <w:p>
      <w:pPr>
        <w:pStyle w:val="Titre2"/>
      </w:pPr>
      <w:bookmarkStart w:id="23" w:name="_Toc23"/>
      <w:r>
        <w:t xml:space="preserve">Ordre et parallélisme</w:t>
      </w:r>
      <w:bookmarkEnd w:id="23"/>
    </w:p>
    <w:p>
      <w:pPr>
        <w:pStyle w:val="Paragraphedeliste"/>
        <w:numPr>
          <w:ilvl w:val="0"/>
          <w:numId w:val="2"/>
        </w:numPr>
        <w:spacing w:after="60"/>
      </w:pPr>
      <w:r>
        <w:t xml:space="preserve">Socle sans dépendance : WP01, WP02, WP03, WP05, WP06 et WP08.</w:t>
      </w:r>
    </w:p>
    <w:p>
      <w:pPr>
        <w:pStyle w:val="Paragraphedeliste"/>
        <w:numPr>
          <w:ilvl w:val="0"/>
          <w:numId w:val="2"/>
        </w:numPr>
        <w:spacing w:after="60"/>
      </w:pPr>
      <w:r>
        <w:t xml:space="preserve">Après WP08 : WP09, WP10 et WP13 en parallèle ; WP11 après WP10.</w:t>
      </w:r>
    </w:p>
    <w:p>
      <w:pPr>
        <w:pStyle w:val="Paragraphedeliste"/>
        <w:numPr>
          <w:ilvl w:val="0"/>
          <w:numId w:val="2"/>
        </w:numPr>
        <w:spacing w:after="60"/>
      </w:pPr>
      <w:r>
        <w:t xml:space="preserve">WP07 attend les cinq lots de la base ; WP12 attend WP04, WP07, WP08 et WP09.</w:t>
      </w:r>
    </w:p>
    <w:p>
      <w:pPr>
        <w:pStyle w:val="Paragraphedeliste"/>
        <w:numPr>
          <w:ilvl w:val="0"/>
          <w:numId w:val="2"/>
        </w:numPr>
        <w:spacing w:after="60"/>
      </w:pPr>
      <w:r>
        <w:t xml:space="preserve">Routes : WP14 à WP17 dès leurs dépendances satisfaites (WP15 et WP17 après WP14).</w:t>
      </w:r>
    </w:p>
    <w:p>
      <w:pPr>
        <w:pStyle w:val="Paragraphedeliste"/>
        <w:numPr>
          <w:ilvl w:val="0"/>
          <w:numId w:val="2"/>
        </w:numPr>
        <w:spacing w:after="60"/>
      </w:pPr>
      <w:r>
        <w:t xml:space="preserve">WP18 ferme la mission : parcours complet, matrice des preuves, isolation, secrets, latence, CI, consignation, liste des fichiers à faire relire.</w:t>
      </w:r>
    </w:p>
    <w:p>
      <w:pPr>
        <w:pStyle w:val="Paragraphedeliste"/>
        <w:numPr>
          <w:ilvl w:val="0"/>
          <w:numId w:val="2"/>
        </w:numPr>
        <w:spacing w:after="60"/>
      </w:pPr>
      <w:r>
        <w:t xml:space="preserve">Les tests sont lancés en série par l’agent principal : la base locale est partagée.</w:t>
      </w:r>
    </w:p>
    <w:p>
      <w:pPr>
        <w:pStyle w:val="Paragraphedeliste"/>
        <w:numPr>
          <w:ilvl w:val="0"/>
          <w:numId w:val="2"/>
        </w:numPr>
        <w:spacing w:after="60"/>
      </w:pPr>
      <w:r>
        <w:t xml:space="preserve">Socle minimal (MVP) : WP01 à WP04, WP07, WP08, WP09 et WP12, qui lèvent OP-N42, OP-N59 et OP-N63.</w:t>
      </w:r>
    </w:p>
    <w:p>
      <w:pPr>
        <w:pStyle w:val="Titre1"/>
      </w:pPr>
      <w:bookmarkStart w:id="24" w:name="_Toc24"/>
      <w:r>
        <w:t xml:space="preserve">9. Avancement et prochaines étapes</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1600"/>
        <w:gridCol w:w="5638"/>
      </w:tblGrid>
      <w:tr>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Étape</w:t>
            </w:r>
          </w:p>
        </w:tc>
        <w:tc>
          <w:tcPr>
            <w:tcW w:w="16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État</w:t>
            </w:r>
          </w:p>
        </w:tc>
        <w:tc>
          <w:tcPr>
            <w:tcW w:w="56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Remarque</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Spécification</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Terminée</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19 octobre 2026 ; 26 FR, 11 NFR, 12 contraintes, 8 critères de réussite</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Plan</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Terminé</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19 octobre 2026 ; plan, recherche (R-01 à R-17, dont une passe contradictoire), modèle de données, 6 contrats, quickstart</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Documentation (après plan)</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À jour</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Docs locales de la mission, 5 schémas, documents globaux 02, 04, 05, 07, ADR-106 à ADR-109, OP-N64 et OP-N65</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Découpage en lots</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Terminé</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19 octobre 2026 ; 18 lots, 87 sous-tâches, 100 % des exigences couvertes</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Analyse de cohérence</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Prête</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Trois passages ; le point élevé levé par la décision « événement obligatoire » ; les deux écarts mineurs corrigés</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Implémentation</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Terminée</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18 lots sur 18 approuvés le 21 octobre 2026</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Vérifications</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Vertes</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pgTAP 2083/2083 ; API 1704 réussis, 6 ignorés ; latence 17/17. GitHub Actions vert sur la branche le 22 octobre 2026 (run 39762590535) : pgTAP 2083/2083, Jest 1705 réussis et 6 ignorés, bibliothèque de format 39/39, mesures de latence en série vertes (NFR-011 tenue).</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Fusion des lanes</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Terminée</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Lanes fusionnées dans la lane du lot 18, puis dans feat/identite-enrolement-terminaux</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Documentation (après revue)</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À jour</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21 octobre 2026, avant l’acceptation ; complétée après le correctif post-fusion le 22 octobre</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Acceptation et fusion</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Terminée</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Acceptée le 21 octobre (matrice : 26 exigences, 12 invariants) ; fusionnée dans feat/identite-enrolement-terminaux ; PR #4 vers main ouverte le 22 octobre</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Intégration continue</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Verte</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GitHub Actions vert sur la branche le 22 octobre 2026 (run 39762590535) : pgTAP 2083/2083, Jest 1705 réussis et 6 ignorés, bibliothèque de format 39/39, mesures de latence en série vertes (NFR-011 tenue).</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Revue après fusion</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Terminée</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PASS WITH NOTES ; correctif post-fusion n° 1 (SEC-2, DRIFT-2) fait et approuvé le 22 octobre ; autres constats consignés</w:t>
            </w:r>
          </w:p>
        </w:tc>
      </w:tr>
    </w:tbl>
    <w:p>
      <w:pPr>
        <w:spacing w:after="120"/>
      </w:pPr>
      <w:r>
        <w:t xml:space="preserve">Reste à faire : fusionner la PR #4 dans main (CI verte) ; faire relire par une personne les fichiers listés en 7.4 ; trancher pour OP-N68 et OP-N69 la question « bloque la production » ; lever OP-N73 avec la mission 7 avant toute mise en production. La mission suivante est la 5b (encaissement en ligne), qui hérite d’OP-N74.</w:t>
      </w:r>
    </w:p>
    <w:sectPr w:rsidR="009D4932">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1B4A" w:rsidRDefault="00DC1B4A">
      <w:r>
        <w:separator/>
      </w:r>
    </w:p>
  </w:endnote>
  <w:endnote w:type="continuationSeparator" w:id="0">
    <w:p w:rsidR="00DC1B4A" w:rsidRDefault="00DC1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4932" w:rsidRDefault="00E30803">
    <w:pPr>
      <w:jc w:val="center"/>
    </w:pPr>
    <w:r>
      <w:rPr>
        <w:color w:val="7F7F7F"/>
        <w:sz w:val="16"/>
        <w:szCs w:val="16"/>
      </w:rPr>
      <w:t>Mission 5a :</w:t>
    </w:r>
    <w:r w:rsidR="00DC1B4A">
      <w:rPr>
        <w:color w:val="7F7F7F"/>
        <w:sz w:val="16"/>
        <w:szCs w:val="16"/>
      </w:rPr>
      <w:t xml:space="preserve"> Identité et enrôlement des terminaux · page </w:t>
    </w:r>
    <w:r w:rsidR="00DC1B4A">
      <w:rPr>
        <w:color w:val="7F7F7F"/>
        <w:sz w:val="16"/>
        <w:szCs w:val="16"/>
      </w:rPr>
      <w:fldChar w:fldCharType="begin"/>
    </w:r>
    <w:r w:rsidR="00DC1B4A">
      <w:rPr>
        <w:color w:val="7F7F7F"/>
        <w:sz w:val="16"/>
        <w:szCs w:val="16"/>
      </w:rPr>
      <w:instrText>PAGE</w:instrText>
    </w:r>
    <w:r>
      <w:rPr>
        <w:color w:val="7F7F7F"/>
        <w:sz w:val="16"/>
        <w:szCs w:val="16"/>
      </w:rPr>
      <w:fldChar w:fldCharType="separate"/>
    </w:r>
    <w:r w:rsidR="00285ADA">
      <w:rPr>
        <w:noProof/>
        <w:color w:val="7F7F7F"/>
        <w:sz w:val="16"/>
        <w:szCs w:val="16"/>
      </w:rPr>
      <w:t>2</w:t>
    </w:r>
    <w:r w:rsidR="00DC1B4A">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1B4A" w:rsidRDefault="00DC1B4A">
      <w:r>
        <w:separator/>
      </w:r>
    </w:p>
  </w:footnote>
  <w:footnote w:type="continuationSeparator" w:id="0">
    <w:p w:rsidR="00DC1B4A" w:rsidRDefault="00DC1B4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B05C1C"/>
    <w:multiLevelType w:val="hybridMultilevel"/>
    <w:tmpl w:val="F57C1BF4"/>
    <w:lvl w:ilvl="0" w:tplc="E8104170">
      <w:start w:val="1"/>
      <w:numFmt w:val="bullet"/>
      <w:lvlText w:val="•"/>
      <w:lvlJc w:val="left"/>
      <w:pPr>
        <w:ind w:left="720" w:hanging="360"/>
      </w:pPr>
    </w:lvl>
    <w:lvl w:ilvl="1" w:tplc="D13445FA" w:tentative="1">
      <w:start w:val="1"/>
      <w:numFmt w:val="bullet"/>
      <w:lvlText w:val="–"/>
      <w:lvlJc w:val="left"/>
      <w:pPr>
        <w:ind w:left="1440" w:hanging="360"/>
      </w:pPr>
    </w:lvl>
    <w:lvl w:ilvl="2" w:tplc="E48C881E">
      <w:numFmt w:val="decimal"/>
      <w:lvlText w:val=""/>
      <w:lvlJc w:val="left"/>
    </w:lvl>
    <w:lvl w:ilvl="3" w:tplc="4A62EACC">
      <w:numFmt w:val="decimal"/>
      <w:lvlText w:val=""/>
      <w:lvlJc w:val="left"/>
    </w:lvl>
    <w:lvl w:ilvl="4" w:tplc="3E8E262E">
      <w:numFmt w:val="decimal"/>
      <w:lvlText w:val=""/>
      <w:lvlJc w:val="left"/>
    </w:lvl>
    <w:lvl w:ilvl="5" w:tplc="3A82FD4C">
      <w:numFmt w:val="decimal"/>
      <w:lvlText w:val=""/>
      <w:lvlJc w:val="left"/>
    </w:lvl>
    <w:lvl w:ilvl="6" w:tplc="F2007E00">
      <w:numFmt w:val="decimal"/>
      <w:lvlText w:val=""/>
      <w:lvlJc w:val="left"/>
    </w:lvl>
    <w:lvl w:ilvl="7" w:tplc="6194F4AE">
      <w:numFmt w:val="decimal"/>
      <w:lvlText w:val=""/>
      <w:lvlJc w:val="left"/>
    </w:lvl>
    <w:lvl w:ilvl="8" w:tplc="756C1BE6">
      <w:numFmt w:val="decimal"/>
      <w:lvlText w:val=""/>
      <w:lvlJc w:val="left"/>
    </w:lvl>
  </w:abstractNum>
  <w:abstractNum w:abstractNumId="1" w15:restartNumberingAfterBreak="0">
    <w:nsid w:val="680D7D08"/>
    <w:multiLevelType w:val="hybridMultilevel"/>
    <w:tmpl w:val="0472D0AA"/>
    <w:lvl w:ilvl="0" w:tplc="BC7690DE" w:tentative="1">
      <w:start w:val="1"/>
      <w:numFmt w:val="bullet"/>
      <w:lvlText w:val="●"/>
      <w:lvlJc w:val="left"/>
      <w:pPr>
        <w:ind w:left="720" w:hanging="360"/>
      </w:pPr>
    </w:lvl>
    <w:lvl w:ilvl="1" w:tplc="2C447246" w:tentative="1">
      <w:start w:val="1"/>
      <w:numFmt w:val="bullet"/>
      <w:lvlText w:val="○"/>
      <w:lvlJc w:val="left"/>
      <w:pPr>
        <w:ind w:left="1440" w:hanging="360"/>
      </w:pPr>
    </w:lvl>
    <w:lvl w:ilvl="2" w:tplc="61E86F4E" w:tentative="1">
      <w:start w:val="1"/>
      <w:numFmt w:val="bullet"/>
      <w:lvlText w:val="■"/>
      <w:lvlJc w:val="left"/>
      <w:pPr>
        <w:ind w:left="2160" w:hanging="360"/>
      </w:pPr>
    </w:lvl>
    <w:lvl w:ilvl="3" w:tplc="6EAAD51C" w:tentative="1">
      <w:start w:val="1"/>
      <w:numFmt w:val="bullet"/>
      <w:lvlText w:val="●"/>
      <w:lvlJc w:val="left"/>
      <w:pPr>
        <w:ind w:left="2880" w:hanging="360"/>
      </w:pPr>
    </w:lvl>
    <w:lvl w:ilvl="4" w:tplc="305CC3D8" w:tentative="1">
      <w:start w:val="1"/>
      <w:numFmt w:val="bullet"/>
      <w:lvlText w:val="○"/>
      <w:lvlJc w:val="left"/>
      <w:pPr>
        <w:ind w:left="3600" w:hanging="360"/>
      </w:pPr>
    </w:lvl>
    <w:lvl w:ilvl="5" w:tplc="B50AF6AA" w:tentative="1">
      <w:start w:val="1"/>
      <w:numFmt w:val="bullet"/>
      <w:lvlText w:val="■"/>
      <w:lvlJc w:val="left"/>
      <w:pPr>
        <w:ind w:left="4320" w:hanging="360"/>
      </w:pPr>
    </w:lvl>
    <w:lvl w:ilvl="6" w:tplc="58A89ECA" w:tentative="1">
      <w:start w:val="1"/>
      <w:numFmt w:val="bullet"/>
      <w:lvlText w:val="●"/>
      <w:lvlJc w:val="left"/>
      <w:pPr>
        <w:ind w:left="5040" w:hanging="360"/>
      </w:pPr>
    </w:lvl>
    <w:lvl w:ilvl="7" w:tplc="1446FF44" w:tentative="1">
      <w:start w:val="1"/>
      <w:numFmt w:val="bullet"/>
      <w:lvlText w:val="●"/>
      <w:lvlJc w:val="left"/>
      <w:pPr>
        <w:ind w:left="5760" w:hanging="360"/>
      </w:pPr>
    </w:lvl>
    <w:lvl w:ilvl="8" w:tplc="5F98A2A8" w:tentative="1">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932"/>
    <w:rsid w:val="00285ADA"/>
    <w:rsid w:val="009D4932"/>
    <w:rsid w:val="00DC1B4A"/>
    <w:rsid w:val="00E3080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B69B5"/>
  <w15:docId w15:val="{E55EAA94-50E3-437D-A277-3D9044444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qFormat/>
    <w:pPr>
      <w:spacing w:before="360" w:after="160"/>
      <w:outlineLvl w:val="0"/>
    </w:pPr>
    <w:rPr>
      <w:b/>
      <w:bCs/>
      <w:color w:val="1F4E79"/>
      <w:sz w:val="32"/>
      <w:szCs w:val="32"/>
    </w:rPr>
  </w:style>
  <w:style w:type="paragraph" w:styleId="Titre2">
    <w:name w:val="heading 2"/>
    <w:basedOn w:val="Normal"/>
    <w:next w:val="Normal"/>
    <w:qFormat/>
    <w:pPr>
      <w:spacing w:before="240" w:after="120"/>
      <w:outlineLvl w:val="1"/>
    </w:pPr>
    <w:rPr>
      <w:b/>
      <w:bCs/>
      <w:color w:val="1F4E79"/>
      <w:sz w:val="26"/>
      <w:szCs w:val="26"/>
    </w:rPr>
  </w:style>
  <w:style w:type="paragraph" w:styleId="Titre3">
    <w:name w:val="heading 3"/>
    <w:basedOn w:val="Normal"/>
    <w:next w:val="Normal"/>
    <w:qFormat/>
    <w:pPr>
      <w:spacing w:before="200" w:after="100"/>
      <w:outlineLvl w:val="2"/>
    </w:pPr>
    <w:rPr>
      <w:b/>
      <w:bCs/>
    </w:rPr>
  </w:style>
  <w:style w:type="paragraph" w:styleId="Titre4">
    <w:name w:val="heading 4"/>
    <w:basedOn w:val="Normal"/>
    <w:next w:val="Normal"/>
    <w:qFormat/>
    <w:pPr>
      <w:outlineLvl w:val="3"/>
    </w:pPr>
    <w:rPr>
      <w:i/>
      <w:iCs/>
      <w:color w:val="2E74B5"/>
    </w:rPr>
  </w:style>
  <w:style w:type="paragraph" w:styleId="Titre5">
    <w:name w:val="heading 5"/>
    <w:basedOn w:val="Normal"/>
    <w:next w:val="Normal"/>
    <w:qFormat/>
    <w:pPr>
      <w:outlineLvl w:val="4"/>
    </w:pPr>
    <w:rPr>
      <w:color w:val="2E74B5"/>
    </w:rPr>
  </w:style>
  <w:style w:type="paragraph" w:styleId="Titre6">
    <w:name w:val="heading 6"/>
    <w:basedOn w:val="Normal"/>
    <w:next w:val="Normal"/>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E30803"/>
    <w:pPr>
      <w:tabs>
        <w:tab w:val="center" w:pos="4536"/>
        <w:tab w:val="right" w:pos="9072"/>
      </w:tabs>
    </w:pPr>
  </w:style>
  <w:style w:type="character" w:customStyle="1" w:styleId="En-tteCar">
    <w:name w:val="En-tête Car"/>
    <w:basedOn w:val="Policepardfaut"/>
    <w:link w:val="En-tte"/>
    <w:uiPriority w:val="99"/>
    <w:rsid w:val="00E30803"/>
  </w:style>
  <w:style w:type="paragraph" w:styleId="Pieddepage">
    <w:name w:val="footer"/>
    <w:basedOn w:val="Normal"/>
    <w:link w:val="PieddepageCar"/>
    <w:uiPriority w:val="99"/>
    <w:unhideWhenUsed/>
    <w:rsid w:val="00E30803"/>
    <w:pPr>
      <w:tabs>
        <w:tab w:val="center" w:pos="4536"/>
        <w:tab w:val="right" w:pos="9072"/>
      </w:tabs>
    </w:pPr>
  </w:style>
  <w:style w:type="character" w:customStyle="1" w:styleId="PieddepageCar">
    <w:name w:val="Pied de page Car"/>
    <w:basedOn w:val="Policepardfaut"/>
    <w:link w:val="Pieddepage"/>
    <w:uiPriority w:val="99"/>
    <w:rsid w:val="00E308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3023</Words>
  <Characters>16632</Characters>
  <Application>Microsoft Office Word</Application>
  <DocSecurity>0</DocSecurity>
  <Lines>138</Lines>
  <Paragraphs>39</Paragraphs>
  <ScaleCrop>false</ScaleCrop>
  <Company/>
  <LinksUpToDate>false</LinksUpToDate>
  <CharactersWithSpaces>19616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Mission 5a : Identité et enrôlement des terminaux</dc:title>
  <dc:creator>Claude (Claude Code) pour Papa Omar SYLLA</dc:creator>
  <cp:lastModifiedBy>hp</cp:lastModifiedBy>
  <cp:revision>3</cp:revision>
  <dcterms:created xsi:type="dcterms:W3CDTF">2026-10-20T10:51:35Z</dcterms:created>
  <dcterms:modified xsi:type="dcterms:W3CDTF">2026-10-22T11:00:00Z</dcterms:modified>
</cp:coreProperties>
</file>