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400" w:after="240"/>
        <w:jc w:val="center"/>
      </w:pPr>
      <w:r>
        <w:rPr>
          <w:color w:val="595959"/>
          <w:sz w:val="28"/>
          <w:szCs w:val="28"/>
        </w:rPr>
        <w:t xml:space="preserve">Cashless Platform</w:t>
      </w:r>
    </w:p>
    <w:p>
      <w:pPr>
        <w:spacing w:after="240"/>
        <w:jc w:val="center"/>
      </w:pPr>
      <w:r>
        <w:rPr>
          <w:b/>
          <w:bCs/>
          <w:color w:val="1F4E79"/>
          <w:sz w:val="44"/>
          <w:szCs w:val="44"/>
        </w:rPr>
        <w:t xml:space="preserve">Mission 4 : Bracelets NFC : format, clés, lots et cycle de vie</w:t>
      </w:r>
    </w:p>
    <w:p>
      <w:pPr>
        <w:spacing w:after="600"/>
        <w:jc w:val="center"/>
      </w:pPr>
      <w:r>
        <w:rPr>
          <w:sz w:val="24"/>
          <w:szCs w:val="24"/>
        </w:rPr>
        <w:t xml:space="preserve">Contenu détaillé de la mission : besoin, décisions, architecture, plan de travail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Élément</w:t>
            </w:r>
          </w:p>
        </w:tc>
        <w:tc>
          <w:tcPr>
            <w:tcW w:w="6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Valeur</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Identifiant Spec Kitty</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bracelets-nfc-01M4TD3W</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 de travail</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feat/bracelets-nfc (fusion ensuite dans main)</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Date</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13 octobre 2026</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État</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 cours : 14 lots sur 20 approuvés ; 1 237 assertions de la base et 1 130 tests de l’API verts en local</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Sources</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kitty-specs/bracelets-nfc-01M4TD3W/ (spec.md, plan.md, research.md, data-model.md, contracts/, tasks.md, analysis-report.md, docs/)</w:t>
            </w:r>
          </w:p>
        </w:tc>
      </w:tr>
    </w:tbl>
    <w:p>
      <w:pPr>
        <w:spacing w:after="120"/>
      </w:pPr>
    </w:p>
    <w:p>
      <w:r>
        <w:br w:type="page"/>
      </w:r>
    </w:p>
    <w:p>
      <w:pPr>
        <w:pStyle w:val="Titre1"/>
      </w:pPr>
      <w:bookmarkStart w:id="0" w:name="_Toc0"/>
      <w:r>
        <w:t xml:space="preserve">Sommaire</w:t>
      </w:r>
      <w:bookmarkEnd w:id="0"/>
    </w:p>
    <w:p>
      <w:pPr>
        <w:tabs>
          <w:tab w:val="right" w:leader="dot" w:pos="9638"/>
        </w:tabs>
        <w:rPr>
          <w:noProof/>
        </w:rPr>
      </w:pPr>
      <w:r>
        <w:fldChar w:fldCharType="begin" w:dirty="true"/>
      </w:r>
      <w:r>
        <w:instrText xml:space="preserve">TOC \h \o "1-2"</w:instrText>
      </w:r>
      <w:r>
        <w:fldChar w:fldCharType="separate"/>
      </w:r>
      <w:hyperlink w:anchor="_Toc1" w:history="1">
        <w:r>
          <w:rPr>
            <w:noProof/>
          </w:rPr>
          <w:t xml:space="preserve">1. Résumé</w:t>
        </w:r>
        <w:r>
          <w:rPr>
            <w:noProof/>
          </w:rPr>
          <w:tab/>
        </w:r>
        <w:r>
          <w:rPr>
            <w:noProof/>
          </w:rPr>
          <w:fldChar w:fldCharType="begin" w:dirty="true"/>
        </w:r>
        <w:r>
          <w:rPr>
            <w:noProof/>
          </w:rPr>
          <w:instrText xml:space="preserve">PAGEREF _Toc1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2" w:history="1">
        <w:r>
          <w:rPr>
            <w:noProof/>
          </w:rPr>
          <w:t xml:space="preserve">Ce que la mission doit prouver, et ce qui l’est déjà</w:t>
        </w:r>
        <w:r>
          <w:rPr>
            <w:noProof/>
          </w:rPr>
          <w:tab/>
        </w:r>
        <w:r>
          <w:rPr>
            <w:noProof/>
          </w:rPr>
          <w:fldChar w:fldCharType="begin" w:dirty="true"/>
        </w:r>
        <w:r>
          <w:rPr>
            <w:noProof/>
          </w:rPr>
          <w:instrText xml:space="preserve">PAGEREF _Toc2 \h</w:instrText>
        </w:r>
        <w:r>
          <w:rPr>
            <w:noProof/>
          </w:rPr>
          <w:fldChar w:fldCharType="separate"/>
        </w:r>
        <w:r>
          <w:rPr>
            <w:noProof/>
          </w:rPr>
          <w:t> </w:t>
        </w:r>
        <w:r>
          <w:rPr>
            <w:noProof/>
          </w:rPr>
          <w:fldChar w:fldCharType="end"/>
        </w:r>
      </w:hyperlink>
    </w:p>
    <w:p>
      <w:pPr>
        <w:tabs>
          <w:tab w:val="right" w:leader="dot" w:pos="9638"/>
        </w:tabs>
        <w:rPr>
          <w:noProof/>
        </w:rPr>
      </w:pPr>
      <w:hyperlink w:anchor="_Toc3" w:history="1">
        <w:r>
          <w:rPr>
            <w:noProof/>
          </w:rPr>
          <w:t xml:space="preserve">2. Contexte et sources</w:t>
        </w:r>
        <w:r>
          <w:rPr>
            <w:noProof/>
          </w:rPr>
          <w:tab/>
        </w:r>
        <w:r>
          <w:rPr>
            <w:noProof/>
          </w:rPr>
          <w:fldChar w:fldCharType="begin" w:dirty="true"/>
        </w:r>
        <w:r>
          <w:rPr>
            <w:noProof/>
          </w:rPr>
          <w:instrText xml:space="preserve">PAGEREF _Toc3 \h</w:instrText>
        </w:r>
        <w:r>
          <w:rPr>
            <w:noProof/>
          </w:rPr>
          <w:fldChar w:fldCharType="separate"/>
        </w:r>
        <w:r>
          <w:rPr>
            <w:noProof/>
          </w:rPr>
          <w:t> </w:t>
        </w:r>
        <w:r>
          <w:rPr>
            <w:noProof/>
          </w:rPr>
          <w:fldChar w:fldCharType="end"/>
        </w:r>
      </w:hyperlink>
    </w:p>
    <w:p>
      <w:pPr>
        <w:tabs>
          <w:tab w:val="right" w:leader="dot" w:pos="9638"/>
        </w:tabs>
        <w:rPr>
          <w:noProof/>
        </w:rPr>
      </w:pPr>
      <w:hyperlink w:anchor="_Toc4" w:history="1">
        <w:r>
          <w:rPr>
            <w:noProof/>
          </w:rPr>
          <w:t xml:space="preserve">3. Périmètre</w:t>
        </w:r>
        <w:r>
          <w:rPr>
            <w:noProof/>
          </w:rPr>
          <w:tab/>
        </w:r>
        <w:r>
          <w:rPr>
            <w:noProof/>
          </w:rPr>
          <w:fldChar w:fldCharType="begin" w:dirty="true"/>
        </w:r>
        <w:r>
          <w:rPr>
            <w:noProof/>
          </w:rPr>
          <w:instrText xml:space="preserve">PAGEREF _Toc4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5" w:history="1">
        <w:r>
          <w:rPr>
            <w:noProof/>
          </w:rPr>
          <w:t xml:space="preserve">Inclus</w:t>
        </w:r>
        <w:r>
          <w:rPr>
            <w:noProof/>
          </w:rPr>
          <w:tab/>
        </w:r>
        <w:r>
          <w:rPr>
            <w:noProof/>
          </w:rPr>
          <w:fldChar w:fldCharType="begin" w:dirty="true"/>
        </w:r>
        <w:r>
          <w:rPr>
            <w:noProof/>
          </w:rPr>
          <w:instrText xml:space="preserve">PAGEREF _Toc5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6" w:history="1">
        <w:r>
          <w:rPr>
            <w:noProof/>
          </w:rPr>
          <w:t xml:space="preserve">Hors périmètre (missions suivantes)</w:t>
        </w:r>
        <w:r>
          <w:rPr>
            <w:noProof/>
          </w:rPr>
          <w:tab/>
        </w:r>
        <w:r>
          <w:rPr>
            <w:noProof/>
          </w:rPr>
          <w:fldChar w:fldCharType="begin" w:dirty="true"/>
        </w:r>
        <w:r>
          <w:rPr>
            <w:noProof/>
          </w:rPr>
          <w:instrText xml:space="preserve">PAGEREF _Toc6 \h</w:instrText>
        </w:r>
        <w:r>
          <w:rPr>
            <w:noProof/>
          </w:rPr>
          <w:fldChar w:fldCharType="separate"/>
        </w:r>
        <w:r>
          <w:rPr>
            <w:noProof/>
          </w:rPr>
          <w:t> </w:t>
        </w:r>
        <w:r>
          <w:rPr>
            <w:noProof/>
          </w:rPr>
          <w:fldChar w:fldCharType="end"/>
        </w:r>
      </w:hyperlink>
    </w:p>
    <w:p>
      <w:pPr>
        <w:tabs>
          <w:tab w:val="right" w:leader="dot" w:pos="9638"/>
        </w:tabs>
        <w:rPr>
          <w:noProof/>
        </w:rPr>
      </w:pPr>
      <w:hyperlink w:anchor="_Toc7" w:history="1">
        <w:r>
          <w:rPr>
            <w:noProof/>
          </w:rPr>
          <w:t xml:space="preserve">4. Décisions de cadrage</w:t>
        </w:r>
        <w:r>
          <w:rPr>
            <w:noProof/>
          </w:rPr>
          <w:tab/>
        </w:r>
        <w:r>
          <w:rPr>
            <w:noProof/>
          </w:rPr>
          <w:fldChar w:fldCharType="begin" w:dirty="true"/>
        </w:r>
        <w:r>
          <w:rPr>
            <w:noProof/>
          </w:rPr>
          <w:instrText xml:space="preserve">PAGEREF _Toc7 \h</w:instrText>
        </w:r>
        <w:r>
          <w:rPr>
            <w:noProof/>
          </w:rPr>
          <w:fldChar w:fldCharType="separate"/>
        </w:r>
        <w:r>
          <w:rPr>
            <w:noProof/>
          </w:rPr>
          <w:t> </w:t>
        </w:r>
        <w:r>
          <w:rPr>
            <w:noProof/>
          </w:rPr>
          <w:fldChar w:fldCharType="end"/>
        </w:r>
      </w:hyperlink>
    </w:p>
    <w:p>
      <w:pPr>
        <w:tabs>
          <w:tab w:val="right" w:leader="dot" w:pos="9638"/>
        </w:tabs>
        <w:rPr>
          <w:noProof/>
        </w:rPr>
      </w:pPr>
      <w:hyperlink w:anchor="_Toc8" w:history="1">
        <w:r>
          <w:rPr>
            <w:noProof/>
          </w:rPr>
          <w:t xml:space="preserve">5. Exigences</w:t>
        </w:r>
        <w:r>
          <w:rPr>
            <w:noProof/>
          </w:rPr>
          <w:tab/>
        </w:r>
        <w:r>
          <w:rPr>
            <w:noProof/>
          </w:rPr>
          <w:fldChar w:fldCharType="begin" w:dirty="true"/>
        </w:r>
        <w:r>
          <w:rPr>
            <w:noProof/>
          </w:rPr>
          <w:instrText xml:space="preserve">PAGEREF _Toc8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9" w:history="1">
        <w:r>
          <w:rPr>
            <w:noProof/>
          </w:rPr>
          <w:t xml:space="preserve">5.1 Exigences fonctionnelles (36)</w:t>
        </w:r>
        <w:r>
          <w:rPr>
            <w:noProof/>
          </w:rPr>
          <w:tab/>
        </w:r>
        <w:r>
          <w:rPr>
            <w:noProof/>
          </w:rPr>
          <w:fldChar w:fldCharType="begin" w:dirty="true"/>
        </w:r>
        <w:r>
          <w:rPr>
            <w:noProof/>
          </w:rPr>
          <w:instrText xml:space="preserve">PAGEREF _Toc9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0" w:history="1">
        <w:r>
          <w:rPr>
            <w:noProof/>
          </w:rPr>
          <w:t xml:space="preserve">5.2 Exigences non fonctionnelles (10)</w:t>
        </w:r>
        <w:r>
          <w:rPr>
            <w:noProof/>
          </w:rPr>
          <w:tab/>
        </w:r>
        <w:r>
          <w:rPr>
            <w:noProof/>
          </w:rPr>
          <w:fldChar w:fldCharType="begin" w:dirty="true"/>
        </w:r>
        <w:r>
          <w:rPr>
            <w:noProof/>
          </w:rPr>
          <w:instrText xml:space="preserve">PAGEREF _Toc10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1" w:history="1">
        <w:r>
          <w:rPr>
            <w:noProof/>
          </w:rPr>
          <w:t xml:space="preserve">5.3 Contraintes (12)</w:t>
        </w:r>
        <w:r>
          <w:rPr>
            <w:noProof/>
          </w:rPr>
          <w:tab/>
        </w:r>
        <w:r>
          <w:rPr>
            <w:noProof/>
          </w:rPr>
          <w:fldChar w:fldCharType="begin" w:dirty="true"/>
        </w:r>
        <w:r>
          <w:rPr>
            <w:noProof/>
          </w:rPr>
          <w:instrText xml:space="preserve">PAGEREF _Toc11 \h</w:instrText>
        </w:r>
        <w:r>
          <w:rPr>
            <w:noProof/>
          </w:rPr>
          <w:fldChar w:fldCharType="separate"/>
        </w:r>
        <w:r>
          <w:rPr>
            <w:noProof/>
          </w:rPr>
          <w:t> </w:t>
        </w:r>
        <w:r>
          <w:rPr>
            <w:noProof/>
          </w:rPr>
          <w:fldChar w:fldCharType="end"/>
        </w:r>
      </w:hyperlink>
    </w:p>
    <w:p>
      <w:pPr>
        <w:tabs>
          <w:tab w:val="right" w:leader="dot" w:pos="9638"/>
        </w:tabs>
        <w:rPr>
          <w:noProof/>
        </w:rPr>
      </w:pPr>
      <w:hyperlink w:anchor="_Toc12" w:history="1">
        <w:r>
          <w:rPr>
            <w:noProof/>
          </w:rPr>
          <w:t xml:space="preserve">6. Architecture retenue</w:t>
        </w:r>
        <w:r>
          <w:rPr>
            <w:noProof/>
          </w:rPr>
          <w:tab/>
        </w:r>
        <w:r>
          <w:rPr>
            <w:noProof/>
          </w:rPr>
          <w:fldChar w:fldCharType="begin" w:dirty="true"/>
        </w:r>
        <w:r>
          <w:rPr>
            <w:noProof/>
          </w:rPr>
          <w:instrText xml:space="preserve">PAGEREF _Toc12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3" w:history="1">
        <w:r>
          <w:rPr>
            <w:noProof/>
          </w:rPr>
          <w:t xml:space="preserve">6.1 Composants</w:t>
        </w:r>
        <w:r>
          <w:rPr>
            <w:noProof/>
          </w:rPr>
          <w:tab/>
        </w:r>
        <w:r>
          <w:rPr>
            <w:noProof/>
          </w:rPr>
          <w:fldChar w:fldCharType="begin" w:dirty="true"/>
        </w:r>
        <w:r>
          <w:rPr>
            <w:noProof/>
          </w:rPr>
          <w:instrText xml:space="preserve">PAGEREF _Toc13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4" w:history="1">
        <w:r>
          <w:rPr>
            <w:noProof/>
          </w:rPr>
          <w:t xml:space="preserve">6.2 Quatre processus, quatre niveaux de droits</w:t>
        </w:r>
        <w:r>
          <w:rPr>
            <w:noProof/>
          </w:rPr>
          <w:tab/>
        </w:r>
        <w:r>
          <w:rPr>
            <w:noProof/>
          </w:rPr>
          <w:fldChar w:fldCharType="begin" w:dirty="true"/>
        </w:r>
        <w:r>
          <w:rPr>
            <w:noProof/>
          </w:rPr>
          <w:instrText xml:space="preserve">PAGEREF _Toc14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5" w:history="1">
        <w:r>
          <w:rPr>
            <w:noProof/>
          </w:rPr>
          <w:t xml:space="preserve">6.3 Décisions d’architecture</w:t>
        </w:r>
        <w:r>
          <w:rPr>
            <w:noProof/>
          </w:rPr>
          <w:tab/>
        </w:r>
        <w:r>
          <w:rPr>
            <w:noProof/>
          </w:rPr>
          <w:fldChar w:fldCharType="begin" w:dirty="true"/>
        </w:r>
        <w:r>
          <w:rPr>
            <w:noProof/>
          </w:rPr>
          <w:instrText xml:space="preserve">PAGEREF _Toc15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6" w:history="1">
        <w:r>
          <w:rPr>
            <w:noProof/>
          </w:rPr>
          <w:t xml:space="preserve">6.4 Chaîne d’une personnalisation</w:t>
        </w:r>
        <w:r>
          <w:rPr>
            <w:noProof/>
          </w:rPr>
          <w:tab/>
        </w:r>
        <w:r>
          <w:rPr>
            <w:noProof/>
          </w:rPr>
          <w:fldChar w:fldCharType="begin" w:dirty="true"/>
        </w:r>
        <w:r>
          <w:rPr>
            <w:noProof/>
          </w:rPr>
          <w:instrText xml:space="preserve">PAGEREF _Toc16 \h</w:instrText>
        </w:r>
        <w:r>
          <w:rPr>
            <w:noProof/>
          </w:rPr>
          <w:fldChar w:fldCharType="separate"/>
        </w:r>
        <w:r>
          <w:rPr>
            <w:noProof/>
          </w:rPr>
          <w:t> </w:t>
        </w:r>
        <w:r>
          <w:rPr>
            <w:noProof/>
          </w:rPr>
          <w:fldChar w:fldCharType="end"/>
        </w:r>
      </w:hyperlink>
    </w:p>
    <w:p>
      <w:pPr>
        <w:tabs>
          <w:tab w:val="right" w:leader="dot" w:pos="9638"/>
        </w:tabs>
        <w:rPr>
          <w:noProof/>
        </w:rPr>
      </w:pPr>
      <w:hyperlink w:anchor="_Toc17" w:history="1">
        <w:r>
          <w:rPr>
            <w:noProof/>
          </w:rPr>
          <w:t xml:space="preserve">7. Points d’attention et contradictions</w:t>
        </w:r>
        <w:r>
          <w:rPr>
            <w:noProof/>
          </w:rPr>
          <w:tab/>
        </w:r>
        <w:r>
          <w:rPr>
            <w:noProof/>
          </w:rPr>
          <w:fldChar w:fldCharType="begin" w:dirty="true"/>
        </w:r>
        <w:r>
          <w:rPr>
            <w:noProof/>
          </w:rPr>
          <w:instrText xml:space="preserve">PAGEREF _Toc17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8" w:history="1">
        <w:r>
          <w:rPr>
            <w:noProof/>
          </w:rPr>
          <w:t xml:space="preserve">7.1 Dettes de sécurité acceptées</w:t>
        </w:r>
        <w:r>
          <w:rPr>
            <w:noProof/>
          </w:rPr>
          <w:tab/>
        </w:r>
        <w:r>
          <w:rPr>
            <w:noProof/>
          </w:rPr>
          <w:fldChar w:fldCharType="begin" w:dirty="true"/>
        </w:r>
        <w:r>
          <w:rPr>
            <w:noProof/>
          </w:rPr>
          <w:instrText xml:space="preserve">PAGEREF _Toc18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19" w:history="1">
        <w:r>
          <w:rPr>
            <w:noProof/>
          </w:rPr>
          <w:t xml:space="preserve">7.2 Résultat de l’analyse de cohérence</w:t>
        </w:r>
        <w:r>
          <w:rPr>
            <w:noProof/>
          </w:rPr>
          <w:tab/>
        </w:r>
        <w:r>
          <w:rPr>
            <w:noProof/>
          </w:rPr>
          <w:fldChar w:fldCharType="begin" w:dirty="true"/>
        </w:r>
        <w:r>
          <w:rPr>
            <w:noProof/>
          </w:rPr>
          <w:instrText xml:space="preserve">PAGEREF _Toc19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20" w:history="1">
        <w:r>
          <w:rPr>
            <w:noProof/>
          </w:rPr>
          <w:t xml:space="preserve">7.3 Constats pendant l’implémentation</w:t>
        </w:r>
        <w:r>
          <w:rPr>
            <w:noProof/>
          </w:rPr>
          <w:tab/>
        </w:r>
        <w:r>
          <w:rPr>
            <w:noProof/>
          </w:rPr>
          <w:fldChar w:fldCharType="begin" w:dirty="true"/>
        </w:r>
        <w:r>
          <w:rPr>
            <w:noProof/>
          </w:rPr>
          <w:instrText xml:space="preserve">PAGEREF _Toc20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21" w:history="1">
        <w:r>
          <w:rPr>
            <w:noProof/>
          </w:rPr>
          <w:t xml:space="preserve">7.4 Relecture</w:t>
        </w:r>
        <w:r>
          <w:rPr>
            <w:noProof/>
          </w:rPr>
          <w:tab/>
        </w:r>
        <w:r>
          <w:rPr>
            <w:noProof/>
          </w:rPr>
          <w:fldChar w:fldCharType="begin" w:dirty="true"/>
        </w:r>
        <w:r>
          <w:rPr>
            <w:noProof/>
          </w:rPr>
          <w:instrText xml:space="preserve">PAGEREF _Toc21 \h</w:instrText>
        </w:r>
        <w:r>
          <w:rPr>
            <w:noProof/>
          </w:rPr>
          <w:fldChar w:fldCharType="separate"/>
        </w:r>
        <w:r>
          <w:rPr>
            <w:noProof/>
          </w:rPr>
          <w:t> </w:t>
        </w:r>
        <w:r>
          <w:rPr>
            <w:noProof/>
          </w:rPr>
          <w:fldChar w:fldCharType="end"/>
        </w:r>
      </w:hyperlink>
    </w:p>
    <w:p>
      <w:pPr>
        <w:tabs>
          <w:tab w:val="right" w:leader="dot" w:pos="9638"/>
        </w:tabs>
        <w:rPr>
          <w:noProof/>
        </w:rPr>
      </w:pPr>
      <w:hyperlink w:anchor="_Toc22" w:history="1">
        <w:r>
          <w:rPr>
            <w:noProof/>
          </w:rPr>
          <w:t xml:space="preserve">8. Plan de travail</w:t>
        </w:r>
        <w:r>
          <w:rPr>
            <w:noProof/>
          </w:rPr>
          <w:tab/>
        </w:r>
        <w:r>
          <w:rPr>
            <w:noProof/>
          </w:rPr>
          <w:fldChar w:fldCharType="begin" w:dirty="true"/>
        </w:r>
        <w:r>
          <w:rPr>
            <w:noProof/>
          </w:rPr>
          <w:instrText xml:space="preserve">PAGEREF _Toc22 \h</w:instrText>
        </w:r>
        <w:r>
          <w:rPr>
            <w:noProof/>
          </w:rPr>
          <w:fldChar w:fldCharType="separate"/>
        </w:r>
        <w:r>
          <w:rPr>
            <w:noProof/>
          </w:rPr>
          <w:t> </w:t>
        </w:r>
        <w:r>
          <w:rPr>
            <w:noProof/>
          </w:rPr>
          <w:fldChar w:fldCharType="end"/>
        </w:r>
      </w:hyperlink>
    </w:p>
    <w:p>
      <w:pPr>
        <w:tabs>
          <w:tab w:val="right" w:leader="dot" w:pos="9638"/>
        </w:tabs>
        <w:ind w:left="220"/>
        <w:rPr>
          <w:noProof/>
        </w:rPr>
      </w:pPr>
      <w:hyperlink w:anchor="_Toc23" w:history="1">
        <w:r>
          <w:rPr>
            <w:noProof/>
          </w:rPr>
          <w:t xml:space="preserve">Ordre et parallélisme</w:t>
        </w:r>
        <w:r>
          <w:rPr>
            <w:noProof/>
          </w:rPr>
          <w:tab/>
        </w:r>
        <w:r>
          <w:rPr>
            <w:noProof/>
          </w:rPr>
          <w:fldChar w:fldCharType="begin" w:dirty="true"/>
        </w:r>
        <w:r>
          <w:rPr>
            <w:noProof/>
          </w:rPr>
          <w:instrText xml:space="preserve">PAGEREF _Toc23 \h</w:instrText>
        </w:r>
        <w:r>
          <w:rPr>
            <w:noProof/>
          </w:rPr>
          <w:fldChar w:fldCharType="separate"/>
        </w:r>
        <w:r>
          <w:rPr>
            <w:noProof/>
          </w:rPr>
          <w:t> </w:t>
        </w:r>
        <w:r>
          <w:rPr>
            <w:noProof/>
          </w:rPr>
          <w:fldChar w:fldCharType="end"/>
        </w:r>
      </w:hyperlink>
    </w:p>
    <w:p>
      <w:pPr>
        <w:tabs>
          <w:tab w:val="right" w:leader="dot" w:pos="9638"/>
        </w:tabs>
        <w:rPr>
          <w:noProof/>
        </w:rPr>
      </w:pPr>
      <w:hyperlink w:anchor="_Toc24" w:history="1">
        <w:r>
          <w:rPr>
            <w:noProof/>
          </w:rPr>
          <w:t xml:space="preserve">9. Avancement et prochaines étapes</w:t>
        </w:r>
        <w:r>
          <w:rPr>
            <w:noProof/>
          </w:rPr>
          <w:tab/>
        </w:r>
        <w:r>
          <w:rPr>
            <w:noProof/>
          </w:rPr>
          <w:fldChar w:fldCharType="begin" w:dirty="true"/>
        </w:r>
        <w:r>
          <w:rPr>
            <w:noProof/>
          </w:rPr>
          <w:instrText xml:space="preserve">PAGEREF _Toc24 \h</w:instrText>
        </w:r>
        <w:r>
          <w:rPr>
            <w:noProof/>
          </w:rPr>
          <w:fldChar w:fldCharType="separate"/>
        </w:r>
        <w:r>
          <w:rPr>
            <w:noProof/>
          </w:rPr>
          <w:t> </w:t>
        </w:r>
        <w:r>
          <w:rPr>
            <w:noProof/>
          </w:rPr>
          <w:fldChar w:fldCharType="end"/>
        </w:r>
      </w:hyperlink>
      <w:r>
        <w:fldChar w:fldCharType="end"/>
      </w:r>
    </w:p>
    <w:p>
      <w:r>
        <w:br w:type="page"/>
      </w:r>
    </w:p>
    <w:p>
      <w:pPr>
        <w:pStyle w:val="Titre1"/>
      </w:pPr>
      <w:bookmarkStart w:id="1" w:name="_Toc1"/>
      <w:r>
        <w:t xml:space="preserve">1. Résumé</w:t>
      </w:r>
      <w:bookmarkEnd w:id="1"/>
    </w:p>
    <w:p>
      <w:pPr>
        <w:spacing w:after="120"/>
      </w:pPr>
      <w:r>
        <w:t xml:space="preserve">La mission 4 donne au système ses bracelets. Elle livre la bibliothèque qui lit et écrit le format d’une puce (en TypeScript pour le serveur, en Dart pour les apps), la gestion des clés qui protègent les bracelets, les lots commandés par un organisateur, le poste de personnalisation, puis toute la vie d’un bracelet côté serveur : lecture par un terminal, activation, caution, remplacement, restitution, liste noire, rattachement à un compte par le code imprimé.</w:t>
      </w:r>
    </w:p>
    <w:p>
      <w:pPr>
        <w:spacing w:after="120"/>
      </w:pPr>
      <w:r>
        <w:t xml:space="preserve">Elle ne livre aucun écran et aucun code de lecture NFC : le terminal Android et le poste de personnalisation viendront plus tard. Le service de clés réel (AWS KMS), l’identité réelle des terminaux et les comptes des festivaliers ne sont pas livrés non plus : la mission pose des prises (« ports ») et des faux pour les tests, que la production refuse de démarrer.</w:t>
      </w:r>
    </w:p>
    <w:p>
      <w:pPr>
        <w:spacing w:after="120"/>
      </w:pPr>
      <w:r>
        <w:rPr>
          <w:b/>
          <w:bCs/>
        </w:rPr>
        <w:t xml:space="preserve">État au 13 octobre 2026 : mission en cours.</w:t>
      </w:r>
      <w:r>
        <w:t xml:space="preserve"> 14 lots de travail sur 20 sont terminés et relus. Ce document sera mis à jour à la fin de la mission.</w:t>
      </w:r>
    </w:p>
    <w:p>
      <w:pPr>
        <w:pStyle w:val="Titre2"/>
      </w:pPr>
      <w:bookmarkStart w:id="2" w:name="_Toc2"/>
      <w:r>
        <w:t xml:space="preserve">Ce que la mission doit prouver, et ce qui l’est déjà</w:t>
      </w:r>
      <w:bookmarkEnd w:id="2"/>
    </w:p>
    <w:p>
      <w:pPr>
        <w:pStyle w:val="Paragraphedeliste"/>
        <w:numPr>
          <w:ilvl w:val="0"/>
          <w:numId w:val="2"/>
        </w:numPr>
        <w:spacing w:after="60"/>
      </w:pPr>
      <w:r>
        <w:rPr>
          <w:b/>
          <w:bCs/>
        </w:rPr>
        <w:t xml:space="preserve">Un seul format, deux bibliothèques</w:t>
      </w:r>
      <w:r>
        <w:t xml:space="preserve"> : les bibliothèques TypeScript et Dart reproduisent tous les vecteurs de test du kit et rendent les mêmes octets pour 1 000 entrées tirées au hasard. Fait (39 tests TypeScript, 30 tests Dart).</w:t>
      </w:r>
    </w:p>
    <w:p>
      <w:pPr>
        <w:pStyle w:val="Paragraphedeliste"/>
        <w:numPr>
          <w:ilvl w:val="0"/>
          <w:numId w:val="2"/>
        </w:numPr>
        <w:spacing w:after="60"/>
      </w:pPr>
      <w:r>
        <w:rPr>
          <w:b/>
          <w:bCs/>
        </w:rPr>
        <w:t xml:space="preserve">Aucun secret en clair au repos</w:t>
      </w:r>
      <w:r>
        <w:t xml:space="preserve"> : ni identité de bracelet, ni mot de passe, ni clé de données, ni code de rattachement dans la base, l’audit ou les journaux. Prouvé pour le fichier de commande des codes, la personnalisation et la demande de mot de passe d’un terminal (la base entière est balayée après chaque parcours) ; la preuve de bout en bout est au lot 20.</w:t>
      </w:r>
    </w:p>
    <w:p>
      <w:pPr>
        <w:pStyle w:val="Paragraphedeliste"/>
        <w:numPr>
          <w:ilvl w:val="0"/>
          <w:numId w:val="2"/>
        </w:numPr>
        <w:spacing w:after="60"/>
      </w:pPr>
      <w:r>
        <w:rPr>
          <w:b/>
          <w:bCs/>
        </w:rPr>
        <w:t xml:space="preserve">Séparation des droits sur les clés</w:t>
      </w:r>
      <w:r>
        <w:t xml:space="preserve"> : l’API publique ne peut ni calculer un mot de passe ni déchiffrer une clé. Fait : quatre processus, quatre rôles de base, vérifiés par des tests d’architecture.</w:t>
      </w:r>
    </w:p>
    <w:p>
      <w:pPr>
        <w:pStyle w:val="Paragraphedeliste"/>
        <w:numPr>
          <w:ilvl w:val="0"/>
          <w:numId w:val="2"/>
        </w:numPr>
        <w:spacing w:after="60"/>
      </w:pPr>
      <w:r>
        <w:rPr>
          <w:b/>
          <w:bCs/>
        </w:rPr>
        <w:t xml:space="preserve">Rien à une seule personne</w:t>
      </w:r>
      <w:r>
        <w:t xml:space="preserve"> : création, rotation et retrait d’une clé passent par deux personnes. Fait. La sortie de liste noire à deux est au lot 18.</w:t>
      </w:r>
    </w:p>
    <w:p>
      <w:pPr>
        <w:pStyle w:val="Paragraphedeliste"/>
        <w:numPr>
          <w:ilvl w:val="0"/>
          <w:numId w:val="2"/>
        </w:numPr>
        <w:spacing w:after="60"/>
      </w:pPr>
      <w:r>
        <w:rPr>
          <w:b/>
          <w:bCs/>
        </w:rPr>
        <w:t xml:space="preserve">Isolation entre prestataires</w:t>
      </w:r>
      <w:r>
        <w:t xml:space="preserve"> : fait sur chaque route livrée (test à deux prestataires), à confirmer sur l’ensemble au lot 20.</w:t>
      </w:r>
    </w:p>
    <w:p>
      <w:pPr>
        <w:pStyle w:val="Paragraphedeliste"/>
        <w:numPr>
          <w:ilvl w:val="0"/>
          <w:numId w:val="2"/>
        </w:numPr>
        <w:spacing w:after="60"/>
      </w:pPr>
      <w:r>
        <w:rPr>
          <w:b/>
          <w:bCs/>
        </w:rPr>
        <w:t xml:space="preserve">Suites vertes</w:t>
      </w:r>
      <w:r>
        <w:t xml:space="preserve"> : 1 237 assertions de la base sur 1 237 et 1 130 tests de l’API sur 1 130 au lot 14 (947 et 876 à la fin de la mission 3).</w:t>
      </w:r>
    </w:p>
    <w:p>
      <w:pPr>
        <w:pStyle w:val="Titre1"/>
      </w:pPr>
      <w:bookmarkStart w:id="3" w:name="_Toc3"/>
      <w:r>
        <w:t xml:space="preserve">2. Contexte et sources</w:t>
      </w:r>
      <w:bookmarkEnd w:id="3"/>
    </w:p>
    <w:p>
      <w:pPr>
        <w:spacing w:after="120"/>
      </w:pPr>
      <w:r>
        <w:t xml:space="preserve">Un festivalier paie avec un bracelet NFC (puce NTAG ou MIFARE Ultralight EV1). La puce ne porte pas d’argent : elle porte une identité de 16 octets, protégée en écriture par un mot de passe propre à chaque bracelet. Le solde est sur le serveur. Toute la sécurité repose donc sur trois choses : le format de la puce, le calcul du mot de passe par une clé qui ne quitte jamais le service de clés, et la détection d’une copie à la première lecture.</w:t>
      </w:r>
    </w:p>
    <w:p>
      <w:pPr>
        <w:spacing w:after="120"/>
      </w:pPr>
      <w:r>
        <w:t xml:space="preserve">Sources normatives, par ordre de priorité en cas de contradiction (SPECIFICATION §0.3) :</w:t>
      </w:r>
    </w:p>
    <w:p>
      <w:pPr>
        <w:pStyle w:val="Paragraphedeliste"/>
        <w:numPr>
          <w:ilvl w:val="0"/>
          <w:numId w:val="2"/>
        </w:numPr>
        <w:spacing w:after="60"/>
      </w:pPr>
      <w:r>
        <w:t xml:space="preserve">les tests exécutables : vecteurs de vecteurs_test_bracelet.py, suites pgTAP ;</w:t>
      </w:r>
    </w:p>
    <w:p>
      <w:pPr>
        <w:pStyle w:val="Paragraphedeliste"/>
        <w:numPr>
          <w:ilvl w:val="0"/>
          <w:numId w:val="2"/>
        </w:numPr>
        <w:spacing w:after="60"/>
      </w:pPr>
      <w:r>
        <w:t xml:space="preserve">le schéma SQL de référence, le contrat openapi.yaml et sync_protocol.md ;</w:t>
      </w:r>
    </w:p>
    <w:p>
      <w:pPr>
        <w:pStyle w:val="Paragraphedeliste"/>
        <w:numPr>
          <w:ilvl w:val="0"/>
          <w:numId w:val="2"/>
        </w:numPr>
        <w:spacing w:after="60"/>
      </w:pPr>
      <w:r>
        <w:t xml:space="preserve">docs/SPECIFICATION.md (§7 bracelets, §6.1, §6.4, §3.2 et §13.2 droits sur les clés, §14.2 S19) et les décisions ADR-36, 41, 56, 57, 59 ;</w:t>
      </w:r>
    </w:p>
    <w:p>
      <w:pPr>
        <w:pStyle w:val="Paragraphedeliste"/>
        <w:numPr>
          <w:ilvl w:val="0"/>
          <w:numId w:val="2"/>
        </w:numPr>
        <w:spacing w:after="60"/>
      </w:pPr>
      <w:r>
        <w:t xml:space="preserve">PRD.md (§2.4).</w:t>
      </w:r>
    </w:p>
    <w:p>
      <w:pPr>
        <w:spacing w:after="120"/>
      </w:pPr>
      <w:r>
        <w:t xml:space="preserve">Règle intangible : les fichiers .sql générés de packages/ledger-sql ne sont jamais modifiés à la main ; tout ajout passe par une migration et sa suite de tests.</w:t>
      </w:r>
    </w:p>
    <w:p>
      <w:pPr>
        <w:pStyle w:val="Titre1"/>
      </w:pPr>
      <w:bookmarkStart w:id="4" w:name="_Toc4"/>
      <w:r>
        <w:t xml:space="preserve">3. Périmètre</w:t>
      </w:r>
      <w:bookmarkEnd w:id="4"/>
    </w:p>
    <w:p>
      <w:pPr>
        <w:pStyle w:val="Titre2"/>
      </w:pPr>
      <w:bookmarkStart w:id="5" w:name="_Toc5"/>
      <w:r>
        <w:t xml:space="preserve">Inclus</w:t>
      </w:r>
      <w:bookmarkEnd w:id="5"/>
    </w:p>
    <w:p>
      <w:pPr>
        <w:pStyle w:val="Paragraphedeliste"/>
        <w:numPr>
          <w:ilvl w:val="0"/>
          <w:numId w:val="2"/>
        </w:numPr>
        <w:spacing w:after="60"/>
      </w:pPr>
      <w:r>
        <w:t xml:space="preserve">Bibliothèque du format B 1.0 en TypeScript et en Dart : 28 octets, contrôle CRC, message de dérivation du mot de passe, chiffrement du mot de passe stocké, enveloppe pour un terminal ou un poste, code de rattachement de 10 caractères.</w:t>
      </w:r>
    </w:p>
    <w:p>
      <w:pPr>
        <w:pStyle w:val="Paragraphedeliste"/>
        <w:numPr>
          <w:ilvl w:val="0"/>
          <w:numId w:val="2"/>
        </w:numPr>
        <w:spacing w:after="60"/>
      </w:pPr>
      <w:r>
        <w:t xml:space="preserve">Prises du service de clés (calcul d’un mot de passe, ouverture et déchiffrement d’une clé de données, création et désactivation d’une clé), avec un faux pour les tests.</w:t>
      </w:r>
    </w:p>
    <w:p>
      <w:pPr>
        <w:pStyle w:val="Paragraphedeliste"/>
        <w:numPr>
          <w:ilvl w:val="0"/>
          <w:numId w:val="2"/>
        </w:numPr>
        <w:spacing w:after="60"/>
      </w:pPr>
      <w:r>
        <w:t xml:space="preserve">Clés de bracelet : création, rotation de la clé de données avec rechiffrement, retrait d’une clé dédiée à un événement, contrôle quotidien sur 100 bracelets.</w:t>
      </w:r>
    </w:p>
    <w:p>
      <w:pPr>
        <w:pStyle w:val="Paragraphedeliste"/>
        <w:numPr>
          <w:ilvl w:val="0"/>
          <w:numId w:val="2"/>
        </w:numPr>
        <w:spacing w:after="60"/>
      </w:pPr>
      <w:r>
        <w:t xml:space="preserve">Lots : création, cycle de vie, inventaire, clôture, rattrapage du préchargement.</w:t>
      </w:r>
    </w:p>
    <w:p>
      <w:pPr>
        <w:pStyle w:val="Paragraphedeliste"/>
        <w:numPr>
          <w:ilvl w:val="0"/>
          <w:numId w:val="2"/>
        </w:numPr>
        <w:spacing w:after="60"/>
      </w:pPr>
      <w:r>
        <w:t xml:space="preserve">Codes de rattachement : fichier de commande remis une seule fois, association à la puce au scan ou par le fichier de l’imprimeur.</w:t>
      </w:r>
    </w:p>
    <w:p>
      <w:pPr>
        <w:pStyle w:val="Paragraphedeliste"/>
        <w:numPr>
          <w:ilvl w:val="0"/>
          <w:numId w:val="2"/>
        </w:numPr>
        <w:spacing w:after="60"/>
      </w:pPr>
      <w:r>
        <w:t xml:space="preserve">Poste de personnalisation : enregistrement d’un bracelet, mot de passe rendu sous enveloppe.</w:t>
      </w:r>
    </w:p>
    <w:p>
      <w:pPr>
        <w:pStyle w:val="Paragraphedeliste"/>
        <w:numPr>
          <w:ilvl w:val="0"/>
          <w:numId w:val="2"/>
        </w:numPr>
        <w:spacing w:after="60"/>
      </w:pPr>
      <w:r>
        <w:t xml:space="preserve">Terminal : demande du mot de passe d’un bracelet, enregistrement d’une lecture, effets de sécurité qui survivent à l’échec de l’opération.</w:t>
      </w:r>
    </w:p>
    <w:p>
      <w:pPr>
        <w:pStyle w:val="Paragraphedeliste"/>
        <w:numPr>
          <w:ilvl w:val="0"/>
          <w:numId w:val="2"/>
        </w:numPr>
        <w:spacing w:after="60"/>
      </w:pPr>
      <w:r>
        <w:t xml:space="preserve">Guichet : activation, caution, consultation, restitution, remplacement, perte, espèces dues, liste noire et sortie à deux.</w:t>
      </w:r>
    </w:p>
    <w:p>
      <w:pPr>
        <w:pStyle w:val="Paragraphedeliste"/>
        <w:numPr>
          <w:ilvl w:val="0"/>
          <w:numId w:val="2"/>
        </w:numPr>
        <w:spacing w:after="60"/>
      </w:pPr>
      <w:r>
        <w:t xml:space="preserve">Festivalier : rattachement par code, demande en attente confirmée au guichet, consultation anonyme du solde.</w:t>
      </w:r>
    </w:p>
    <w:p>
      <w:pPr>
        <w:pStyle w:val="Paragraphedeliste"/>
        <w:numPr>
          <w:ilvl w:val="0"/>
          <w:numId w:val="2"/>
        </w:numPr>
        <w:spacing w:after="60"/>
      </w:pPr>
      <w:r>
        <w:t xml:space="preserve">Contrat d’API complété (26 opérations ajoutées) et types TypeScript et Dart générés.</w:t>
      </w:r>
    </w:p>
    <w:p>
      <w:pPr>
        <w:pStyle w:val="Titre2"/>
      </w:pPr>
      <w:bookmarkStart w:id="6" w:name="_Toc6"/>
      <w:r>
        <w:t xml:space="preserve">Hors périmètre (missions suivantes)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0"/>
        <w:gridCol w:w="4038"/>
      </w:tblGrid>
      <w:tr>
        <w:trPr>
          <w:tblHeader/>
        </w:trPr>
        <w:tc>
          <w:tcPr>
            <w:tcW w:w="5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40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Mission prévue</w:t>
            </w:r>
          </w:p>
        </w:tc>
      </w:tr>
      <w:tr>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Enrôlement des terminaux, signature de leurs requêtes, paiement</w:t>
            </w:r>
          </w:p>
        </w:tc>
        <w:tc>
          <w:tcPr>
            <w:tcW w:w="4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5</w:t>
            </w:r>
          </w:p>
        </w:tc>
      </w:tr>
      <w:tr>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Recharges, caisses, prestataires de paiement</w:t>
            </w:r>
          </w:p>
        </w:tc>
        <w:tc>
          <w:tcPr>
            <w:tcW w:w="4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6</w:t>
            </w:r>
          </w:p>
        </w:tc>
      </w:tr>
      <w:tr>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Adaptateur AWS KMS réel</w:t>
            </w:r>
          </w:p>
        </w:tc>
        <w:tc>
          <w:tcPr>
            <w:tcW w:w="4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Mise en production (point ouvert OP-N41)</w:t>
            </w:r>
          </w:p>
        </w:tc>
      </w:tr>
      <w:tr>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Comptes des festivaliers, liste « mes bracelets », perte déclarée depuis l’app</w:t>
            </w:r>
          </w:p>
        </w:tc>
        <w:tc>
          <w:tcPr>
            <w:tcW w:w="4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r>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Back-office web (écrans)</w:t>
            </w:r>
          </w:p>
        </w:tc>
        <w:tc>
          <w:tcPr>
            <w:tcW w:w="4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w:t>
            </w:r>
          </w:p>
        </w:tc>
      </w:tr>
      <w:tr>
        <w:tc>
          <w:tcPr>
            <w:tcW w:w="5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Lecture et écriture NFC sur Android, outil du poste de personnalisation</w:t>
            </w:r>
          </w:p>
        </w:tc>
        <w:tc>
          <w:tcPr>
            <w:tcW w:w="4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Missions des apps</w:t>
            </w:r>
          </w:p>
        </w:tc>
      </w:tr>
    </w:tbl>
    <w:p>
      <w:pPr>
        <w:spacing w:after="120"/>
      </w:pPr>
    </w:p>
    <w:p>
      <w:pPr>
        <w:pStyle w:val="Titre1"/>
      </w:pPr>
      <w:bookmarkStart w:id="7" w:name="_Toc7"/>
      <w:r>
        <w:t xml:space="preserve">4. Décisions de cadrage</w:t>
      </w:r>
      <w:bookmarkEnd w:id="7"/>
    </w:p>
    <w:p>
      <w:pPr>
        <w:spacing w:after="120"/>
      </w:pPr>
      <w:r>
        <w:t xml:space="preserve">Douze décisions ont été prises avec le porteur du projet le 13 octobre 2026. Elles sont tracées dans kitty-specs/bracelets-nfc-01M4TD3W/ (decisions/ et research.md).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838"/>
      </w:tblGrid>
      <w:tr>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8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Pourquoi</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du terminal et du festivalier</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prise et un faux pour les tests ; l’identité réelle vient avec les missions 5 et 10</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routes peuvent être livrées et testées maintenant, sans attendre l’enrôlement des terminaux</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Bibliothèque Dart</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Livrée dans cette mission, prouvée en local et en intégration continue</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Serveur et apps ne doivent jamais diverger sur le format</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Service de clés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Prises et faux seulement, pas d’adaptateur AWS</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compte AWS n’existe pas encore ; le faux reproduit les vecteurs du kit</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Écarts de sécurité</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écart qui affaiblit la sécurité est soumis au porteur avant d’être codé ; aucun faux en production ; chaque dette est nommée</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Règle ajoutée à CLAUDE.md, valable pour toutes les missions</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Découpage en processus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seul code, quatre processus, chacun avec ses seuls droits sur le service de clés</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faille de l’API publique ne donne accès à aucune clé (§3.2)</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Rôles de base de données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rôle par processus ; l’API publique ne lit ni mot de passe chiffré ni clé de données</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séparation tient aussi dans la base</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Poste de personnalisation</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Rôle PERSONALIZER, donné par un administrateur du prestataire</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autre rôle n’enregistre un bracelet</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 de passe vers le poste</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Jamais en clair : chiffré pour une clé à usage unique du poste</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mot de passe d’un bracelet ne circule jamais lisible sur le réseau</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de données en mémoire</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 minutes au plus, dans le seul processus des clés de bracelet</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Éviter un appel au service de clés par bracelet, sans garder la clé longtemps</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Création et désactivation d’une clé</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Par une commande d’administration lancée à la demande, seule à en avoir le droit</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processus en service ne peut créer ou détruire une clé</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de données de la personnalisation (n° 7)</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clé par session de personnalisation ; la rotation ramène ensuite tout sous une seule clé</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plan demandait au poste de rouvrir la clé active, ce qui exigeait un droit de déchiffrer : refusé</w:t>
            </w:r>
          </w:p>
        </w:tc>
      </w:tr>
      <w:t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Consultation anonyme du solde (n° 8) et droits hérités (n° 9)</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Fonction de lecture dédiée, limitée à 20 essais par code et par heure ; droit d’exécution hérité accepté pour les quatre nouveaux rôles</w:t>
            </w:r>
          </w:p>
        </w:tc>
        <w:tc>
          <w:tcPr>
            <w:tcW w:w="3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Même limite déjà acceptée pour le rôle de la plateforme (ADR-80) ; consignée comme dette OP-N44</w:t>
            </w:r>
          </w:p>
        </w:tc>
      </w:tr>
    </w:tbl>
    <w:p>
      <w:pPr>
        <w:spacing w:after="120"/>
      </w:pPr>
    </w:p>
    <w:p>
      <w:pPr>
        <w:pStyle w:val="Titre1"/>
      </w:pPr>
      <w:bookmarkStart w:id="8" w:name="_Toc8"/>
      <w:r>
        <w:t xml:space="preserve">5. Exigences</w:t>
      </w:r>
      <w:bookmarkEnd w:id="8"/>
    </w:p>
    <w:p>
      <w:pPr>
        <w:pStyle w:val="Titre2"/>
      </w:pPr>
      <w:bookmarkStart w:id="9" w:name="_Toc9"/>
      <w:r>
        <w:t xml:space="preserve">5.1 Exigences fonctionnelles (36)</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Exigence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B 1.0 : encoder et décoder 28 octets ; refus d’un majeur inconnu et d’un CRC faux</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Message de dérivation du mot de passe ; extraction de PWD et PACK</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Chiffrement du mot de passe stocké, lié au bracelet, au prestataire, à l’index et à l’UID (34 octets)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de rattachement : 10 caractères, alphabet de 32, affichage, normalisation, empreinte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Bibliothèque en TypeScript et en Dart, conformes aux vecteurs du kit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Service de clés remplaçable, livré avec un faux</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de bracelet : création à deux (partagée ou dédiée à un événement), liste, consultation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Rotation de la clé de données à deux, rechiffrement par tranches, suivi</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Retrait d’une clé dédiée à deux, quand tous ses lots sont clos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Contrôle quotidien : 100 bracelets au plus, alerte au premier écart, compte rendu</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Lots : création, liste, consultation, modification tant que le lot est commandé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Cycle de vie d’un lot, motif pour la suspension, chaque passage tracé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Clôture d’un lot par tranches et rattrapage du préchargement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Inventaire d’un lot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Fichier de commande des codes, remis une seule fois ; le serveur ne garde que les empreintes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Enregistrement d’un bracelet personnalisé ; mot de passe rendu sous enveloppe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Association du code à la puce, au scan ou par le fichier de l’imprimeur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 de passe d’un bracelet pour un terminal authentifié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Enregistrement d’une lecture ; résultat de la base rendu tel quel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Liste noire et anomalie d’une lecture suspecte enregistrées même si l’opération échoue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Activation : remise, rattachement à un portefeuille, crédits offerts posés une fois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Caution : prise sur le solde ou payée à part, due si le solde ne suffit pas, rendue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Prise d’une caution due, appelable par les missions de recharge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Consultation d’un bracelet, sans identité ni mot de passe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Restitution d’un bracelet soldé ; remise en stock d’un lot réattribuable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Espèces dues, avec validation sur place au-delà du maximum</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Remplacement : portefeuilles et caution suivent, sans écriture comptable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Perte déclarée et bracelet retrouvé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Liste noire avec motif ; sortie effective seulement à deux</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Rattachement par code : immédiat si le solde est nul, sinon demande en attente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Limites d’essais : 5 par compte et par heure, 20 par appareil et par jour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Confirmation au guichet d’une demande en attente (5 essais au plus)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Consultation anonyme du solde par le code imprimé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du terminal et du festivalier remplaçable, livrée avec un faux</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Audit de chaque action d’administration et historique de chaque changement de statut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Toutes les routes au contrat d’API ; types TypeScript et Dart régénérés</w:t>
            </w:r>
          </w:p>
        </w:tc>
      </w:tr>
    </w:tbl>
    <w:p>
      <w:pPr>
        <w:spacing w:after="120"/>
      </w:pPr>
    </w:p>
    <w:p>
      <w:pPr>
        <w:pStyle w:val="Titre2"/>
      </w:pPr>
      <w:bookmarkStart w:id="10" w:name="_Toc10"/>
      <w:r>
        <w:t xml:space="preserve">5.2 Exigences non fonctionnelles (10)</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600"/>
        <w:gridCol w:w="58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2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58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Seuil mesurable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NFR-001</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Conformité aux vecteurs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100 % des vecteurs du kit, à l’octet près, par chacune des deux bibliothèques, à chaque commit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NFR-002</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secret en clair au repos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identité, 0 mot de passe, 0 clé de données, 0 code dans la base, les journaux, l’audit et les erreurs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NFR-003</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Durée de vie d’un secret en mémoire</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 de passe effacé avant la fin de la requête ; clé de données en clair 5 minutes au plus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NFR-004</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Isolation entre prestataires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objet d’un autre prestataire lisible ou modifiable, sur chaque route et chaque table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NFR-005</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Séparation des droits sur les clés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appel possible au calcul ou au déchiffrement depuis l’API publique (test d’architecture)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NFR-006</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Latence</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 de passe et lecture : p95 ≤ 200 ms, p99 ≤ 500 ms sur 100 000 bracelets ; activation : p95 ≤ 500 ms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NFR-007</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d’énumération</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inconnu et code déjà utilisé : même réponse, écart de temps médian &lt; 20 ms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Traitements par tranches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500 bracelets au plus par tranche, relance sans double effet, lot de 5 000 mené au bout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NFR-009</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Tests existants verts</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Suites de la base, tests des missions 1 à 3 et rejeu du scénario verts à chaque commit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NFR-010</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faux en production</w:t>
            </w:r>
          </w:p>
        </w:tc>
        <w:tc>
          <w:tcPr>
            <w:tcW w:w="58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démarrage réussi en production avec un faux branché (3 cas, un test par faux)</w:t>
            </w:r>
          </w:p>
        </w:tc>
      </w:tr>
    </w:tbl>
    <w:p>
      <w:pPr>
        <w:spacing w:after="120"/>
      </w:pPr>
    </w:p>
    <w:p>
      <w:pPr>
        <w:pStyle w:val="Titre2"/>
      </w:pPr>
      <w:bookmarkStart w:id="11" w:name="_Toc11"/>
      <w:r>
        <w:t xml:space="preserve">5.3 Contraintes (12)</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Contrainte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 la base font les règles ; l’API les appelle sans les réécrire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fichier .sql généré du kit modifié à la main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vecteurs du kit font foi pour le format et la cryptographie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d’adaptateur AWS : prise et faux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Identités réelles hors mission : prise et faux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lecture NFC ni d’outil de poste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paiement ni de recharge ; la caution payée à part se règle en espèces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d’abord : toute route est décrite avant d’être servie ; types générés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écran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bracelet ne sert ni de billet ni de contrôle d’accès (ADR-41)</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écart qui affaiblit la sécurité est soumis au porteur avant d’être codé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Chaque dette de sécurité acceptée est nommée, gardée par un test et reportée à la mission qui la lève</w:t>
            </w:r>
          </w:p>
        </w:tc>
      </w:tr>
    </w:tbl>
    <w:p>
      <w:pPr>
        <w:spacing w:after="120"/>
      </w:pPr>
    </w:p>
    <w:p>
      <w:pPr>
        <w:pStyle w:val="Titre1"/>
      </w:pPr>
      <w:bookmarkStart w:id="12" w:name="_Toc12"/>
      <w:r>
        <w:t xml:space="preserve">6. Architecture retenue</w:t>
      </w:r>
      <w:bookmarkEnd w:id="12"/>
    </w:p>
    <w:p>
      <w:pPr>
        <w:pStyle w:val="Titre2"/>
      </w:pPr>
      <w:bookmarkStart w:id="13" w:name="_Toc13"/>
      <w:r>
        <w:t xml:space="preserve">6.1 Composants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738"/>
      </w:tblGrid>
      <w:tr>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Composant</w:t>
            </w:r>
          </w:p>
        </w:tc>
        <w:tc>
          <w:tcPr>
            <w:tcW w:w="67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Rôle</w:t>
            </w:r>
          </w:p>
        </w:tc>
      </w:tr>
      <w:t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packages/tag-format</w:t>
            </w:r>
          </w:p>
        </w:tc>
        <w:tc>
          <w:tcPr>
            <w:tcW w:w="6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de la puce, dérivation, chiffrement, enveloppes, code de rattachement ; TypeScript et Dart (dart/), vecteurs exportés du kit</w:t>
            </w:r>
          </w:p>
        </w:tc>
      </w:tr>
      <w:t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packages/ledger-sql</w:t>
            </w:r>
          </w:p>
        </w:tc>
        <w:tc>
          <w:tcPr>
            <w:tcW w:w="6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Migrations 0010 à 0014 (codes et demandes de rattachement, rôle PERSONALIZER, travaux de clé, fonctions d’appui), post-roles.sql (quatre rôles de base), 5 nouvelles suites pgTAP</w:t>
            </w:r>
          </w:p>
        </w:tc>
      </w:tr>
      <w:t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packages/contracts</w:t>
            </w:r>
          </w:p>
        </w:tc>
        <w:tc>
          <w:tcPr>
            <w:tcW w:w="6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complété : 130 chemins, 158 opérations ; types TypeScript et 357 modèles Dart générés</w:t>
            </w:r>
          </w:p>
        </w:tc>
      </w:tr>
      <w:t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apps/api/src/kms</w:t>
            </w:r>
          </w:p>
        </w:tc>
        <w:tc>
          <w:tcPr>
            <w:tcW w:w="6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prise par droit sur le service de clés, faux pour les tests, garde de production, effacement des tampons, empreinte à clé des codes</w:t>
            </w:r>
          </w:p>
        </w:tc>
      </w:tr>
      <w:t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apps/api/src/processes</w:t>
            </w:r>
          </w:p>
        </w:tc>
        <w:tc>
          <w:tcPr>
            <w:tcW w:w="6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Quatre processus et la commande d’administration des clés ; refus de toute route non déclarée</w:t>
            </w:r>
          </w:p>
        </w:tc>
      </w:tr>
      <w:t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apps/api/src/media</w:t>
            </w:r>
          </w:p>
        </w:tc>
        <w:tc>
          <w:tcPr>
            <w:tcW w:w="6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keys (clés et clés de données), batches (lots et codes), personalization (poste) ; puis terminal, guichet, rattachement, liste noire, contrôle quotidien</w:t>
            </w:r>
          </w:p>
        </w:tc>
      </w:tr>
      <w:t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apps/api/src/device-identity, customer-identity</w:t>
            </w:r>
          </w:p>
        </w:tc>
        <w:tc>
          <w:tcPr>
            <w:tcW w:w="6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Prises d’identité du terminal et du festivalier, avec leurs faux</w:t>
            </w:r>
          </w:p>
        </w:tc>
      </w:tr>
    </w:tbl>
    <w:p>
      <w:pPr>
        <w:spacing w:after="120"/>
      </w:pPr>
    </w:p>
    <w:p>
      <w:pPr>
        <w:pStyle w:val="Titre2"/>
      </w:pPr>
      <w:bookmarkStart w:id="14" w:name="_Toc14"/>
      <w:r>
        <w:t xml:space="preserve">6.2 Quatre processus, quatre niveaux de droits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300"/>
        <w:gridCol w:w="2300"/>
        <w:gridCol w:w="26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Processus</w:t>
            </w:r>
          </w:p>
        </w:tc>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Droit sur le service de clés</w:t>
            </w:r>
          </w:p>
        </w:tc>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Rôle de base</w:t>
            </w:r>
          </w:p>
        </w:tc>
        <w:tc>
          <w:tcPr>
            <w:tcW w:w="2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Ce qu’il sert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API publique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cashless_app</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Back-office, guichet, festivalier ; ne lit ni mot de passe chiffré ni clé de données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de bracelet</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Déchiffrer une clé de données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cashless_tagkeys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 de passe d’un bracelet pour un terminal ; rechiffrement après rotation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Personnalisation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Calculer un mot de passe, ouvrir une clé de données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cashless_perso</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Enregistrement d’un bracelet ; rotation et retrait d’une clé</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Contrôle quotidien</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Calculer et déchiffrer</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cashless_tagcheck</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Vérification de 100 bracelets par jour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Commande d’administration (à la demande)</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Créer et désactiver une clé</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cashless_keyadmin</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Exécute les demandes approuvées à deux</w:t>
            </w:r>
          </w:p>
        </w:tc>
      </w:tr>
    </w:tbl>
    <w:p>
      <w:pPr>
        <w:spacing w:after="120"/>
      </w:pPr>
    </w:p>
    <w:p>
      <w:pPr>
        <w:pStyle w:val="Titre2"/>
      </w:pPr>
      <w:bookmarkStart w:id="15" w:name="_Toc15"/>
      <w:r>
        <w:t xml:space="preserve">6.3 Décisions d’architecture</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3300"/>
        <w:gridCol w:w="2938"/>
      </w:tblGrid>
      <w:tr>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Justification</w:t>
            </w:r>
          </w:p>
        </w:tc>
        <w:tc>
          <w:tcPr>
            <w:tcW w:w="29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Alternative écartée</w:t>
            </w:r>
          </w:p>
        </w:tc>
      </w:tr>
      <w:tr>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prise par droit sur le service de clés ; chaque processus ne reçoit que les siennes</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code de l’API publique n’a aucun moyen d’appeler une opération de clé</w:t>
            </w:r>
          </w:p>
        </w:tc>
        <w:tc>
          <w:tcPr>
            <w:tcW w:w="2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seul client KMS partagé, filtré par configuration</w:t>
            </w:r>
          </w:p>
        </w:tc>
      </w:tr>
      <w:tr>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Travaux de clé dans une file en base (création, rotation, rechiffrement, retrait, désactivation)</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demande approuvée survit à une panne et reprend sans doublon</w:t>
            </w:r>
          </w:p>
        </w:tc>
        <w:tc>
          <w:tcPr>
            <w:tcW w:w="2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Appel direct au service de clés depuis la route d’approbation</w:t>
            </w:r>
          </w:p>
        </w:tc>
      </w:tr>
      <w:tr>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de données de session pour la personnalisation</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processus scelle sans jamais pouvoir déchiffrer</w:t>
            </w:r>
          </w:p>
        </w:tc>
        <w:tc>
          <w:tcPr>
            <w:tcW w:w="2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Lui donner le droit de déchiffrer la clé active</w:t>
            </w:r>
          </w:p>
        </w:tc>
      </w:tr>
      <w:tr>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 de passe rendu sous enveloppe (ECDH P-256, HKDF-SHA256, AES-256-GCM)</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Jamais lisible sur le réseau ni dans un registre</w:t>
            </w:r>
          </w:p>
        </w:tc>
        <w:tc>
          <w:tcPr>
            <w:tcW w:w="2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Confier le secret au seul chiffrement du transport</w:t>
            </w:r>
          </w:p>
        </w:tc>
      </w:tr>
      <w:tr>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à clé des codes (HMAC, secret hors de la base)</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code fait 50 bits : une empreinte simple se retrouverait par essais si la base fuyait</w:t>
            </w:r>
          </w:p>
        </w:tc>
        <w:tc>
          <w:tcPr>
            <w:tcW w:w="2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SHA-256 simple</w:t>
            </w:r>
          </w:p>
        </w:tc>
      </w:tr>
      <w:tr>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Réponse jamais conservée pour le fichier de commande et pour la personnalisation</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registre d’idempotence ne doit contenir aucun secret</w:t>
            </w:r>
          </w:p>
        </w:tc>
        <w:tc>
          <w:tcPr>
            <w:tcW w:w="2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Rejouer la réponse d’origine</w:t>
            </w:r>
          </w:p>
        </w:tc>
      </w:tr>
      <w:tr>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Effets de sécurité d’une lecture validés dans une transaction séparée</w:t>
            </w:r>
          </w:p>
        </w:tc>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copie est bloquée même si l’opération qui portait la lecture échoue</w:t>
            </w:r>
          </w:p>
        </w:tc>
        <w:tc>
          <w:tcPr>
            <w:tcW w:w="2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dans la transaction de l’opération</w:t>
            </w:r>
          </w:p>
        </w:tc>
      </w:tr>
    </w:tbl>
    <w:p>
      <w:pPr>
        <w:spacing w:after="120"/>
      </w:pPr>
    </w:p>
    <w:p>
      <w:pPr>
        <w:pStyle w:val="Titre2"/>
      </w:pPr>
      <w:bookmarkStart w:id="16" w:name="_Toc16"/>
      <w:r>
        <w:t xml:space="preserve">6.4 Chaîne d’une personnalisation</w:t>
      </w:r>
      <w:bookmarkEnd w:id="16"/>
    </w:p>
    <w:p>
      <w:pPr>
        <w:pStyle w:val="Paragraphedeliste"/>
        <w:numPr>
          <w:ilvl w:val="0"/>
          <w:numId w:val="2"/>
        </w:numPr>
        <w:spacing w:after="60"/>
      </w:pPr>
      <w:r>
        <w:t xml:space="preserve">Le poste lit l’UID et la signature d’originalité de la puce, écrit l’identité, puis envoie l’empreinte de l’identité, l’UID, la signature et une clé publique à usage unique.</w:t>
      </w:r>
    </w:p>
    <w:p>
      <w:pPr>
        <w:pStyle w:val="Paragraphedeliste"/>
        <w:numPr>
          <w:ilvl w:val="0"/>
          <w:numId w:val="2"/>
        </w:numPr>
        <w:spacing w:after="60"/>
      </w:pPr>
      <w:r>
        <w:t xml:space="preserve">Le processus de personnalisation vérifie le rôle PERSONALIZER, le lot et la clé du lot.</w:t>
      </w:r>
    </w:p>
    <w:p>
      <w:pPr>
        <w:pStyle w:val="Paragraphedeliste"/>
        <w:numPr>
          <w:ilvl w:val="0"/>
          <w:numId w:val="2"/>
        </w:numPr>
        <w:spacing w:after="60"/>
      </w:pPr>
      <w:r>
        <w:t xml:space="preserve">Le service de clés calcule le mot de passe de cette puce (un seul appel).</w:t>
      </w:r>
    </w:p>
    <w:p>
      <w:pPr>
        <w:pStyle w:val="Paragraphedeliste"/>
        <w:numPr>
          <w:ilvl w:val="0"/>
          <w:numId w:val="2"/>
        </w:numPr>
        <w:spacing w:after="60"/>
      </w:pPr>
      <w:r>
        <w:t xml:space="preserve">Le mot de passe est chiffré sous la clé de données de session et enregistré avec le bracelet, dans une seule transaction, avec la ligne d’audit.</w:t>
      </w:r>
    </w:p>
    <w:p>
      <w:pPr>
        <w:pStyle w:val="Paragraphedeliste"/>
        <w:numPr>
          <w:ilvl w:val="0"/>
          <w:numId w:val="2"/>
        </w:numPr>
        <w:spacing w:after="60"/>
      </w:pPr>
      <w:r>
        <w:t xml:space="preserve">Il est rendu au poste chiffré pour sa clé à usage unique ; le tampon en mémoire est mis à zéro.</w:t>
      </w:r>
    </w:p>
    <w:p>
      <w:pPr>
        <w:spacing w:after="120"/>
      </w:pPr>
      <w:r>
        <w:t xml:space="preserve">Les sept schémas de la mission (deux diagrammes de cas d’usage, cinq séquences) sont dans kitty-specs/bracelets-nfc-01M4TD3W/docs/diagrams/.</w:t>
      </w:r>
    </w:p>
    <w:p>
      <w:pPr>
        <w:pStyle w:val="Titre1"/>
      </w:pPr>
      <w:bookmarkStart w:id="17" w:name="_Toc17"/>
      <w:r>
        <w:t xml:space="preserve">7. Points d’attention et contradictions</w:t>
      </w:r>
      <w:bookmarkEnd w:id="17"/>
    </w:p>
    <w:p>
      <w:pPr>
        <w:pStyle w:val="Titre2"/>
      </w:pPr>
      <w:bookmarkStart w:id="18" w:name="_Toc18"/>
      <w:r>
        <w:t xml:space="preserve">7.1 Dettes de sécurité acceptées</w:t>
      </w:r>
      <w:bookmarkEnd w:id="18"/>
    </w:p>
    <w:p>
      <w:pPr>
        <w:spacing w:after="120"/>
      </w:pPr>
      <w:r>
        <w:t xml:space="preserve">Chaque dette est consignée dans docs/POINTS_OUVERTS.md avec son risque, sa garde, la mission qui la lève et la condition de levée. Les fiches de décision (ADR) sont écrites au lot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300"/>
        <w:gridCol w:w="4238"/>
      </w:tblGrid>
      <w:tr>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4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42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Garde en place et levée</w:t>
            </w:r>
          </w:p>
        </w:tc>
      </w:tr>
      <w:t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OP-N41</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service de clés est un faux</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de démarrer en production ; levée par l’adaptateur KMS réel</w:t>
            </w:r>
          </w:p>
        </w:tc>
      </w:tr>
      <w:t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OP-N42</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L’identité du terminal est un faux qui croit des en-têtes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de démarrer en production ; levée par la mission 5</w:t>
            </w:r>
          </w:p>
        </w:tc>
      </w:tr>
      <w:t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OP-N43</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L’identité du festivalier est un faux</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de démarrer en production ; levée par la mission 10</w:t>
            </w:r>
          </w:p>
        </w:tc>
      </w:tr>
      <w:t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OP-N44</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quatre rôles des clés héritent le droit d’exécuter les fonctions d’API du schéma</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Chaque fonction vérifie le prestataire ; même limite que l’ADR-80</w:t>
            </w:r>
          </w:p>
        </w:tc>
      </w:tr>
      <w:t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OP-N45</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Rien, dans le dépôt, n’aiguille une requête vers le bon processus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route absente d’un processus répond 404 ; levée au déploiement</w:t>
            </w:r>
          </w:p>
        </w:tc>
      </w:tr>
      <w:t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OP-N46</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signature d’originalité est vérifiée par le poste, pas par le serveur</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Rôle PERSONALIZER, empreinte comparée à chaque lecture</w:t>
            </w:r>
          </w:p>
        </w:tc>
      </w:tr>
      <w:tr>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OP-N47</w:t>
            </w:r>
          </w:p>
        </w:tc>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procédure de rotation du secret des empreintes de codes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Secret hors de la base, obligatoire en production</w:t>
            </w:r>
          </w:p>
        </w:tc>
      </w:tr>
    </w:tbl>
    <w:p>
      <w:pPr>
        <w:spacing w:after="120"/>
      </w:pPr>
    </w:p>
    <w:p>
      <w:pPr>
        <w:pStyle w:val="Titre2"/>
      </w:pPr>
      <w:bookmarkStart w:id="19" w:name="_Toc19"/>
      <w:r>
        <w:t xml:space="preserve">7.2 Résultat de l’analyse de cohérence</w:t>
      </w:r>
      <w:bookmarkEnd w:id="19"/>
    </w:p>
    <w:p>
      <w:pPr>
        <w:spacing w:after="120"/>
      </w:pPr>
      <w:r>
        <w:t xml:space="preserve">Premier passage : bloquée, pour un point élevé. Le plan demandait au poste de personnalisation de rouvrir la clé de données active, ce qui supposait un droit de déchiffrer que ce processus ne doit pas avoir. Le porteur a tranché (décision n° 7, clé de données de session) ; le plan et les lots ont été réalignés. Second passage : prête pour l’implémentation.</w:t>
      </w:r>
    </w:p>
    <w:p>
      <w:pPr>
        <w:pStyle w:val="Titre2"/>
      </w:pPr>
      <w:bookmarkStart w:id="20" w:name="_Toc20"/>
      <w:r>
        <w:t xml:space="preserve">7.3 Constats pendant l’implémentation</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5000"/>
        <w:gridCol w:w="3938"/>
      </w:tblGrid>
      <w:tr>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N°</w:t>
            </w:r>
          </w:p>
        </w:tc>
        <w:tc>
          <w:tcPr>
            <w:tcW w:w="5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Constat</w:t>
            </w:r>
          </w:p>
        </w:tc>
        <w:tc>
          <w:tcPr>
            <w:tcW w:w="39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consultation anonyme du solde ne peut pas passer par les règles d’isolation habituelles (pas de prestataire connu)</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Fonction de lecture dédiée, bornée par le contrat ; acceptée par le porteur (n° 8)</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quatre nouveaux rôles héritent un droit d’exécution qui ne se retire pas à un seul rôle</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Accepté par le porteur (n° 9), consigné OP-N44</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processus sans prestataire de session faisait échouer les règles d’isolation</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Identifiant nul réservé à ces lectures, limité à la file des travaux</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file des travaux de clé est commune à tous les prestataires : les suites de tests se prenaient leurs travaux</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 0014 : prise d’un travail limitée à des prestataires donnés (restreint, n’ouvre aucun droit)</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contrat déclarait les montants de préchargement et de caution strictement positifs ; en base, 0 veut dire « aucun »</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corrigé (0 permis), types régénérés</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fichiers de verrouillage Dart étaient ignorés par git : la génération aurait échoué en intégration continue</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Fichiers versionnés</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fichier de commande des codes n’est remis qu’une fois : s’il se perd en route, personne ne connaît les codes du lot</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Point ouvert OP-N48, à trancher par le porteur (nouvelle émission tant qu’aucun code n’est associé ?)</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8</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second exemplaire du service d’audit dans un module faisait échouer deux tests de la mission 3</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Module d’audit commun partout</w:t>
            </w:r>
          </w:p>
        </w:tc>
      </w:tr>
      <w:t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9</w:t>
            </w:r>
          </w:p>
        </w:tc>
        <w:tc>
          <w:tcPr>
            <w:tcW w:w="5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spécification ne dit pas quoi faire d’une lecture dont la puce ne s’est pas authentifiée (PACK non vérifié) ou d’un format de version inconnue</w:t>
            </w:r>
          </w:p>
        </w:tc>
        <w:tc>
          <w:tcPr>
            <w:tcW w:w="3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Refusée et non enregistrée (renforcement)</w:t>
            </w:r>
          </w:p>
        </w:tc>
      </w:tr>
    </w:tbl>
    <w:p>
      <w:pPr>
        <w:spacing w:after="120"/>
      </w:pPr>
    </w:p>
    <w:p>
      <w:pPr>
        <w:pStyle w:val="Titre2"/>
      </w:pPr>
      <w:bookmarkStart w:id="21" w:name="_Toc21"/>
      <w:r>
        <w:t xml:space="preserve">7.4 Relecture</w:t>
      </w:r>
      <w:bookmarkEnd w:id="21"/>
    </w:p>
    <w:p>
      <w:pPr>
        <w:spacing w:after="120"/>
      </w:pPr>
      <w:r>
        <w:t xml:space="preserve">Chaque lot est relu par le même agent que celui qui l’a écrit : ce n’est pas une relecture indépendante. Fichiers à faire relire par une personne : packages/ledger-sql/post-roles.sql et migrations/0013_media_api.sql (droits de la base) ; apps/api/src/kms, src/processes, src/db/process-db.module.ts (séparation des droits) ; src/media/keys, src/media/personalization, src/media/batches/claim-codes.service.ts, src/idempotency/idempotency.interceptor.ts (secrets) ; packages/tag-format/src (cryptographie).</w:t>
      </w:r>
    </w:p>
    <w:p>
      <w:pPr>
        <w:pStyle w:val="Titre1"/>
      </w:pPr>
      <w:bookmarkStart w:id="22" w:name="_Toc22"/>
      <w:r>
        <w:t xml:space="preserve">8. Plan de travail</w:t>
      </w:r>
      <w:bookmarkEnd w:id="22"/>
    </w:p>
    <w:p>
      <w:pPr>
        <w:spacing w:after="120"/>
      </w:pPr>
      <w:r>
        <w:t xml:space="preserve">20 lots de travail, 87 sous-tâches. Chaque lot a ses propres fichiers et une branche de travail dédiée.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500"/>
        <w:gridCol w:w="1100"/>
        <w:gridCol w:w="2038"/>
        <w:gridCol w:w="1200"/>
      </w:tblGrid>
      <w:tr>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4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Objet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Sous-tâches</w:t>
            </w:r>
          </w:p>
        </w:tc>
        <w:tc>
          <w:tcPr>
            <w:tcW w:w="20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Dépend de</w:t>
            </w:r>
          </w:p>
        </w:tc>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Bibliothèque de format en TypeScript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Bibliothèque de format en Dart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Schéma des codes et demandes de rattachement (migration 0010)</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Rôle PERSONALIZER, actions à deux, travaux de clé (0011, 0012)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WP05</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Fonctions d’appui de l’API des bracelets (0013)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WP06</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Rôles de base des processus et retraits à l’API publique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WP05</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d’API, types TypeScript et Dart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Prises (clés, terminal, festivalier), faux, garde de production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Quatre processus et commande d’administration des clés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WP06, WP08</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 demandes à deux, suivi, commande d’administration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 WP07, WP09</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de données : session, rotation, rechiffrement, retrait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Lots : création, cycle de vie, codes à la commande, inventaire, clôture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 WP05, WP07, WP09</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Personnalisation : enregistrement d’un bracelet, association du code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 WP12</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 de passe pour un terminal et lecture d’un bracelet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WP15</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Activation, caution et consultation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WP16</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Guichet de retour : restitution, remplacement, perte, espèces dues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WP15</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WP17</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Rattachement par code, demande en attente, consultation anonyme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WP16</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WP18</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Liste noire et sortie à deux</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WP19</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Contrôle quotidien des mots de passe stockés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WP20</w:t>
            </w:r>
          </w:p>
        </w:tc>
        <w:tc>
          <w:tcPr>
            <w:tcW w:w="4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Preuves de bout en bout, secrets, isolation, latence, CI, décisions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WP17, WP18, WP19</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bl>
    <w:p>
      <w:pPr>
        <w:spacing w:after="120"/>
      </w:pPr>
    </w:p>
    <w:p>
      <w:pPr>
        <w:pStyle w:val="Titre2"/>
      </w:pPr>
      <w:bookmarkStart w:id="23" w:name="_Toc23"/>
      <w:r>
        <w:t xml:space="preserve">Ordre et parallélisme</w:t>
      </w:r>
      <w:bookmarkEnd w:id="23"/>
    </w:p>
    <w:p>
      <w:pPr>
        <w:pStyle w:val="Paragraphedeliste"/>
        <w:numPr>
          <w:ilvl w:val="0"/>
          <w:numId w:val="2"/>
        </w:numPr>
        <w:spacing w:after="60"/>
      </w:pPr>
      <w:r>
        <w:t xml:space="preserve">Socle : WP01, WP03 et WP07 sans dépendance ; puis WP02, WP04 à WP06, WP08 et WP09.</w:t>
      </w:r>
    </w:p>
    <w:p>
      <w:pPr>
        <w:pStyle w:val="Paragraphedeliste"/>
        <w:numPr>
          <w:ilvl w:val="0"/>
          <w:numId w:val="2"/>
        </w:numPr>
        <w:spacing w:after="60"/>
      </w:pPr>
      <w:r>
        <w:t xml:space="preserve">Clés et lots : WP10 puis WP11 ; WP12 en parallèle ; WP13 les réunit.</w:t>
      </w:r>
    </w:p>
    <w:p>
      <w:pPr>
        <w:pStyle w:val="Paragraphedeliste"/>
        <w:numPr>
          <w:ilvl w:val="0"/>
          <w:numId w:val="2"/>
        </w:numPr>
        <w:spacing w:after="60"/>
      </w:pPr>
      <w:r>
        <w:t xml:space="preserve">Vie du bracelet : WP14, puis WP15 à WP17 à la suite ; WP18 et WP19 en parallèle.</w:t>
      </w:r>
    </w:p>
    <w:p>
      <w:pPr>
        <w:pStyle w:val="Paragraphedeliste"/>
        <w:numPr>
          <w:ilvl w:val="0"/>
          <w:numId w:val="2"/>
        </w:numPr>
        <w:spacing w:after="60"/>
      </w:pPr>
      <w:r>
        <w:t xml:space="preserve">WP20 ferme la mission : parcours complet, recherche de secrets, isolation, latence, intégration continue, fiches de décision.</w:t>
      </w:r>
    </w:p>
    <w:p>
      <w:pPr>
        <w:pStyle w:val="Titre1"/>
      </w:pPr>
      <w:bookmarkStart w:id="24" w:name="_Toc24"/>
      <w:r>
        <w:t xml:space="preserve">9. Avancement et prochaines étapes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900"/>
        <w:gridCol w:w="4938"/>
      </w:tblGrid>
      <w:tr>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Étape</w:t>
            </w:r>
          </w:p>
        </w:tc>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c>
          <w:tcPr>
            <w:tcW w:w="49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Remarque</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Spécification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Terminée</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36 FR, 10 NFR, 12 contraintes, 9 critères de réussite</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Plan, recherche, modèle de données, 6 contrats, quickstart</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Documentation (après plan)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jour</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Docs locales de la mission, 7 schémas, documents globaux 01, 02, 04, 05, 07</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Découpage en lots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lots, 87 sous-tâches, 100 % des FR couvertes</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Analyse de cohérence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Prête</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point élevé levé par la décision n° 7 du porteur</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Implémentation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 cours</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 lots sur 20 approuvés au 13 octobre 2026 ; reste WP15 à WP20</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Vérifications au lot 14</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Vertes en local</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1 237 assertions de la base sur 1 237 ; 1 130 tests de l’API sur 1 130 ; 39 tests du format en TypeScript, 30 en Dart ; lint et types propres</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Documentation (après revue)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Après le lot 20, avant l’acceptation</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Acceptation et fusion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Dans feat/bracelets-nfc, puis demande de fusion vers main</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Intégration continue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compléter au lot 20 : SDK Dart, mots de passe des quatre rôles, secret des codes, domaine des liens</w:t>
            </w:r>
          </w:p>
        </w:tc>
      </w:tr>
      <w:tr>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Revue après fusion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4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Doit lister les écarts de sécurité ouverts</w:t>
            </w:r>
          </w:p>
        </w:tc>
      </w:tr>
    </w:tbl>
    <w:p>
      <w:pPr>
        <w:spacing w:after="120"/>
      </w:pPr>
    </w:p>
    <w:p>
      <w:pPr>
        <w:spacing w:after="120"/>
      </w:pPr>
      <w:r>
        <w:t xml:space="preserve">Reste à faire : les lots 15 à 20, la mise à jour de la documentation, l’acceptation, la fusion et la revue. Un point attend la réponse du porteur : OP-N48 (fichier de commande des codes perdu en route). Ce document sera mis à jour à la fin de la mission.</w:t>
      </w:r>
    </w:p>
    <w:sectPr w:rsidR="009D493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B4A" w:rsidRDefault="00DC1B4A">
      <w:r>
        <w:separator/>
      </w:r>
    </w:p>
  </w:endnote>
  <w:endnote w:type="continuationSeparator" w:id="0">
    <w:p w:rsidR="00DC1B4A" w:rsidRDefault="00DC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932" w:rsidRDefault="00E30803">
    <w:pPr>
      <w:jc w:val="center"/>
    </w:pPr>
    <w:r>
      <w:rPr>
        <w:color w:val="7F7F7F"/>
        <w:sz w:val="16"/>
        <w:szCs w:val="16"/>
      </w:rPr>
      <w:t>Mission 4 :</w:t>
    </w:r>
    <w:r w:rsidR="00DC1B4A">
      <w:rPr>
        <w:color w:val="7F7F7F"/>
        <w:sz w:val="16"/>
        <w:szCs w:val="16"/>
      </w:rPr>
      <w:t xml:space="preserve"> Bracelets NFC : format, clés, lots et cycle de vie · page </w:t>
    </w:r>
    <w:r w:rsidR="00DC1B4A">
      <w:rPr>
        <w:color w:val="7F7F7F"/>
        <w:sz w:val="16"/>
        <w:szCs w:val="16"/>
      </w:rPr>
      <w:fldChar w:fldCharType="begin"/>
    </w:r>
    <w:r w:rsidR="00DC1B4A">
      <w:rPr>
        <w:color w:val="7F7F7F"/>
        <w:sz w:val="16"/>
        <w:szCs w:val="16"/>
      </w:rPr>
      <w:instrText>PAGE</w:instrText>
    </w:r>
    <w:r>
      <w:rPr>
        <w:color w:val="7F7F7F"/>
        <w:sz w:val="16"/>
        <w:szCs w:val="16"/>
      </w:rPr>
      <w:fldChar w:fldCharType="separate"/>
    </w:r>
    <w:r w:rsidR="00285ADA">
      <w:rPr>
        <w:noProof/>
        <w:color w:val="7F7F7F"/>
        <w:sz w:val="16"/>
        <w:szCs w:val="16"/>
      </w:rPr>
      <w:t>2</w:t>
    </w:r>
    <w:r w:rsidR="00DC1B4A">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B4A" w:rsidRDefault="00DC1B4A">
      <w:r>
        <w:separator/>
      </w:r>
    </w:p>
  </w:footnote>
  <w:footnote w:type="continuationSeparator" w:id="0">
    <w:p w:rsidR="00DC1B4A" w:rsidRDefault="00DC1B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05C1C"/>
    <w:multiLevelType w:val="hybridMultilevel"/>
    <w:tmpl w:val="F57C1BF4"/>
    <w:lvl w:ilvl="0" w:tplc="E8104170">
      <w:start w:val="1"/>
      <w:numFmt w:val="bullet"/>
      <w:lvlText w:val="•"/>
      <w:lvlJc w:val="left"/>
      <w:pPr>
        <w:ind w:left="720" w:hanging="360"/>
      </w:pPr>
    </w:lvl>
    <w:lvl w:ilvl="1" w:tplc="D13445FA" w:tentative="1">
      <w:start w:val="1"/>
      <w:numFmt w:val="bullet"/>
      <w:lvlText w:val="–"/>
      <w:lvlJc w:val="left"/>
      <w:pPr>
        <w:ind w:left="1440" w:hanging="360"/>
      </w:pPr>
    </w:lvl>
    <w:lvl w:ilvl="2" w:tplc="E48C881E">
      <w:numFmt w:val="decimal"/>
      <w:lvlText w:val=""/>
      <w:lvlJc w:val="left"/>
    </w:lvl>
    <w:lvl w:ilvl="3" w:tplc="4A62EACC">
      <w:numFmt w:val="decimal"/>
      <w:lvlText w:val=""/>
      <w:lvlJc w:val="left"/>
    </w:lvl>
    <w:lvl w:ilvl="4" w:tplc="3E8E262E">
      <w:numFmt w:val="decimal"/>
      <w:lvlText w:val=""/>
      <w:lvlJc w:val="left"/>
    </w:lvl>
    <w:lvl w:ilvl="5" w:tplc="3A82FD4C">
      <w:numFmt w:val="decimal"/>
      <w:lvlText w:val=""/>
      <w:lvlJc w:val="left"/>
    </w:lvl>
    <w:lvl w:ilvl="6" w:tplc="F2007E00">
      <w:numFmt w:val="decimal"/>
      <w:lvlText w:val=""/>
      <w:lvlJc w:val="left"/>
    </w:lvl>
    <w:lvl w:ilvl="7" w:tplc="6194F4AE">
      <w:numFmt w:val="decimal"/>
      <w:lvlText w:val=""/>
      <w:lvlJc w:val="left"/>
    </w:lvl>
    <w:lvl w:ilvl="8" w:tplc="756C1BE6">
      <w:numFmt w:val="decimal"/>
      <w:lvlText w:val=""/>
      <w:lvlJc w:val="left"/>
    </w:lvl>
  </w:abstractNum>
  <w:abstractNum w:abstractNumId="1" w15:restartNumberingAfterBreak="0">
    <w:nsid w:val="680D7D08"/>
    <w:multiLevelType w:val="hybridMultilevel"/>
    <w:tmpl w:val="0472D0AA"/>
    <w:lvl w:ilvl="0" w:tplc="BC7690DE" w:tentative="1">
      <w:start w:val="1"/>
      <w:numFmt w:val="bullet"/>
      <w:lvlText w:val="●"/>
      <w:lvlJc w:val="left"/>
      <w:pPr>
        <w:ind w:left="720" w:hanging="360"/>
      </w:pPr>
    </w:lvl>
    <w:lvl w:ilvl="1" w:tplc="2C447246" w:tentative="1">
      <w:start w:val="1"/>
      <w:numFmt w:val="bullet"/>
      <w:lvlText w:val="○"/>
      <w:lvlJc w:val="left"/>
      <w:pPr>
        <w:ind w:left="1440" w:hanging="360"/>
      </w:pPr>
    </w:lvl>
    <w:lvl w:ilvl="2" w:tplc="61E86F4E" w:tentative="1">
      <w:start w:val="1"/>
      <w:numFmt w:val="bullet"/>
      <w:lvlText w:val="■"/>
      <w:lvlJc w:val="left"/>
      <w:pPr>
        <w:ind w:left="2160" w:hanging="360"/>
      </w:pPr>
    </w:lvl>
    <w:lvl w:ilvl="3" w:tplc="6EAAD51C" w:tentative="1">
      <w:start w:val="1"/>
      <w:numFmt w:val="bullet"/>
      <w:lvlText w:val="●"/>
      <w:lvlJc w:val="left"/>
      <w:pPr>
        <w:ind w:left="2880" w:hanging="360"/>
      </w:pPr>
    </w:lvl>
    <w:lvl w:ilvl="4" w:tplc="305CC3D8" w:tentative="1">
      <w:start w:val="1"/>
      <w:numFmt w:val="bullet"/>
      <w:lvlText w:val="○"/>
      <w:lvlJc w:val="left"/>
      <w:pPr>
        <w:ind w:left="3600" w:hanging="360"/>
      </w:pPr>
    </w:lvl>
    <w:lvl w:ilvl="5" w:tplc="B50AF6AA" w:tentative="1">
      <w:start w:val="1"/>
      <w:numFmt w:val="bullet"/>
      <w:lvlText w:val="■"/>
      <w:lvlJc w:val="left"/>
      <w:pPr>
        <w:ind w:left="4320" w:hanging="360"/>
      </w:pPr>
    </w:lvl>
    <w:lvl w:ilvl="6" w:tplc="58A89ECA" w:tentative="1">
      <w:start w:val="1"/>
      <w:numFmt w:val="bullet"/>
      <w:lvlText w:val="●"/>
      <w:lvlJc w:val="left"/>
      <w:pPr>
        <w:ind w:left="5040" w:hanging="360"/>
      </w:pPr>
    </w:lvl>
    <w:lvl w:ilvl="7" w:tplc="1446FF44" w:tentative="1">
      <w:start w:val="1"/>
      <w:numFmt w:val="bullet"/>
      <w:lvlText w:val="●"/>
      <w:lvlJc w:val="left"/>
      <w:pPr>
        <w:ind w:left="5760" w:hanging="360"/>
      </w:pPr>
    </w:lvl>
    <w:lvl w:ilvl="8" w:tplc="5F98A2A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932"/>
    <w:rsid w:val="00285ADA"/>
    <w:rsid w:val="009D4932"/>
    <w:rsid w:val="00DC1B4A"/>
    <w:rsid w:val="00E308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69B5"/>
  <w15:docId w15:val="{E55EAA94-50E3-437D-A277-3D904444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360" w:after="160"/>
      <w:outlineLvl w:val="0"/>
    </w:pPr>
    <w:rPr>
      <w:b/>
      <w:bCs/>
      <w:color w:val="1F4E79"/>
      <w:sz w:val="32"/>
      <w:szCs w:val="32"/>
    </w:rPr>
  </w:style>
  <w:style w:type="paragraph" w:styleId="Titre2">
    <w:name w:val="heading 2"/>
    <w:basedOn w:val="Normal"/>
    <w:next w:val="Normal"/>
    <w:qFormat/>
    <w:pPr>
      <w:spacing w:before="240" w:after="120"/>
      <w:outlineLvl w:val="1"/>
    </w:pPr>
    <w:rPr>
      <w:b/>
      <w:bCs/>
      <w:color w:val="1F4E79"/>
      <w:sz w:val="26"/>
      <w:szCs w:val="26"/>
    </w:rPr>
  </w:style>
  <w:style w:type="paragraph" w:styleId="Titre3">
    <w:name w:val="heading 3"/>
    <w:basedOn w:val="Normal"/>
    <w:next w:val="Normal"/>
    <w:qFormat/>
    <w:pPr>
      <w:spacing w:before="200" w:after="100"/>
      <w:outlineLvl w:val="2"/>
    </w:pPr>
    <w:rPr>
      <w:b/>
      <w:bCs/>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30803"/>
    <w:pPr>
      <w:tabs>
        <w:tab w:val="center" w:pos="4536"/>
        <w:tab w:val="right" w:pos="9072"/>
      </w:tabs>
    </w:pPr>
  </w:style>
  <w:style w:type="character" w:customStyle="1" w:styleId="En-tteCar">
    <w:name w:val="En-tête Car"/>
    <w:basedOn w:val="Policepardfaut"/>
    <w:link w:val="En-tte"/>
    <w:uiPriority w:val="99"/>
    <w:rsid w:val="00E30803"/>
  </w:style>
  <w:style w:type="paragraph" w:styleId="Pieddepage">
    <w:name w:val="footer"/>
    <w:basedOn w:val="Normal"/>
    <w:link w:val="PieddepageCar"/>
    <w:uiPriority w:val="99"/>
    <w:unhideWhenUsed/>
    <w:rsid w:val="00E30803"/>
    <w:pPr>
      <w:tabs>
        <w:tab w:val="center" w:pos="4536"/>
        <w:tab w:val="right" w:pos="9072"/>
      </w:tabs>
    </w:pPr>
  </w:style>
  <w:style w:type="character" w:customStyle="1" w:styleId="PieddepageCar">
    <w:name w:val="Pied de page Car"/>
    <w:basedOn w:val="Policepardfaut"/>
    <w:link w:val="Pieddepage"/>
    <w:uiPriority w:val="99"/>
    <w:rsid w:val="00E3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3023</Words>
  <Characters>16632</Characters>
  <Application>Microsoft Office Word</Application>
  <DocSecurity>0</DocSecurity>
  <Lines>138</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4 : Bracelets NFC : format, clés, lots et cycle de vie</dc:title>
  <dc:creator>Claude (Claude Code) pour Papa Omar SYLLA</dc:creator>
  <cp:lastModifiedBy>hp</cp:lastModifiedBy>
  <cp:revision>3</cp:revision>
  <dcterms:created xsi:type="dcterms:W3CDTF">2026-10-08T15:43:00Z</dcterms:created>
  <dcterms:modified xsi:type="dcterms:W3CDTF">2026-10-08T15:46:00Z</dcterms:modified>
</cp:coreProperties>
</file>