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color w:val="595959"/>
          <w:sz w:val="24"/>
          <w:szCs w:val="24"/>
        </w:rPr>
        <w:t xml:space="preserve">Cashless Platform</w:t>
      </w:r>
    </w:p>
    <w:p>
      <w:pPr>
        <w:spacing w:after="80"/>
      </w:pPr>
      <w:r>
        <w:rPr>
          <w:rFonts w:ascii="Calibri" w:cs="Calibri" w:eastAsia="Calibri" w:hAnsi="Calibri"/>
          <w:b/>
          <w:bCs/>
          <w:color w:val="1F4E79"/>
          <w:sz w:val="44"/>
          <w:szCs w:val="44"/>
        </w:rPr>
        <w:t xml:space="preserve">Mission 3 — Configuration, parties et événements</w:t>
      </w:r>
    </w:p>
    <w:p>
      <w:pPr>
        <w:pBdr>
          <w:bottom w:val="single" w:color="1F4E79" w:sz="8" w:space="6"/>
        </w:pBdr>
        <w:spacing w:after="240"/>
      </w:pPr>
      <w:r>
        <w:rPr>
          <w:rFonts w:ascii="Calibri" w:cs="Calibri" w:eastAsia="Calibri" w:hAnsi="Calibri"/>
          <w:color w:val="595959"/>
          <w:sz w:val="20"/>
          <w:szCs w:val="20"/>
        </w:rPr>
        <w:t xml:space="preserve">Description de la mission et état d'avancement au 12 octobre 2026 · branche feat/configuration-parties-evenements</w:t>
      </w:r>
    </w:p>
    <w:p>
      <w:pPr>
        <w:pStyle w:val="Heading1"/>
        <w:spacing w:after="140" w:before="320"/>
      </w:pPr>
      <w:r>
        <w:rPr>
          <w:rFonts w:ascii="Calibri" w:cs="Calibri" w:eastAsia="Calibri" w:hAnsi="Calibri"/>
          <w:b/>
          <w:bCs/>
          <w:color w:val="1F4E79"/>
          <w:sz w:val="30"/>
          <w:szCs w:val="30"/>
        </w:rPr>
        <w:t xml:space="preserve">1. En bref</w:t>
      </w:r>
    </w:p>
    <w:p>
      <w:pPr>
        <w:spacing w:after="120"/>
      </w:pPr>
      <w:r>
        <w:rPr>
          <w:rFonts w:ascii="Calibri" w:cs="Calibri" w:eastAsia="Calibri" w:hAnsi="Calibri"/>
          <w:sz w:val="22"/>
          <w:szCs w:val="22"/>
        </w:rPr>
        <w:t xml:space="preserve">La mission 3 permet à chaque niveau de la hiérarchie de créer et de configurer ce qui lui revient : la plateforme ouvre les prestataires et les profils de législation, le prestataire ouvre ses organisateurs et fixe contrats et plafonds, l'organisateur crée ses événements, ses commerçants, leurs participations et leurs points de vente.</w:t>
      </w:r>
    </w:p>
    <w:p>
      <w:pPr>
        <w:spacing w:after="120"/>
      </w:pPr>
      <w:r>
        <w:rPr>
          <w:rFonts w:ascii="Calibri" w:cs="Calibri" w:eastAsia="Calibri" w:hAnsi="Calibri"/>
          <w:sz w:val="22"/>
          <w:szCs w:val="22"/>
        </w:rPr>
        <w:t xml:space="preserve">Sans elle, aucune partie ni aucun événement ne peut être créé : le moteur d'écritures des missions 1 et 2 n'a aucun grand livre sur lequel écrire, et les missions suivantes (bracelets, terminaux, recharges, paiements, clôture) ne peuvent pas démarrer.</w:t>
      </w:r>
    </w:p>
    <w:p>
      <w:pPr>
        <w:spacing w:after="120"/>
      </w:pPr>
      <w:r>
        <w:rPr>
          <w:rFonts w:ascii="Calibri" w:cs="Calibri" w:eastAsia="Calibri" w:hAnsi="Calibri"/>
          <w:b/>
          <w:bCs/>
          <w:sz w:val="22"/>
          <w:szCs w:val="22"/>
        </w:rPr>
        <w:t xml:space="preserve">Avancement : </w:t>
      </w:r>
      <w:r>
        <w:rPr>
          <w:rFonts w:ascii="Calibri" w:cs="Calibri" w:eastAsia="Calibri" w:hAnsi="Calibri"/>
          <w:sz w:val="22"/>
          <w:szCs w:val="22"/>
        </w:rPr>
        <w:t xml:space="preserve">les 13 lots de travail sont terminés et approuvés (12 octobre 2026). Les 48 opérations du contrat sont servies et le scénario de référence (48 transactions) se rejoue à l'identique sur une configuration construite par l'API. La mission a été acceptée puis fusionnée dans sa branche le 13 octobre 2026 ; les suites ont été rejouées avec succès après la fusion. Rien n'est encore publié sur le dépôt distant.</w:t>
      </w:r>
    </w:p>
    <w:p>
      <w:pPr>
        <w:pStyle w:val="Heading1"/>
        <w:spacing w:after="140" w:before="320"/>
      </w:pPr>
      <w:r>
        <w:rPr>
          <w:rFonts w:ascii="Calibri" w:cs="Calibri" w:eastAsia="Calibri" w:hAnsi="Calibri"/>
          <w:b/>
          <w:bCs/>
          <w:color w:val="1F4E79"/>
          <w:sz w:val="30"/>
          <w:szCs w:val="30"/>
        </w:rPr>
        <w:t xml:space="preserve">2. Ce que la mission apporte</w:t>
      </w:r>
    </w:p>
    <w:p>
      <w:pPr>
        <w:pStyle w:val="ListParagraph"/>
        <w:numPr>
          <w:ilvl w:val="0"/>
          <w:numId w:val="2"/>
        </w:numPr>
        <w:spacing w:after="60"/>
      </w:pPr>
      <w:r>
        <w:rPr>
          <w:rFonts w:ascii="Calibri" w:cs="Calibri" w:eastAsia="Calibri" w:hAnsi="Calibri"/>
          <w:sz w:val="22"/>
          <w:szCs w:val="22"/>
        </w:rPr>
        <w:t xml:space="preserve">Un événement porte son grand livre et ses comptes dès sa création, dans la même opération.</w:t>
      </w:r>
    </w:p>
    <w:p>
      <w:pPr>
        <w:pStyle w:val="ListParagraph"/>
        <w:numPr>
          <w:ilvl w:val="0"/>
          <w:numId w:val="2"/>
        </w:numPr>
        <w:spacing w:after="60"/>
      </w:pPr>
      <w:r>
        <w:rPr>
          <w:rFonts w:ascii="Calibri" w:cs="Calibri" w:eastAsia="Calibri" w:hAnsi="Calibri"/>
          <w:sz w:val="22"/>
          <w:szCs w:val="22"/>
        </w:rPr>
        <w:t xml:space="preserve">La configuration se résout en cascade (plateforme, prestataire, organisateur, événement, participation) : la valeur la plus précise l'emporte.</w:t>
      </w:r>
    </w:p>
    <w:p>
      <w:pPr>
        <w:pStyle w:val="ListParagraph"/>
        <w:numPr>
          <w:ilvl w:val="0"/>
          <w:numId w:val="2"/>
        </w:numPr>
        <w:spacing w:after="60"/>
      </w:pPr>
      <w:r>
        <w:rPr>
          <w:rFonts w:ascii="Calibri" w:cs="Calibri" w:eastAsia="Calibri" w:hAnsi="Calibri"/>
          <w:sz w:val="22"/>
          <w:szCs w:val="22"/>
        </w:rPr>
        <w:t xml:space="preserve">Rien ne se modifie, tout se versionne : contrats, règles de frais, versions de configuration et profils de législation.</w:t>
      </w:r>
    </w:p>
    <w:p>
      <w:pPr>
        <w:pStyle w:val="ListParagraph"/>
        <w:numPr>
          <w:ilvl w:val="0"/>
          <w:numId w:val="2"/>
        </w:numPr>
        <w:spacing w:after="60"/>
      </w:pPr>
      <w:r>
        <w:rPr>
          <w:rFonts w:ascii="Calibri" w:cs="Calibri" w:eastAsia="Calibri" w:hAnsi="Calibri"/>
          <w:sz w:val="22"/>
          <w:szCs w:val="22"/>
        </w:rPr>
        <w:t xml:space="preserve">Aucun réglage ne peut franchir les bornes du profil de législation du pays ; le refus cite la règle.</w:t>
      </w:r>
    </w:p>
    <w:p>
      <w:pPr>
        <w:pStyle w:val="ListParagraph"/>
        <w:numPr>
          <w:ilvl w:val="0"/>
          <w:numId w:val="2"/>
        </w:numPr>
        <w:spacing w:after="60"/>
      </w:pPr>
      <w:r>
        <w:rPr>
          <w:rFonts w:ascii="Calibri" w:cs="Calibri" w:eastAsia="Calibri" w:hAnsi="Calibri"/>
          <w:sz w:val="22"/>
          <w:szCs w:val="22"/>
        </w:rPr>
        <w:t xml:space="preserve">Le statut d'un événement ne change que par la fonction de la base qui contrôle les conditions, et ces conditions sont consultables avant chaque passage.</w:t>
      </w:r>
    </w:p>
    <w:p>
      <w:pPr>
        <w:pStyle w:val="ListParagraph"/>
        <w:numPr>
          <w:ilvl w:val="0"/>
          <w:numId w:val="2"/>
        </w:numPr>
        <w:spacing w:after="60"/>
      </w:pPr>
      <w:r>
        <w:rPr>
          <w:rFonts w:ascii="Calibri" w:cs="Calibri" w:eastAsia="Calibri" w:hAnsi="Calibri"/>
          <w:sz w:val="22"/>
          <w:szCs w:val="22"/>
        </w:rPr>
        <w:t xml:space="preserve">Les opérations sensibles (mise en service d'un événement, nouvelle version de contrat, modification d'un événement en cours) exigent deux personnes.</w:t>
      </w:r>
    </w:p>
    <w:p>
      <w:pPr>
        <w:pStyle w:val="Heading2"/>
        <w:spacing w:after="100" w:before="220"/>
      </w:pPr>
      <w:r>
        <w:rPr>
          <w:rFonts w:ascii="Calibri" w:cs="Calibri" w:eastAsia="Calibri" w:hAnsi="Calibri"/>
          <w:b/>
          <w:bCs/>
          <w:color w:val="1F4E79"/>
          <w:sz w:val="25"/>
          <w:szCs w:val="25"/>
        </w:rPr>
        <w:t xml:space="preserve">Hors périmètre</w:t>
      </w:r>
    </w:p>
    <w:p>
      <w:pPr>
        <w:spacing w:after="120"/>
      </w:pPr>
      <w:r>
        <w:rPr>
          <w:rFonts w:ascii="Calibri" w:cs="Calibri" w:eastAsia="Calibri" w:hAnsi="Calibri"/>
          <w:sz w:val="22"/>
          <w:szCs w:val="22"/>
        </w:rPr>
        <w:t xml:space="preserve">Écrans du back-office, configurations PSP, catalogues, politiques hors ligne, terminaux et vendeurs, grand livre partagé par organisateur, écritures de clôture (droits de place, frais, versements). Chacun relève d'une mission ultérieure.</w:t>
      </w:r>
    </w:p>
    <w:p>
      <w:pPr>
        <w:pStyle w:val="Heading1"/>
        <w:spacing w:after="140" w:before="320"/>
      </w:pPr>
      <w:r>
        <w:rPr>
          <w:rFonts w:ascii="Calibri" w:cs="Calibri" w:eastAsia="Calibri" w:hAnsi="Calibri"/>
          <w:b/>
          <w:bCs/>
          <w:color w:val="1F4E79"/>
          <w:sz w:val="30"/>
          <w:szCs w:val="30"/>
        </w:rPr>
        <w:t xml:space="preserve">3. Qui fait quoi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2000"/>
        <w:gridCol w:w="5326"/>
      </w:tblGrid>
      <w:tr>
        <w:trPr>
          <w:tblHeader/>
        </w:trPr>
        <w:tc>
          <w:tcPr>
            <w:tcW w:type="dxa" w:w="1700"/>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r>
              <w:rPr>
                <w:rFonts w:ascii="Calibri" w:cs="Calibri" w:eastAsia="Calibri" w:hAnsi="Calibri"/>
                <w:b/>
                <w:bCs/>
                <w:color w:val="FFFFFF"/>
                <w:sz w:val="19"/>
                <w:szCs w:val="19"/>
              </w:rPr>
              <w:t xml:space="preserve">Niveau</w:t>
            </w:r>
          </w:p>
        </w:tc>
        <w:tc>
          <w:tcPr>
            <w:tcW w:type="dxa" w:w="2000"/>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r>
              <w:rPr>
                <w:rFonts w:ascii="Calibri" w:cs="Calibri" w:eastAsia="Calibri" w:hAnsi="Calibri"/>
                <w:b/>
                <w:bCs/>
                <w:color w:val="FFFFFF"/>
                <w:sz w:val="19"/>
                <w:szCs w:val="19"/>
              </w:rPr>
              <w:t xml:space="preserve">Rôle</w:t>
            </w:r>
          </w:p>
        </w:tc>
        <w:tc>
          <w:tcPr>
            <w:tcW w:type="dxa" w:w="5326"/>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r>
              <w:rPr>
                <w:rFonts w:ascii="Calibri" w:cs="Calibri" w:eastAsia="Calibri" w:hAnsi="Calibri"/>
                <w:b/>
                <w:bCs/>
                <w:color w:val="FFFFFF"/>
                <w:sz w:val="19"/>
                <w:szCs w:val="19"/>
              </w:rPr>
              <w:t xml:space="preserve">Ce qu'il crée et règle</w:t>
            </w:r>
          </w:p>
        </w:tc>
      </w:tr>
      <w:tr>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Plateforme</w:t>
            </w:r>
          </w:p>
        </w:tc>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PLATFORM_ADMIN</w:t>
            </w:r>
          </w:p>
        </w:tc>
        <w:tc>
          <w:tcPr>
            <w:tcW w:type="dxa" w:w="532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Profils de législation par pays, prestataires, contrat plateforme–prestataire, redevances, configuration de niveau plateforme</w:t>
            </w:r>
          </w:p>
        </w:tc>
      </w:tr>
      <w:tr>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Prestataire</w:t>
            </w:r>
          </w:p>
        </w:tc>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OPERATOR_ADMIN</w:t>
            </w:r>
          </w:p>
        </w:tc>
        <w:tc>
          <w:tcPr>
            <w:tcW w:type="dxa" w:w="532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Organisateurs, contrat prestataire–organisateur, plafonds maximaux, réglages des terminaux, règles de frais prestataire → organisateur</w:t>
            </w:r>
          </w:p>
        </w:tc>
      </w:tr>
      <w:tr>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Organisateur</w:t>
            </w:r>
          </w:p>
        </w:tc>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ORGANIZER_ADMIN</w:t>
            </w:r>
          </w:p>
        </w:tc>
        <w:tc>
          <w:tcPr>
            <w:tcW w:type="dxa" w:w="532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Événements, commerçants, participations (droit de place, commission), points de vente, réglages de l'événement, passages de statut</w:t>
            </w:r>
          </w:p>
        </w:tc>
      </w:tr>
    </w:tbl>
    <w:p>
      <w:pPr>
        <w:spacing w:after="80"/>
      </w:pPr>
    </w:p>
    <w:p>
      <w:pPr>
        <w:pStyle w:val="Heading1"/>
        <w:spacing w:after="140" w:before="320"/>
      </w:pPr>
      <w:r>
        <w:rPr>
          <w:rFonts w:ascii="Calibri" w:cs="Calibri" w:eastAsia="Calibri" w:hAnsi="Calibri"/>
          <w:b/>
          <w:bCs/>
          <w:color w:val="1F4E79"/>
          <w:sz w:val="30"/>
          <w:szCs w:val="30"/>
        </w:rPr>
        <w:t xml:space="preserve">4. Parcours couverts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7526"/>
        <w:gridCol w:w="1000"/>
      </w:tblGrid>
      <w:tr>
        <w:trPr>
          <w:tblHeader/>
        </w:trPr>
        <w:tc>
          <w:tcPr>
            <w:tcW w:type="dxa" w:w="500"/>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r>
              <w:rPr>
                <w:rFonts w:ascii="Calibri" w:cs="Calibri" w:eastAsia="Calibri" w:hAnsi="Calibri"/>
                <w:b/>
                <w:bCs/>
                <w:color w:val="FFFFFF"/>
                <w:sz w:val="19"/>
                <w:szCs w:val="19"/>
              </w:rPr>
              <w:t xml:space="preserve">#</w:t>
            </w:r>
          </w:p>
        </w:tc>
        <w:tc>
          <w:tcPr>
            <w:tcW w:type="dxa" w:w="7526"/>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r>
              <w:rPr>
                <w:rFonts w:ascii="Calibri" w:cs="Calibri" w:eastAsia="Calibri" w:hAnsi="Calibri"/>
                <w:b/>
                <w:bCs/>
                <w:color w:val="FFFFFF"/>
                <w:sz w:val="19"/>
                <w:szCs w:val="19"/>
              </w:rPr>
              <w:t xml:space="preserve">Parcours</w:t>
            </w:r>
          </w:p>
        </w:tc>
        <w:tc>
          <w:tcPr>
            <w:tcW w:type="dxa" w:w="1000"/>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r>
              <w:rPr>
                <w:rFonts w:ascii="Calibri" w:cs="Calibri" w:eastAsia="Calibri" w:hAnsi="Calibri"/>
                <w:b/>
                <w:bCs/>
                <w:color w:val="FFFFFF"/>
                <w:sz w:val="19"/>
                <w:szCs w:val="19"/>
              </w:rPr>
              <w:t xml:space="preserve">Priorité</w:t>
            </w:r>
          </w:p>
        </w:tc>
      </w:tr>
      <w:tr>
        <w:tc>
          <w:tcPr>
            <w:tcW w:type="dxa" w:w="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1</w:t>
            </w:r>
          </w:p>
        </w:tc>
        <w:tc>
          <w:tcPr>
            <w:tcW w:type="dxa" w:w="752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La plateforme ouvre un prestataire dans un pays : profil de législation (valeurs provisoires du Sénégal marquées « à confirmer »), prestataire, contrat.</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P1</w:t>
            </w:r>
          </w:p>
        </w:tc>
      </w:tr>
      <w:tr>
        <w:tc>
          <w:tcPr>
            <w:tcW w:type="dxa" w:w="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2</w:t>
            </w:r>
          </w:p>
        </w:tc>
        <w:tc>
          <w:tcPr>
            <w:tcW w:type="dxa" w:w="752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Le prestataire ouvre un organisateur et fixe ses conditions : contrat, plafonds, règles de frais.</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P1</w:t>
            </w:r>
          </w:p>
        </w:tc>
      </w:tr>
      <w:tr>
        <w:tc>
          <w:tcPr>
            <w:tcW w:type="dxa" w:w="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3</w:t>
            </w:r>
          </w:p>
        </w:tc>
        <w:tc>
          <w:tcPr>
            <w:tcW w:type="dxa" w:w="752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L'organisateur crée et règle un événement ; le grand livre et les comptes sont créés en même temps.</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P1</w:t>
            </w:r>
          </w:p>
        </w:tc>
      </w:tr>
      <w:tr>
        <w:tc>
          <w:tcPr>
            <w:tcW w:type="dxa" w:w="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4</w:t>
            </w:r>
          </w:p>
        </w:tc>
        <w:tc>
          <w:tcPr>
            <w:tcW w:type="dxa" w:w="752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L'organisateur accueille des commerçants : participation interne ou externe, droit de place, points de vente.</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P1</w:t>
            </w:r>
          </w:p>
        </w:tc>
      </w:tr>
      <w:tr>
        <w:tc>
          <w:tcPr>
            <w:tcW w:type="dxa" w:w="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5</w:t>
            </w:r>
          </w:p>
        </w:tc>
        <w:tc>
          <w:tcPr>
            <w:tcW w:type="dxa" w:w="752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L'événement avance dans ses statuts, conditions visibles avant chaque passage ; la mise en service passe par une approbation.</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P1</w:t>
            </w:r>
          </w:p>
        </w:tc>
      </w:tr>
      <w:tr>
        <w:tc>
          <w:tcPr>
            <w:tcW w:type="dxa" w:w="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6</w:t>
            </w:r>
          </w:p>
        </w:tc>
        <w:tc>
          <w:tcPr>
            <w:tcW w:type="dxa" w:w="752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Modifier la configuration d'un événement en cours : demande d'approbation, nouvelle version, sans effet sur les transactions déjà écrites.</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P2</w:t>
            </w:r>
          </w:p>
        </w:tc>
      </w:tr>
    </w:tbl>
    <w:p>
      <w:pPr>
        <w:spacing w:after="80"/>
      </w:pPr>
    </w:p>
    <w:p>
      <w:pPr>
        <w:pStyle w:val="Heading1"/>
        <w:spacing w:after="140" w:before="320"/>
      </w:pPr>
      <w:r>
        <w:rPr>
          <w:rFonts w:ascii="Calibri" w:cs="Calibri" w:eastAsia="Calibri" w:hAnsi="Calibri"/>
          <w:b/>
          <w:bCs/>
          <w:color w:val="1F4E79"/>
          <w:sz w:val="30"/>
          <w:szCs w:val="30"/>
        </w:rPr>
        <w:t xml:space="preserve">5. Règles qui ne se négocient pas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r>
              <w:rPr>
                <w:rFonts w:ascii="Calibri" w:cs="Calibri" w:eastAsia="Calibri" w:hAnsi="Calibri"/>
                <w:b/>
                <w:bCs/>
                <w:color w:val="FFFFFF"/>
                <w:sz w:val="19"/>
                <w:szCs w:val="19"/>
              </w:rPr>
              <w:t xml:space="preserve">Règle</w:t>
            </w:r>
          </w:p>
        </w:tc>
        <w:tc>
          <w:tcPr>
            <w:tcW w:type="dxa" w:w="6826"/>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r>
              <w:rPr>
                <w:rFonts w:ascii="Calibri" w:cs="Calibri" w:eastAsia="Calibri" w:hAnsi="Calibri"/>
                <w:b/>
                <w:bCs/>
                <w:color w:val="FFFFFF"/>
                <w:sz w:val="19"/>
                <w:szCs w:val="19"/>
              </w:rPr>
              <w:t xml:space="preserve">Contenu</w:t>
            </w:r>
          </w:p>
        </w:tc>
      </w:tr>
      <w:tr>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Statut</w:t>
            </w:r>
          </w:p>
        </w:tc>
        <w:tc>
          <w:tcPr>
            <w:tcW w:type="dxa" w:w="682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Le statut d'un événement ne change que par set_event_status ; ses contrôles ne sont ni affaiblis ni contournés.</w:t>
            </w:r>
          </w:p>
        </w:tc>
      </w:tr>
      <w:tr>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Versionnement</w:t>
            </w:r>
          </w:p>
        </w:tc>
        <w:tc>
          <w:tcPr>
            <w:tcW w:type="dxa" w:w="682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Contrats, règles de frais, versions de configuration et profils de législation ne sont jamais mis à jour en place.</w:t>
            </w:r>
          </w:p>
        </w:tc>
      </w:tr>
      <w:tr>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Détenteur des fonds</w:t>
            </w:r>
          </w:p>
        </w:tc>
        <w:tc>
          <w:tcPr>
            <w:tcW w:type="dxa" w:w="682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Obligatoire à la création de l'événement, sans valeur par défaut, hors cascade.</w:t>
            </w:r>
          </w:p>
        </w:tc>
      </w:tr>
      <w:tr>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Isolation</w:t>
            </w:r>
          </w:p>
        </w:tc>
        <w:tc>
          <w:tcPr>
            <w:tcW w:type="dxa" w:w="682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Aucune donnée d'un prestataire n'est lisible ou modifiable par un autre. Le prestataire d'une écriture est toujours déduit de la personne connectée.</w:t>
            </w:r>
          </w:p>
        </w:tc>
      </w:tr>
      <w:tr>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Rôle plateforme</w:t>
            </w:r>
          </w:p>
        </w:tc>
        <w:tc>
          <w:tcPr>
            <w:tcW w:type="dxa" w:w="682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Les écritures de plateforme passent par un rôle de base distinct, sans aucun droit sur le grand livre ; le rôle applicatif n'écrit aucune donnée de plateforme.</w:t>
            </w:r>
          </w:p>
        </w:tc>
      </w:tr>
      <w:tr>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Valeurs provisoires</w:t>
            </w:r>
          </w:p>
        </w:tc>
        <w:tc>
          <w:tcPr>
            <w:tcW w:type="dxa" w:w="682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Les valeurs de §17.2 (plafonds Sénégal, TVA 18 %, remboursement à fin + 30 jours) restent paramétrables et signalées « à confirmer ».</w:t>
            </w:r>
          </w:p>
        </w:tc>
      </w:tr>
      <w:tr>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Contrat d'abord</w:t>
            </w:r>
          </w:p>
        </w:tc>
        <w:tc>
          <w:tcPr>
            <w:tcW w:type="dxa" w:w="682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Toute route est décrite dans openapi.yaml avant d'être écrite ; les types sont générés.</w:t>
            </w:r>
          </w:p>
        </w:tc>
      </w:tr>
    </w:tbl>
    <w:p>
      <w:pPr>
        <w:spacing w:after="80"/>
      </w:pPr>
    </w:p>
    <w:p>
      <w:pPr>
        <w:pStyle w:val="Heading1"/>
        <w:spacing w:after="140" w:before="320"/>
      </w:pPr>
      <w:r>
        <w:rPr>
          <w:rFonts w:ascii="Calibri" w:cs="Calibri" w:eastAsia="Calibri" w:hAnsi="Calibri"/>
          <w:b/>
          <w:bCs/>
          <w:color w:val="1F4E79"/>
          <w:sz w:val="30"/>
          <w:szCs w:val="30"/>
        </w:rPr>
        <w:t xml:space="preserve">6. Architecture retenue</w:t>
      </w:r>
    </w:p>
    <w:p>
      <w:pPr>
        <w:pStyle w:val="Heading2"/>
        <w:spacing w:after="100" w:before="220"/>
      </w:pPr>
      <w:r>
        <w:rPr>
          <w:rFonts w:ascii="Calibri" w:cs="Calibri" w:eastAsia="Calibri" w:hAnsi="Calibri"/>
          <w:b/>
          <w:bCs/>
          <w:color w:val="1F4E79"/>
          <w:sz w:val="25"/>
          <w:szCs w:val="25"/>
        </w:rPr>
        <w:t xml:space="preserve">Base de données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00"/>
        <w:gridCol w:w="6126"/>
      </w:tblGrid>
      <w:tr>
        <w:trPr>
          <w:tblHeader/>
        </w:trPr>
        <w:tc>
          <w:tcPr>
            <w:tcW w:type="dxa" w:w="2900"/>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r>
              <w:rPr>
                <w:rFonts w:ascii="Calibri" w:cs="Calibri" w:eastAsia="Calibri" w:hAnsi="Calibri"/>
                <w:b/>
                <w:bCs/>
                <w:color w:val="FFFFFF"/>
                <w:sz w:val="19"/>
                <w:szCs w:val="19"/>
              </w:rPr>
              <w:t xml:space="preserve">Migration</w:t>
            </w:r>
          </w:p>
        </w:tc>
        <w:tc>
          <w:tcPr>
            <w:tcW w:type="dxa" w:w="6126"/>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r>
              <w:rPr>
                <w:rFonts w:ascii="Calibri" w:cs="Calibri" w:eastAsia="Calibri" w:hAnsi="Calibri"/>
                <w:b/>
                <w:bCs/>
                <w:color w:val="FFFFFF"/>
                <w:sz w:val="19"/>
                <w:szCs w:val="19"/>
              </w:rPr>
              <w:t xml:space="preserve">Contenu</w:t>
            </w:r>
          </w:p>
        </w:tc>
      </w:tr>
      <w:tr>
        <w:tc>
          <w:tcPr>
            <w:tcW w:type="dxa" w:w="2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0007 — Intégrité de la configuration</w:t>
            </w:r>
          </w:p>
        </w:tc>
        <w:tc>
          <w:tcPr>
            <w:tcW w:type="dxa" w:w="612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Colonnes manquantes (émetteur, tiers détenteur des fonds, montant et référence du droit de place), table des devises, gardes de cohérence des références, immuabilité des objets versionnés, numéro de version posé par la base, borne légale du délai de remboursement.</w:t>
            </w:r>
          </w:p>
        </w:tc>
      </w:tr>
      <w:tr>
        <w:tc>
          <w:tcPr>
            <w:tcW w:type="dxa" w:w="2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0008 — Grand livre d'événement</w:t>
            </w:r>
          </w:p>
        </w:tc>
        <w:tc>
          <w:tcPr>
            <w:tcW w:type="dxa" w:w="612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Ouverture du grand livre et des 28 comptes fixes d'un événement (29 avec le compte légal), compte du commerçant par participation, lecture des conditions de passage de statut.</w:t>
            </w:r>
          </w:p>
        </w:tc>
      </w:tr>
      <w:tr>
        <w:tc>
          <w:tcPr>
            <w:tcW w:type="dxa" w:w="2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0009 — Portée plateforme</w:t>
            </w:r>
          </w:p>
        </w:tc>
        <w:tc>
          <w:tcPr>
            <w:tcW w:type="dxa" w:w="612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Idempotence et demandes d'approbation utilisables sans prestataire, huit nouvelles actions à deux personnes, décision d'une demande de plateforme réservée au rôle de la plateforme.</w:t>
            </w:r>
          </w:p>
        </w:tc>
      </w:tr>
      <w:tr>
        <w:tc>
          <w:tcPr>
            <w:tcW w:type="dxa" w:w="2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post-roles.sql</w:t>
            </w:r>
          </w:p>
        </w:tc>
        <w:tc>
          <w:tcPr>
            <w:tcW w:type="dxa" w:w="612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Rôle cashless_platform, droits accordés un à un, politiques d'accès nominatives ; retrait au rôle applicatif des écritures de plateforme.</w:t>
            </w:r>
          </w:p>
        </w:tc>
      </w:tr>
    </w:tbl>
    <w:p>
      <w:pPr>
        <w:spacing w:after="80"/>
      </w:pPr>
    </w:p>
    <w:p>
      <w:pPr>
        <w:pStyle w:val="Heading2"/>
        <w:spacing w:after="100" w:before="220"/>
      </w:pPr>
      <w:r>
        <w:rPr>
          <w:rFonts w:ascii="Calibri" w:cs="Calibri" w:eastAsia="Calibri" w:hAnsi="Calibri"/>
          <w:b/>
          <w:bCs/>
          <w:color w:val="1F4E79"/>
          <w:sz w:val="25"/>
          <w:szCs w:val="25"/>
        </w:rPr>
        <w:t xml:space="preserve">API</w:t>
      </w:r>
    </w:p>
    <w:p>
      <w:pPr>
        <w:pStyle w:val="ListParagraph"/>
        <w:numPr>
          <w:ilvl w:val="0"/>
          <w:numId w:val="2"/>
        </w:numPr>
        <w:spacing w:after="60"/>
      </w:pPr>
      <w:r>
        <w:rPr>
          <w:rFonts w:ascii="Calibri" w:cs="Calibri" w:eastAsia="Calibri" w:hAnsi="Calibri"/>
          <w:b/>
          <w:bCs/>
          <w:sz w:val="22"/>
          <w:szCs w:val="22"/>
        </w:rPr>
        <w:t xml:space="preserve">organization/</w:t>
      </w:r>
      <w:r>
        <w:rPr>
          <w:rFonts w:ascii="Calibri" w:cs="Calibri" w:eastAsia="Calibri" w:hAnsi="Calibri"/>
          <w:sz w:val="22"/>
          <w:szCs w:val="22"/>
        </w:rPr>
        <w:t xml:space="preserve"> : prestataires, organisateurs, commerçants, contrats.</w:t>
      </w:r>
    </w:p>
    <w:p>
      <w:pPr>
        <w:pStyle w:val="ListParagraph"/>
        <w:numPr>
          <w:ilvl w:val="0"/>
          <w:numId w:val="2"/>
        </w:numPr>
        <w:spacing w:after="60"/>
      </w:pPr>
      <w:r>
        <w:rPr>
          <w:rFonts w:ascii="Calibri" w:cs="Calibri" w:eastAsia="Calibri" w:hAnsi="Calibri"/>
          <w:b/>
          <w:bCs/>
          <w:sz w:val="22"/>
          <w:szCs w:val="22"/>
        </w:rPr>
        <w:t xml:space="preserve">events/</w:t>
      </w:r>
      <w:r>
        <w:rPr>
          <w:rFonts w:ascii="Calibri" w:cs="Calibri" w:eastAsia="Calibri" w:hAnsi="Calibri"/>
          <w:sz w:val="22"/>
          <w:szCs w:val="22"/>
        </w:rPr>
        <w:t xml:space="preserve"> : événements, participations, points de vente, statuts.</w:t>
      </w:r>
    </w:p>
    <w:p>
      <w:pPr>
        <w:pStyle w:val="ListParagraph"/>
        <w:numPr>
          <w:ilvl w:val="0"/>
          <w:numId w:val="2"/>
        </w:numPr>
        <w:spacing w:after="60"/>
      </w:pPr>
      <w:r>
        <w:rPr>
          <w:rFonts w:ascii="Calibri" w:cs="Calibri" w:eastAsia="Calibri" w:hAnsi="Calibri"/>
          <w:b/>
          <w:bCs/>
          <w:sz w:val="22"/>
          <w:szCs w:val="22"/>
        </w:rPr>
        <w:t xml:space="preserve">configuration/</w:t>
      </w:r>
      <w:r>
        <w:rPr>
          <w:rFonts w:ascii="Calibri" w:cs="Calibri" w:eastAsia="Calibri" w:hAnsi="Calibri"/>
          <w:sz w:val="22"/>
          <w:szCs w:val="22"/>
        </w:rPr>
        <w:t xml:space="preserve"> : catalogue des réglages, cascade versionnée, bornes, règles de frais, valeurs provisoires, résolveur de configuration.</w:t>
      </w:r>
    </w:p>
    <w:p>
      <w:pPr>
        <w:pStyle w:val="ListParagraph"/>
        <w:numPr>
          <w:ilvl w:val="0"/>
          <w:numId w:val="2"/>
        </w:numPr>
        <w:spacing w:after="60"/>
      </w:pPr>
      <w:r>
        <w:rPr>
          <w:rFonts w:ascii="Calibri" w:cs="Calibri" w:eastAsia="Calibri" w:hAnsi="Calibri"/>
          <w:sz w:val="22"/>
          <w:szCs w:val="22"/>
        </w:rPr>
        <w:t xml:space="preserve">Un second pool de connexions et une transaction dédiée servent seuls les routes de plateforme.</w:t>
      </w:r>
    </w:p>
    <w:p>
      <w:pPr>
        <w:pStyle w:val="ListParagraph"/>
        <w:numPr>
          <w:ilvl w:val="0"/>
          <w:numId w:val="2"/>
        </w:numPr>
        <w:spacing w:after="60"/>
      </w:pPr>
      <w:r>
        <w:rPr>
          <w:rFonts w:ascii="Calibri" w:cs="Calibri" w:eastAsia="Calibri" w:hAnsi="Calibri"/>
          <w:sz w:val="22"/>
          <w:szCs w:val="22"/>
        </w:rPr>
        <w:t xml:space="preserve">28 chemins et 48 opérations ajoutés au contrat d'API ; les 15 opérations de plateforme sont en service.</w:t>
      </w:r>
    </w:p>
    <w:p>
      <w:pPr>
        <w:pStyle w:val="Heading1"/>
        <w:spacing w:after="140" w:before="320"/>
      </w:pPr>
      <w:r>
        <w:rPr>
          <w:rFonts w:ascii="Calibri" w:cs="Calibri" w:eastAsia="Calibri" w:hAnsi="Calibri"/>
          <w:b/>
          <w:bCs/>
          <w:color w:val="1F4E79"/>
          <w:sz w:val="30"/>
          <w:szCs w:val="30"/>
        </w:rPr>
        <w:t xml:space="preserve">7. Découpage et avancement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4826"/>
        <w:gridCol w:w="1500"/>
        <w:gridCol w:w="1900"/>
      </w:tblGrid>
      <w:tr>
        <w:trPr>
          <w:tblHeader/>
        </w:trPr>
        <w:tc>
          <w:tcPr>
            <w:tcW w:type="dxa" w:w="800"/>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r>
              <w:rPr>
                <w:rFonts w:ascii="Calibri" w:cs="Calibri" w:eastAsia="Calibri" w:hAnsi="Calibri"/>
                <w:b/>
                <w:bCs/>
                <w:color w:val="FFFFFF"/>
                <w:sz w:val="19"/>
                <w:szCs w:val="19"/>
              </w:rPr>
              <w:t xml:space="preserve">Lot</w:t>
            </w:r>
          </w:p>
        </w:tc>
        <w:tc>
          <w:tcPr>
            <w:tcW w:type="dxa" w:w="4826"/>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r>
              <w:rPr>
                <w:rFonts w:ascii="Calibri" w:cs="Calibri" w:eastAsia="Calibri" w:hAnsi="Calibri"/>
                <w:b/>
                <w:bCs/>
                <w:color w:val="FFFFFF"/>
                <w:sz w:val="19"/>
                <w:szCs w:val="19"/>
              </w:rPr>
              <w:t xml:space="preserve">Objet</w:t>
            </w:r>
          </w:p>
        </w:tc>
        <w:tc>
          <w:tcPr>
            <w:tcW w:type="dxa" w:w="1500"/>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r>
              <w:rPr>
                <w:rFonts w:ascii="Calibri" w:cs="Calibri" w:eastAsia="Calibri" w:hAnsi="Calibri"/>
                <w:b/>
                <w:bCs/>
                <w:color w:val="FFFFFF"/>
                <w:sz w:val="19"/>
                <w:szCs w:val="19"/>
              </w:rPr>
              <w:t xml:space="preserve">Dépend de</w:t>
            </w:r>
          </w:p>
        </w:tc>
        <w:tc>
          <w:tcPr>
            <w:tcW w:type="dxa" w:w="1900"/>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r>
              <w:rPr>
                <w:rFonts w:ascii="Calibri" w:cs="Calibri" w:eastAsia="Calibri" w:hAnsi="Calibri"/>
                <w:b/>
                <w:bCs/>
                <w:color w:val="FFFFFF"/>
                <w:sz w:val="19"/>
                <w:szCs w:val="19"/>
              </w:rPr>
              <w:t xml:space="preserve">État</w:t>
            </w:r>
          </w:p>
        </w:tc>
      </w:tr>
      <w:tr>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WP01</w:t>
            </w:r>
          </w:p>
        </w:tc>
        <w:tc>
          <w:tcPr>
            <w:tcW w:type="dxa" w:w="482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Intégrité de la configuration en base (migration 0007)</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w:t>
            </w:r>
          </w:p>
        </w:tc>
        <w:tc>
          <w:tcPr>
            <w:tcW w:type="dxa" w:w="1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Approuvé</w:t>
            </w:r>
          </w:p>
        </w:tc>
      </w:tr>
      <w:tr>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WP02</w:t>
            </w:r>
          </w:p>
        </w:tc>
        <w:tc>
          <w:tcPr>
            <w:tcW w:type="dxa" w:w="482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Grand livre d'événement et conditions de passage (migration 0008)</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WP01</w:t>
            </w:r>
          </w:p>
        </w:tc>
        <w:tc>
          <w:tcPr>
            <w:tcW w:type="dxa" w:w="1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Approuvé</w:t>
            </w:r>
          </w:p>
        </w:tc>
      </w:tr>
      <w:tr>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WP03</w:t>
            </w:r>
          </w:p>
        </w:tc>
        <w:tc>
          <w:tcPr>
            <w:tcW w:type="dxa" w:w="482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Rôle et portée plateforme en base (migration 0009, post-roles)</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WP02</w:t>
            </w:r>
          </w:p>
        </w:tc>
        <w:tc>
          <w:tcPr>
            <w:tcW w:type="dxa" w:w="1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Approuvé (2 cycles de revue)</w:t>
            </w:r>
          </w:p>
        </w:tc>
      </w:tr>
      <w:tr>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WP04</w:t>
            </w:r>
          </w:p>
        </w:tc>
        <w:tc>
          <w:tcPr>
            <w:tcW w:type="dxa" w:w="482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Contrat d'API : routes et schémas back-office, types régénérés</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w:t>
            </w:r>
          </w:p>
        </w:tc>
        <w:tc>
          <w:tcPr>
            <w:tcW w:type="dxa" w:w="1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Approuvé</w:t>
            </w:r>
          </w:p>
        </w:tc>
      </w:tr>
      <w:tr>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WP05</w:t>
            </w:r>
          </w:p>
        </w:tc>
        <w:tc>
          <w:tcPr>
            <w:tcW w:type="dxa" w:w="482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Transaction, idempotence et approbations de plateforme dans l'API</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WP03, WP04</w:t>
            </w:r>
          </w:p>
        </w:tc>
        <w:tc>
          <w:tcPr>
            <w:tcW w:type="dxa" w:w="1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Approuvé</w:t>
            </w:r>
          </w:p>
        </w:tc>
      </w:tr>
      <w:tr>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WP06</w:t>
            </w:r>
          </w:p>
        </w:tc>
        <w:tc>
          <w:tcPr>
            <w:tcW w:type="dxa" w:w="482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Catalogue des réglages, cascade versionnée, bornes et valeurs provisoires</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WP01, WP04</w:t>
            </w:r>
          </w:p>
        </w:tc>
        <w:tc>
          <w:tcPr>
            <w:tcW w:type="dxa" w:w="1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Approuvé</w:t>
            </w:r>
          </w:p>
        </w:tc>
      </w:tr>
      <w:tr>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WP07</w:t>
            </w:r>
          </w:p>
        </w:tc>
        <w:tc>
          <w:tcPr>
            <w:tcW w:type="dxa" w:w="482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Routes de plateforme : profils de législation, prestataires, contrats, redevances</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WP05, WP06</w:t>
            </w:r>
          </w:p>
        </w:tc>
        <w:tc>
          <w:tcPr>
            <w:tcW w:type="dxa" w:w="1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Approuvé</w:t>
            </w:r>
          </w:p>
        </w:tc>
      </w:tr>
      <w:tr>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WP08</w:t>
            </w:r>
          </w:p>
        </w:tc>
        <w:tc>
          <w:tcPr>
            <w:tcW w:type="dxa" w:w="482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Organisation d'un prestataire : organisateurs, commerçants, contrats</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WP07</w:t>
            </w:r>
          </w:p>
        </w:tc>
        <w:tc>
          <w:tcPr>
            <w:tcW w:type="dxa" w:w="1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Approuvé</w:t>
            </w:r>
          </w:p>
        </w:tc>
      </w:tr>
      <w:tr>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WP09</w:t>
            </w:r>
          </w:p>
        </w:tc>
        <w:tc>
          <w:tcPr>
            <w:tcW w:type="dxa" w:w="482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Événements : création avec grand livre, lecture, modification, configuration résolue</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WP02, WP08</w:t>
            </w:r>
          </w:p>
        </w:tc>
        <w:tc>
          <w:tcPr>
            <w:tcW w:type="dxa" w:w="1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Approuvé</w:t>
            </w:r>
          </w:p>
        </w:tc>
      </w:tr>
      <w:tr>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WP10</w:t>
            </w:r>
          </w:p>
        </w:tc>
        <w:tc>
          <w:tcPr>
            <w:tcW w:type="dxa" w:w="482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Participations, points de vente et règles de frais</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WP09</w:t>
            </w:r>
          </w:p>
        </w:tc>
        <w:tc>
          <w:tcPr>
            <w:tcW w:type="dxa" w:w="1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Approuvé</w:t>
            </w:r>
          </w:p>
        </w:tc>
      </w:tr>
      <w:tr>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WP11</w:t>
            </w:r>
          </w:p>
        </w:tc>
        <w:tc>
          <w:tcPr>
            <w:tcW w:type="dxa" w:w="482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Statuts d'événement</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WP10</w:t>
            </w:r>
          </w:p>
        </w:tc>
        <w:tc>
          <w:tcPr>
            <w:tcW w:type="dxa" w:w="1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Approuvé</w:t>
            </w:r>
          </w:p>
        </w:tc>
      </w:tr>
      <w:tr>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WP12</w:t>
            </w:r>
          </w:p>
        </w:tc>
        <w:tc>
          <w:tcPr>
            <w:tcW w:type="dxa" w:w="482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Résolveur de configuration réel et rejeu du scénario de référence</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WP11</w:t>
            </w:r>
          </w:p>
        </w:tc>
        <w:tc>
          <w:tcPr>
            <w:tcW w:type="dxa" w:w="1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Approuvé</w:t>
            </w:r>
          </w:p>
        </w:tc>
      </w:tr>
      <w:tr>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WP13</w:t>
            </w:r>
          </w:p>
        </w:tc>
        <w:tc>
          <w:tcPr>
            <w:tcW w:type="dxa" w:w="482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Preuves de bout en bout, isolation, performance, CI et décisions</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WP12</w:t>
            </w:r>
          </w:p>
        </w:tc>
        <w:tc>
          <w:tcPr>
            <w:tcW w:type="dxa" w:w="1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Approuvé</w:t>
            </w:r>
          </w:p>
        </w:tc>
      </w:tr>
    </w:tbl>
    <w:p>
      <w:pPr>
        <w:spacing w:after="80"/>
      </w:pPr>
    </w:p>
    <w:p>
      <w:pPr>
        <w:pStyle w:val="Heading2"/>
        <w:spacing w:after="100" w:before="220"/>
      </w:pPr>
      <w:r>
        <w:rPr>
          <w:rFonts w:ascii="Calibri" w:cs="Calibri" w:eastAsia="Calibri" w:hAnsi="Calibri"/>
          <w:b/>
          <w:bCs/>
          <w:color w:val="1F4E79"/>
          <w:sz w:val="25"/>
          <w:szCs w:val="25"/>
        </w:rPr>
        <w:t xml:space="preserve">Vérifications au 13 octobre 2026 (après fusion)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200"/>
        <w:gridCol w:w="3826"/>
      </w:tblGrid>
      <w:tr>
        <w:trPr>
          <w:tblHeader/>
        </w:trPr>
        <w:tc>
          <w:tcPr>
            <w:tcW w:type="dxa" w:w="5200"/>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r>
              <w:rPr>
                <w:rFonts w:ascii="Calibri" w:cs="Calibri" w:eastAsia="Calibri" w:hAnsi="Calibri"/>
                <w:b/>
                <w:bCs/>
                <w:color w:val="FFFFFF"/>
                <w:sz w:val="19"/>
                <w:szCs w:val="19"/>
              </w:rPr>
              <w:t xml:space="preserve">Contrôle</w:t>
            </w:r>
          </w:p>
        </w:tc>
        <w:tc>
          <w:tcPr>
            <w:tcW w:type="dxa" w:w="3826"/>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r>
              <w:rPr>
                <w:rFonts w:ascii="Calibri" w:cs="Calibri" w:eastAsia="Calibri" w:hAnsi="Calibri"/>
                <w:b/>
                <w:bCs/>
                <w:color w:val="FFFFFF"/>
                <w:sz w:val="19"/>
                <w:szCs w:val="19"/>
              </w:rPr>
              <w:t xml:space="preserve">Résultat</w:t>
            </w:r>
          </w:p>
        </w:tc>
      </w:tr>
      <w:tr>
        <w:tc>
          <w:tcPr>
            <w:tcW w:type="dxa" w:w="5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Suites pgTAP (référence, scénario, suites du dépôt)</w:t>
            </w:r>
          </w:p>
        </w:tc>
        <w:tc>
          <w:tcPr>
            <w:tcW w:type="dxa" w:w="382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947 assertions sur 947, dont 271 ajoutées par la mission</w:t>
            </w:r>
          </w:p>
        </w:tc>
      </w:tr>
      <w:tr>
        <w:tc>
          <w:tcPr>
            <w:tcW w:type="dxa" w:w="5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Tests Jest (unitaires, intégration, scénario de référence)</w:t>
            </w:r>
          </w:p>
        </w:tc>
        <w:tc>
          <w:tcPr>
            <w:tcW w:type="dxa" w:w="382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873 sur 873 (47 suites), dont 203 ajoutés par la mission ; 13 passages complets consécutifs sans échec</w:t>
            </w:r>
          </w:p>
        </w:tc>
      </w:tr>
      <w:tr>
        <w:tc>
          <w:tcPr>
            <w:tcW w:type="dxa" w:w="5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Lint et vérification des types</w:t>
            </w:r>
          </w:p>
        </w:tc>
        <w:tc>
          <w:tcPr>
            <w:tcW w:type="dxa" w:w="382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Sans erreur</w:t>
            </w:r>
          </w:p>
        </w:tc>
      </w:tr>
      <w:tr>
        <w:tc>
          <w:tcPr>
            <w:tcW w:type="dxa" w:w="5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Rejeu des migrations et des droits sur une base existante</w:t>
            </w:r>
          </w:p>
        </w:tc>
        <w:tc>
          <w:tcPr>
            <w:tcW w:type="dxa" w:w="382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Sans erreur (idempotent)</w:t>
            </w:r>
          </w:p>
        </w:tc>
      </w:tr>
      <w:tr>
        <w:tc>
          <w:tcPr>
            <w:tcW w:type="dxa" w:w="5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Connexion réelle sous le rôle cashless_platform</w:t>
            </w:r>
          </w:p>
        </w:tc>
        <w:tc>
          <w:tcPr>
            <w:tcW w:type="dxa" w:w="382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Reconnue comme session de plateforme</w:t>
            </w:r>
          </w:p>
        </w:tc>
      </w:tr>
      <w:tr>
        <w:tc>
          <w:tcPr>
            <w:tcW w:type="dxa" w:w="5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Parcours de bout en bout par l'API</w:t>
            </w:r>
          </w:p>
        </w:tc>
        <w:tc>
          <w:tcPr>
            <w:tcW w:type="dxa" w:w="382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Hiérarchie complète construite, une seule approbation pour la mise en service</w:t>
            </w:r>
          </w:p>
        </w:tc>
      </w:tr>
      <w:tr>
        <w:tc>
          <w:tcPr>
            <w:tcW w:type="dxa" w:w="5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Isolation entre deux prestataires</w:t>
            </w:r>
          </w:p>
        </w:tc>
        <w:tc>
          <w:tcPr>
            <w:tcW w:type="dxa" w:w="382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Aucune fuite sur les routes de la mission</w:t>
            </w:r>
          </w:p>
        </w:tc>
      </w:tr>
      <w:tr>
        <w:tc>
          <w:tcPr>
            <w:tcW w:type="dxa" w:w="5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Temps de réponse (p95, mesuré seul)</w:t>
            </w:r>
          </w:p>
        </w:tc>
        <w:tc>
          <w:tcPr>
            <w:tcW w:type="dxa" w:w="382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Créations 74 à 88 ms, lectures 31 ms, écritures 67 ms ; seuil 200 ms</w:t>
            </w:r>
          </w:p>
        </w:tc>
      </w:tr>
    </w:tbl>
    <w:p>
      <w:pPr>
        <w:spacing w:after="80"/>
      </w:pPr>
    </w:p>
    <w:p>
      <w:pPr>
        <w:spacing w:after="120"/>
      </w:pPr>
      <w:r>
        <w:rPr>
          <w:rFonts w:ascii="Calibri" w:cs="Calibri" w:eastAsia="Calibri" w:hAnsi="Calibri"/>
          <w:sz w:val="22"/>
          <w:szCs w:val="22"/>
        </w:rPr>
        <w:t xml:space="preserve">Les 13 lots sont fusionnés dans la branche de la mission (fusion locale du 13 octobre 2026, non publiée). La documentation du projet a été recalée sur le code livré.</w:t>
      </w:r>
    </w:p>
    <w:p>
      <w:pPr>
        <w:pStyle w:val="Heading1"/>
        <w:spacing w:after="140" w:before="320"/>
      </w:pPr>
      <w:r>
        <w:rPr>
          <w:rFonts w:ascii="Calibri" w:cs="Calibri" w:eastAsia="Calibri" w:hAnsi="Calibri"/>
          <w:b/>
          <w:bCs/>
          <w:color w:val="1F4E79"/>
          <w:sz w:val="30"/>
          <w:szCs w:val="30"/>
        </w:rPr>
        <w:t xml:space="preserve">8. Écarts par rapport au plan</w:t>
      </w:r>
    </w:p>
    <w:p>
      <w:pPr>
        <w:spacing w:after="120"/>
      </w:pPr>
      <w:r>
        <w:rPr>
          <w:rFonts w:ascii="Calibri" w:cs="Calibri" w:eastAsia="Calibri" w:hAnsi="Calibri"/>
          <w:sz w:val="22"/>
          <w:szCs w:val="22"/>
        </w:rPr>
        <w:t xml:space="preserve">Les écarts ci-dessous ont été confirmés par le porteur le 12 octobre 2026 et consignés dans les décisions du projet (ADR-80 à ADR-82). Les trois premiers vont dans le sens d'un contrôle plus strict.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4426"/>
        <w:gridCol w:w="2300"/>
      </w:tblGrid>
      <w:tr>
        <w:trPr>
          <w:tblHeader/>
        </w:trPr>
        <w:tc>
          <w:tcPr>
            <w:tcW w:type="dxa" w:w="2300"/>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r>
              <w:rPr>
                <w:rFonts w:ascii="Calibri" w:cs="Calibri" w:eastAsia="Calibri" w:hAnsi="Calibri"/>
                <w:b/>
                <w:bCs/>
                <w:color w:val="FFFFFF"/>
                <w:sz w:val="19"/>
                <w:szCs w:val="19"/>
              </w:rPr>
              <w:t xml:space="preserve">Sujet</w:t>
            </w:r>
          </w:p>
        </w:tc>
        <w:tc>
          <w:tcPr>
            <w:tcW w:type="dxa" w:w="4426"/>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r>
              <w:rPr>
                <w:rFonts w:ascii="Calibri" w:cs="Calibri" w:eastAsia="Calibri" w:hAnsi="Calibri"/>
                <w:b/>
                <w:bCs/>
                <w:color w:val="FFFFFF"/>
                <w:sz w:val="19"/>
                <w:szCs w:val="19"/>
              </w:rPr>
              <w:t xml:space="preserve">Ce qui a été fait</w:t>
            </w:r>
          </w:p>
        </w:tc>
        <w:tc>
          <w:tcPr>
            <w:tcW w:type="dxa" w:w="2300"/>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r>
              <w:rPr>
                <w:rFonts w:ascii="Calibri" w:cs="Calibri" w:eastAsia="Calibri" w:hAnsi="Calibri"/>
                <w:b/>
                <w:bCs/>
                <w:color w:val="FFFFFF"/>
                <w:sz w:val="19"/>
                <w:szCs w:val="19"/>
              </w:rPr>
              <w:t xml:space="preserve">Décision</w:t>
            </w:r>
          </w:p>
        </w:tc>
      </w:tr>
      <w:tr>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Reconnaissance de la session plateforme</w:t>
            </w:r>
          </w:p>
        </w:tc>
        <w:tc>
          <w:tcPr>
            <w:tcW w:type="dxa" w:w="442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Le plan lisait le nom du rôle dans un réglage de session. Ce réglage est modifiable par toute session, y compris celle du rôle applicatif. Le nom du rôle est donc fixe.</w:t>
            </w:r>
          </w:p>
        </w:tc>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Confirmé (ADR-80)</w:t>
            </w:r>
          </w:p>
        </w:tc>
      </w:tr>
      <w:tr>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Demandes d'approbation de plateforme</w:t>
            </w:r>
          </w:p>
        </w:tc>
        <w:tc>
          <w:tcPr>
            <w:tcW w:type="dxa" w:w="442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Le plan exigeait qu'une demande sans prestataire porte une action de plateforme. La base exige aussi l'inverse : une action de plateforme n'a jamais de prestataire.</w:t>
            </w:r>
          </w:p>
        </w:tc>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Confirmé (ADR-80)</w:t>
            </w:r>
          </w:p>
        </w:tc>
      </w:tr>
      <w:tr>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Politiques d'accès restrictives</w:t>
            </w:r>
          </w:p>
        </w:tc>
        <w:tc>
          <w:tcPr>
            <w:tcW w:type="dxa" w:w="442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Ajoutées pour les deux rôles. Sans elles, le rôle applicatif pouvait créer un contrat plateforme, une redevance ou une version de configuration de plateforme rattachés à son prestataire.</w:t>
            </w:r>
          </w:p>
        </w:tc>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Confirmé (ADR-80)</w:t>
            </w:r>
          </w:p>
        </w:tc>
      </w:tr>
      <w:tr>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Fonctions d'API exécutables par le rôle plateforme</w:t>
            </w:r>
          </w:p>
        </w:tc>
        <w:tc>
          <w:tcPr>
            <w:tcW w:type="dxa" w:w="442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Le schéma de référence laisse l'exécution de ses fonctions à tous les rôles, et sa suite de tests l'exige. Le rôle plateforme peut donc appeler les fonctions du grand livre, bien qu'il n'ait aucun droit sur ses tables.</w:t>
            </w:r>
          </w:p>
        </w:tc>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Limite acceptée (ADR-80)</w:t>
            </w:r>
          </w:p>
        </w:tc>
      </w:tr>
      <w:tr>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Un réglage, un rôle</w:t>
            </w:r>
          </w:p>
        </w:tc>
        <w:tc>
          <w:tcPr>
            <w:tcW w:type="dxa" w:w="442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Chaque réglage n'est modifiable que par le rôle que le catalogue désigne ; une demande qui mélange des réglages de rôles différents est refusée.</w:t>
            </w:r>
          </w:p>
        </w:tc>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Confirmé (ADR-81)</w:t>
            </w:r>
          </w:p>
        </w:tc>
      </w:tr>
      <w:tr>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Frais du prestataire de paiement</w:t>
            </w:r>
          </w:p>
        </w:tc>
        <w:tc>
          <w:tcPr>
            <w:tcW w:type="dxa" w:w="442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Portés par une règle de frais de l'événement dont le bénéficiaire est « PSP:&lt;canal&gt; ». Le moteur d'écritures inscrit désormais la règle appliquée sur chaque ligne de frais.</w:t>
            </w:r>
          </w:p>
        </w:tc>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Confirmé (ADR-82)</w:t>
            </w:r>
          </w:p>
        </w:tc>
      </w:tr>
    </w:tbl>
    <w:p>
      <w:pPr>
        <w:spacing w:after="80"/>
      </w:pPr>
    </w:p>
    <w:p>
      <w:pPr>
        <w:spacing w:after="120"/>
      </w:pPr>
      <w:r>
        <w:rPr>
          <w:rFonts w:ascii="Calibri" w:cs="Calibri" w:eastAsia="Calibri" w:hAnsi="Calibri"/>
          <w:sz w:val="22"/>
          <w:szCs w:val="22"/>
        </w:rPr>
        <w:t xml:space="preserve">Par ailleurs, une assertion d'une suite de la mission 1 a été adaptée : la colonne du prestataire n'est plus obligatoire dans le registre d'idempotence, conséquence directe du plan.</w:t>
      </w:r>
    </w:p>
    <w:p>
      <w:pPr>
        <w:pStyle w:val="Heading1"/>
        <w:spacing w:after="140" w:before="320"/>
      </w:pPr>
      <w:r>
        <w:rPr>
          <w:rFonts w:ascii="Calibri" w:cs="Calibri" w:eastAsia="Calibri" w:hAnsi="Calibri"/>
          <w:b/>
          <w:bCs/>
          <w:color w:val="1F4E79"/>
          <w:sz w:val="30"/>
          <w:szCs w:val="30"/>
        </w:rPr>
        <w:t xml:space="preserve">9. Critères de réussite</w:t>
      </w:r>
    </w:p>
    <w:p>
      <w:pPr>
        <w:pStyle w:val="ListParagraph"/>
        <w:numPr>
          <w:ilvl w:val="0"/>
          <w:numId w:val="2"/>
        </w:numPr>
        <w:spacing w:after="60"/>
      </w:pPr>
      <w:r>
        <w:rPr>
          <w:rFonts w:ascii="Calibri" w:cs="Calibri" w:eastAsia="Calibri" w:hAnsi="Calibri"/>
          <w:sz w:val="22"/>
          <w:szCs w:val="22"/>
        </w:rPr>
        <w:t xml:space="preserve">À partir d'une base vide avec un seul administrateur de la plateforme, la hiérarchie complète se construit entièrement par l'API et l'événement passe en service après une approbation.</w:t>
      </w:r>
    </w:p>
    <w:p>
      <w:pPr>
        <w:pStyle w:val="ListParagraph"/>
        <w:numPr>
          <w:ilvl w:val="0"/>
          <w:numId w:val="2"/>
        </w:numPr>
        <w:spacing w:after="60"/>
      </w:pPr>
      <w:r>
        <w:rPr>
          <w:rFonts w:ascii="Calibri" w:cs="Calibri" w:eastAsia="Calibri" w:hAnsi="Calibri"/>
          <w:sz w:val="22"/>
          <w:szCs w:val="22"/>
        </w:rPr>
        <w:t xml:space="preserve">Tous les réglages hors bornes du jeu de tests sont refusés à l'enregistrement, chacun avec un message qui cite la règle.</w:t>
      </w:r>
    </w:p>
    <w:p>
      <w:pPr>
        <w:pStyle w:val="ListParagraph"/>
        <w:numPr>
          <w:ilvl w:val="0"/>
          <w:numId w:val="2"/>
        </w:numPr>
        <w:spacing w:after="60"/>
      </w:pPr>
      <w:r>
        <w:rPr>
          <w:rFonts w:ascii="Calibri" w:cs="Calibri" w:eastAsia="Calibri" w:hAnsi="Calibri"/>
          <w:sz w:val="22"/>
          <w:szCs w:val="22"/>
        </w:rPr>
        <w:t xml:space="preserve">Aucune donnée d'un prestataire n'est visible par un autre, sur toutes les routes de la mission.</w:t>
      </w:r>
    </w:p>
    <w:p>
      <w:pPr>
        <w:pStyle w:val="ListParagraph"/>
        <w:numPr>
          <w:ilvl w:val="0"/>
          <w:numId w:val="2"/>
        </w:numPr>
        <w:spacing w:after="60"/>
      </w:pPr>
      <w:r>
        <w:rPr>
          <w:rFonts w:ascii="Calibri" w:cs="Calibri" w:eastAsia="Calibri" w:hAnsi="Calibri"/>
          <w:sz w:val="22"/>
          <w:szCs w:val="22"/>
        </w:rPr>
        <w:t xml:space="preserve">Pour toute transaction, la version de configuration et la règle de frais qui l'ont calculée sont retrouvables.</w:t>
      </w:r>
    </w:p>
    <w:p>
      <w:pPr>
        <w:pStyle w:val="ListParagraph"/>
        <w:numPr>
          <w:ilvl w:val="0"/>
          <w:numId w:val="2"/>
        </w:numPr>
        <w:spacing w:after="60"/>
      </w:pPr>
      <w:r>
        <w:rPr>
          <w:rFonts w:ascii="Calibri" w:cs="Calibri" w:eastAsia="Calibri" w:hAnsi="Calibri"/>
          <w:sz w:val="22"/>
          <w:szCs w:val="22"/>
        </w:rPr>
        <w:t xml:space="preserve">Aucun passage de statut n'est possible hors de la route dédiée, et tout refus nomme la condition non remplie.</w:t>
      </w:r>
    </w:p>
    <w:p>
      <w:pPr>
        <w:pStyle w:val="ListParagraph"/>
        <w:numPr>
          <w:ilvl w:val="0"/>
          <w:numId w:val="2"/>
        </w:numPr>
        <w:spacing w:after="60"/>
      </w:pPr>
      <w:r>
        <w:rPr>
          <w:rFonts w:ascii="Calibri" w:cs="Calibri" w:eastAsia="Calibri" w:hAnsi="Calibri"/>
          <w:sz w:val="22"/>
          <w:szCs w:val="22"/>
        </w:rPr>
        <w:t xml:space="preserve">Lectures et écritures de configuration en 200 ms ou moins (p95) ; création d'un événement en 500 ms ou moins.</w:t>
      </w:r>
    </w:p>
    <w:sectPr>
      <w:footerReference w:type="default" r:id="rId6"/>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6"/>
        <w:szCs w:val="16"/>
      </w:rPr>
      <w:t xml:space="preserve">Mission 3 — Configuration, parties et événements · page </w:t>
    </w:r>
    <w:r>
      <w:rPr>
        <w:rFonts w:ascii="Calibri" w:cs="Calibri" w:eastAsia="Calibri" w:hAnsi="Calibri"/>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Mission 3 — Configuration, parties et événements</dc:title>
  <dc:creator>Cashless Platform</dc:creator>
  <cp:lastModifiedBy>Un-named</cp:lastModifiedBy>
  <cp:revision>1</cp:revision>
  <dcterms:created xsi:type="dcterms:W3CDTF">2026-10-12T12:59:09.910Z</dcterms:created>
  <dcterms:modified xsi:type="dcterms:W3CDTF">2026-10-12T12:59:09.911Z</dcterms:modified>
</cp:coreProperties>
</file>

<file path=docProps/custom.xml><?xml version="1.0" encoding="utf-8"?>
<Properties xmlns="http://schemas.openxmlformats.org/officeDocument/2006/custom-properties" xmlns:vt="http://schemas.openxmlformats.org/officeDocument/2006/docPropsVTypes"/>
</file>