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400" w:after="240"/>
        <w:jc w:val="center"/>
      </w:pPr>
      <w:r>
        <w:rPr>
          <w:color w:val="595959"/>
          <w:sz w:val="28"/>
          <w:szCs w:val="28"/>
        </w:rPr>
        <w:t xml:space="preserve">Cashless Platform</w:t>
      </w:r>
    </w:p>
    <w:p>
      <w:pPr>
        <w:spacing w:after="240"/>
        <w:jc w:val="center"/>
      </w:pPr>
      <w:r>
        <w:rPr>
          <w:b/>
          <w:bCs/>
          <w:color w:val="1F4E79"/>
          <w:sz w:val="44"/>
          <w:szCs w:val="44"/>
        </w:rPr>
        <w:t xml:space="preserve">Mission 5b : Encaissement en ligne</w:t>
      </w:r>
    </w:p>
    <w:p>
      <w:pPr>
        <w:spacing w:after="600"/>
        <w:jc w:val="center"/>
      </w:pPr>
      <w:r>
        <w:rPr>
          <w:sz w:val="24"/>
          <w:szCs w:val="24"/>
        </w:rPr>
        <w:t xml:space="preserve">Contenu détaillé de la mission : besoin, décisions, architecture, plan de travail, avancement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Élément</w:t>
            </w:r>
          </w:p>
        </w:tc>
        <w:tc>
          <w:tcPr>
            <w:tcW w:w="6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Valeur</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Identifiant Spec Kitty</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terminaux-paiement-en-ligne-01M52QB9</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Branche de travail</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feat/terminaux-paiement-en-ligne (lanes kitty/mission-terminaux-paiement-en-ligne-01M52QB9-lane-*)</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Type de mission</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software-dev</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Dépend de</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Missions 1 (grand livre), 2 (identité, rôles), 3 (configuration), 4 (bracelets NFC), 5a (identité des terminaux)</w:t>
            </w:r>
          </w:p>
        </w:tc>
      </w:tr>
      <w:tr>
        <w:tc>
          <w:tcPr>
            <w:tcW w:w="3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État au 23 octobre 2026</w:t>
            </w:r>
          </w:p>
        </w:tc>
        <w:tc>
          <w:tcPr>
            <w:tcW w:w="6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 en cours : 6 lots sur 14 approuvés (WP01, WP02, WP03, WP04, WP06, WP08), WP05 en cours</w:t>
            </w:r>
          </w:p>
        </w:tc>
      </w:tr>
    </w:tbl>
    <w:p>
      <w:pPr>
        <w:spacing w:after="120"/>
      </w:pPr>
    </w:p>
    <w:p>
      <w:r>
        <w:br w:type="page"/>
      </w:r>
    </w:p>
    <w:p>
      <w:pPr>
        <w:pStyle w:val="Titre1"/>
      </w:pPr>
      <w:r>
        <w:t xml:space="preserve">Sommaire</w:t>
      </w:r>
    </w:p>
    <w:p>
      <w:pPr>
        <w:spacing w:after="120"/>
      </w:pPr>
      <w:r>
        <w:fldChar w:fldCharType="begin" w:dirty="true"/>
      </w:r>
      <w:r>
        <w:instrText xml:space="preserve"> TOC \h \o "1-2" </w:instrText>
      </w:r>
      <w:r>
        <w:fldChar w:fldCharType="separate"/>
      </w:r>
      <w:r>
        <w:t>Sommaire : Word le met à jour à l’ouverture (sinon clic droit, « Mettre à jour les champs »).</w:t>
      </w:r>
      <w:r>
        <w:fldChar w:fldCharType="end"/>
      </w:r>
    </w:p>
    <w:p>
      <w:pPr>
        <w:pStyle w:val="Titre1"/>
      </w:pPr>
      <w:r>
        <w:t xml:space="preserve">1. Résumé</w:t>
      </w:r>
    </w:p>
    <w:p>
      <w:pPr>
        <w:spacing w:after="120"/>
      </w:pPr>
      <w:r>
        <w:t xml:space="preserve">La mission 5b livre l’encaissement en ligne sur les terminaux enrôlés par la 5a. Un vendeur ouvre une session sur un terminal avec son code PIN de 6 chiffres, vérifié par le serveur ; chaque vente lui est attribuée par le serveur. Le terminal encaisse par bracelet en un seul aller-retour (lecture, écriture de la vente et consommation du passage dans la même transaction), ou en deux temps, au catalogue du point de vente ou au montant saisi. Une vente s’annule par le vendeur qui l’a faite, depuis le terminal d’origine, dans la fenêtre de l’événement ; au-delà, par un superviseur. Le paiement par QR (commerçant et client) est toujours en ligne.</w:t>
      </w:r>
    </w:p>
    <w:p>
      <w:pPr>
        <w:spacing w:after="120"/>
      </w:pPr>
      <w:r>
        <w:t xml:space="preserve">Elle lève aussi OP-N74, hérité de la 5a : un code d’enrôlement et un enrôlement relisent désormais l’état de l’événement et du point de vente. L’identification au guichet, d’abord prévue ici, part à la mission 10 (décision du porteur au plan). Le hors ligne, l’application du festivalier, l’application du terminal et les écrans du back-office viennent dans d’autres missions.</w:t>
      </w:r>
    </w:p>
    <w:p>
      <w:pPr>
        <w:spacing w:after="120"/>
      </w:pPr>
      <w:r>
        <w:t xml:space="preserve">État au 23 octobre 2026 : la couche base est presque terminée (vendeurs, catalogue, paiement et annulation, OP-N74 approuvés ; demandes QR en cours), ainsi que le socle applicatif et le contrat d’API. Restent les droits de la base, les routes de l’API (vendeurs, catalogue, paiement, annulation, QR) et les preuves de bout en bout.</w:t>
      </w:r>
    </w:p>
    <w:p>
      <w:pPr>
        <w:pStyle w:val="Titre2"/>
      </w:pPr>
      <w:r>
        <w:t xml:space="preserve">Ce que la mission doit prouver</w:t>
      </w:r>
    </w:p>
    <w:p>
      <w:pPr>
        <w:pStyle w:val="Paragraphedeliste"/>
        <w:numPr>
          <w:ilvl w:val="0"/>
          <w:numId w:val="2"/>
        </w:numPr>
        <w:spacing w:after="60"/>
      </w:pPr>
      <w:r>
        <w:t xml:space="preserve">Un parcours complet (vendeur, catalogue, session, paiement par bracelet en un et deux temps, QR commerçant et client, annulation) se déroule par l’API, sans intervention en base (SC-001).</w:t>
      </w:r>
    </w:p>
    <w:p>
      <w:pPr>
        <w:pStyle w:val="Paragraphedeliste"/>
        <w:numPr>
          <w:ilvl w:val="0"/>
          <w:numId w:val="2"/>
        </w:numPr>
        <w:spacing w:after="60"/>
      </w:pPr>
      <w:r>
        <w:t xml:space="preserve">Toutes les ventes sont attribuées au bon vendeur, et les lignes d’une vente au catalogue font son montant (SC-002).</w:t>
      </w:r>
    </w:p>
    <w:p>
      <w:pPr>
        <w:pStyle w:val="Paragraphedeliste"/>
        <w:numPr>
          <w:ilvl w:val="0"/>
          <w:numId w:val="2"/>
        </w:numPr>
        <w:spacing w:after="60"/>
      </w:pPr>
      <w:r>
        <w:t xml:space="preserve">Aucun PIN, empreinte de PIN ni jeton QR en clair dans la base, les journaux ou les réponses (SC-003).</w:t>
      </w:r>
    </w:p>
    <w:p>
      <w:pPr>
        <w:pStyle w:val="Paragraphedeliste"/>
        <w:numPr>
          <w:ilvl w:val="0"/>
          <w:numId w:val="2"/>
        </w:numPr>
        <w:spacing w:after="60"/>
      </w:pPr>
      <w:r>
        <w:t xml:space="preserve">Un vendeur bloqué après 5 échecs ne rouvre de session sur aucun terminal avant déblocage (SC-004).</w:t>
      </w:r>
    </w:p>
    <w:p>
      <w:pPr>
        <w:pStyle w:val="Paragraphedeliste"/>
        <w:numPr>
          <w:ilvl w:val="0"/>
          <w:numId w:val="2"/>
        </w:numPr>
        <w:spacing w:after="60"/>
      </w:pPr>
      <w:r>
        <w:t xml:space="preserve">Aucune lecture, aucun jeton QR ni aucune vente ne sert deux fois, même sous envois simultanés (SC-005).</w:t>
      </w:r>
    </w:p>
    <w:p>
      <w:pPr>
        <w:pStyle w:val="Paragraphedeliste"/>
        <w:numPr>
          <w:ilvl w:val="0"/>
          <w:numId w:val="2"/>
        </w:numPr>
        <w:spacing w:after="60"/>
      </w:pPr>
      <w:r>
        <w:t xml:space="preserve">Paiement par bracelet accepté en 200 ms au plus pour 95 % des paiements, côté serveur (SC-006).</w:t>
      </w:r>
    </w:p>
    <w:p>
      <w:pPr>
        <w:pStyle w:val="Paragraphedeliste"/>
        <w:numPr>
          <w:ilvl w:val="0"/>
          <w:numId w:val="2"/>
        </w:numPr>
        <w:spacing w:after="60"/>
      </w:pPr>
      <w:r>
        <w:t xml:space="preserve">Aucune fuite entre prestataires ou commerçants (SC-007) ; OP-N74 clos avec son test (SC-008).</w:t>
      </w:r>
    </w:p>
    <w:p>
      <w:pPr>
        <w:pStyle w:val="Titre1"/>
      </w:pPr>
      <w:r>
        <w:t xml:space="preserve">2. Contexte et sources</w:t>
      </w:r>
    </w:p>
    <w:p>
      <w:pPr>
        <w:spacing w:after="120"/>
      </w:pPr>
      <w:r>
        <w:t xml:space="preserve">Depuis la mission 5a, un terminal est enrôlé, reconnu à chaque requête par trois preuves (certificat client, jeton d’appareil, signature de la requête) et reçoit sa configuration. Il n’encaisse encore rien.</w:t>
      </w:r>
    </w:p>
    <w:p>
      <w:pPr>
        <w:spacing w:after="120"/>
      </w:pPr>
      <w:r>
        <w:t xml:space="preserve">Sources normatives, par ordre de priorité en cas de contradiction (SPECIFICATION §0.3) :</w:t>
      </w:r>
    </w:p>
    <w:p>
      <w:pPr>
        <w:pStyle w:val="Paragraphedeliste"/>
        <w:numPr>
          <w:ilvl w:val="0"/>
          <w:numId w:val="2"/>
        </w:numPr>
        <w:spacing w:after="60"/>
      </w:pPr>
      <w:r>
        <w:t xml:space="preserve">les tests exécutables : suites pgTAP (dont la suite de référence générée) et tests de l’API ;</w:t>
      </w:r>
    </w:p>
    <w:p>
      <w:pPr>
        <w:pStyle w:val="Paragraphedeliste"/>
        <w:numPr>
          <w:ilvl w:val="0"/>
          <w:numId w:val="2"/>
        </w:numPr>
        <w:spacing w:after="60"/>
      </w:pPr>
      <w:r>
        <w:t xml:space="preserve">le schéma SQL de référence (register_tap, consume_tap, post_transaction, payment_request), le contrat openapi.yaml (tags « Paiements », « App client ») et sync_protocol.md ;</w:t>
      </w:r>
    </w:p>
    <w:p>
      <w:pPr>
        <w:pStyle w:val="Paragraphedeliste"/>
        <w:numPr>
          <w:ilvl w:val="0"/>
          <w:numId w:val="2"/>
        </w:numPr>
        <w:spacing w:after="60"/>
      </w:pPr>
      <w:r>
        <w:t xml:space="preserve">docs/SPECIFICATION.md (§3.2, §6.3, §7.6, §8.1 à §8.3, §9.8, §10.2, §14.2 S2, S18) et les ADR citées ;</w:t>
      </w:r>
    </w:p>
    <w:p>
      <w:pPr>
        <w:pStyle w:val="Paragraphedeliste"/>
        <w:numPr>
          <w:ilvl w:val="0"/>
          <w:numId w:val="2"/>
        </w:numPr>
        <w:spacing w:after="60"/>
      </w:pPr>
      <w:r>
        <w:t xml:space="preserve">PRD.md.</w:t>
      </w:r>
    </w:p>
    <w:p>
      <w:pPr>
        <w:spacing w:after="120"/>
      </w:pPr>
      <w:r>
        <w:t xml:space="preserve">Artefacts de la mission : kitty-specs/terminaux-paiement-en-ligne-01M52QB9/ (spec.md, plan.md, research.md, data-model.md, contracts/, tasks/WP01 à WP14, acceptance-matrix.json).</w:t>
      </w:r>
    </w:p>
    <w:p>
      <w:pPr>
        <w:pStyle w:val="Titre1"/>
      </w:pPr>
      <w:r>
        <w:t xml:space="preserve">3. Périmètre</w:t>
      </w:r>
    </w:p>
    <w:p>
      <w:pPr>
        <w:pStyle w:val="Titre2"/>
      </w:pPr>
      <w:r>
        <w:t xml:space="preserve">Inclus</w:t>
      </w:r>
    </w:p>
    <w:p>
      <w:pPr>
        <w:pStyle w:val="Paragraphedeliste"/>
        <w:numPr>
          <w:ilvl w:val="0"/>
          <w:numId w:val="2"/>
        </w:numPr>
        <w:spacing w:after="60"/>
      </w:pPr>
      <w:r>
        <w:t xml:space="preserve">Vendeurs d’un commerçant, PIN de 6 chiffres (empreinte argon2id avec un secret hors base, VENDOR_PIN_SECRET), blocage au 5e échec tous terminaux confondus, déblocage par le commerçant.</w:t>
      </w:r>
    </w:p>
    <w:p>
      <w:pPr>
        <w:pStyle w:val="Paragraphedeliste"/>
        <w:numPr>
          <w:ilvl w:val="0"/>
          <w:numId w:val="2"/>
        </w:numPr>
        <w:spacing w:after="60"/>
      </w:pPr>
      <w:r>
        <w:t xml:space="preserve">Session de vendeur liée au terminal (12 h au plus, une par terminal), fermée à la déconnexion, à l’expiration, à la suspension ou révocation du terminal et à la désactivation du vendeur.</w:t>
      </w:r>
    </w:p>
    <w:p>
      <w:pPr>
        <w:pStyle w:val="Paragraphedeliste"/>
        <w:numPr>
          <w:ilvl w:val="0"/>
          <w:numId w:val="2"/>
        </w:numPr>
        <w:spacing w:after="60"/>
      </w:pPr>
      <w:r>
        <w:t xml:space="preserve">Catalogue versionné par point de vente (catégories, articles TTC, taux par article, libellés FR/EN), servi dans la configuration du terminal ; lignes de vente copiées dans la transaction.</w:t>
      </w:r>
    </w:p>
    <w:p>
      <w:pPr>
        <w:pStyle w:val="Paragraphedeliste"/>
        <w:numPr>
          <w:ilvl w:val="0"/>
          <w:numId w:val="2"/>
        </w:numPr>
        <w:spacing w:after="60"/>
      </w:pPr>
      <w:r>
        <w:t xml:space="preserve">Paiement par bracelet en un aller-retour ou en deux temps (tap_id), montant saisi en mode KEYPAD_TPE, refus sans écriture (solde, bracelet ou portefeuille bloqué, événement en clôture).</w:t>
      </w:r>
    </w:p>
    <w:p>
      <w:pPr>
        <w:pStyle w:val="Paragraphedeliste"/>
        <w:numPr>
          <w:ilvl w:val="0"/>
          <w:numId w:val="2"/>
        </w:numPr>
        <w:spacing w:after="60"/>
      </w:pPr>
      <w:r>
        <w:t xml:space="preserve">Annulation par contre-passation totale, unique (garantie par la base), par le vendeur dans la fenêtre ou par un superviseur (back-office à deux personnes, ou jeton d’approbation sur place).</w:t>
      </w:r>
    </w:p>
    <w:p>
      <w:pPr>
        <w:pStyle w:val="Paragraphedeliste"/>
        <w:numPr>
          <w:ilvl w:val="0"/>
          <w:numId w:val="2"/>
        </w:numPr>
        <w:spacing w:after="60"/>
      </w:pPr>
      <w:r>
        <w:t xml:space="preserve">QR commerçant (demande de paiement, jeton 128 bits haché, 60 s) et QR client (12 caractères, 60 s).</w:t>
      </w:r>
    </w:p>
    <w:p>
      <w:pPr>
        <w:pStyle w:val="Paragraphedeliste"/>
        <w:numPr>
          <w:ilvl w:val="0"/>
          <w:numId w:val="2"/>
        </w:numPr>
        <w:spacing w:after="60"/>
      </w:pPr>
      <w:r>
        <w:t xml:space="preserve">OP-N74 : enrôlement et création de code refusés pour un événement clos ou un point de vente supprimé, et dès CLOSING pour les caisses.</w:t>
      </w:r>
    </w:p>
    <w:p>
      <w:pPr>
        <w:pStyle w:val="Paragraphedeliste"/>
        <w:numPr>
          <w:ilvl w:val="0"/>
          <w:numId w:val="2"/>
        </w:numPr>
        <w:spacing w:after="60"/>
      </w:pPr>
      <w:r>
        <w:t xml:space="preserve">Contrat d’API complété et types TypeScript et Dart régénérés.</w:t>
      </w:r>
    </w:p>
    <w:p>
      <w:pPr>
        <w:pStyle w:val="Titre2"/>
      </w:pPr>
      <w:r>
        <w:t xml:space="preserve">Hors périmètre (missions suivantes)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Mission prévue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Identification au guichet (kyc_verification), révocation à deux, niveaux appliqués (FR-021 à 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Hors ligne : snapshot, lots, ventes et vérification du PIN sans réseau</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Application du festivalier, confirmation par PIN ou biométrie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Écrans du back-office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Application du terminal</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Intentions de paiement des caisses tierces, mode PAIRED_TPE</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V2 (ADR-43)</w:t>
            </w:r>
          </w:p>
        </w:tc>
      </w:tr>
    </w:tbl>
    <w:p>
      <w:pPr>
        <w:pStyle w:val="Titre1"/>
      </w:pPr>
      <w:r>
        <w:t xml:space="preserve">4. Décisions de cadrage</w:t>
      </w:r>
    </w:p>
    <w:p>
      <w:pPr>
        <w:spacing w:after="120"/>
      </w:pPr>
      <w:r>
        <w:t xml:space="preserve">Décisions prises avec le porteur du projet du 16 au 23 octobre 2026 (spécification, plan, implémentation).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Décision</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Date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Taille de la mission 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Scindée en 5a (identité des terminaux) puis 5b (encaissement)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16/10/2026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Périmètre de la 5b</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le périmètre du PRD ; l’identification au guichet part ensuite à la mission 10</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Vérification du PIN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Par le serveur ; session de vendeur liée au terminal ; attribution par le serveur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Qui annule dans la fenêtre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Seul le vendeur de la vente, depuis le terminal d’origine ; sinon un SUPERVISOR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Prix des lignes</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Prix de la version de catalogue servie au terminal ou prix actuel ; sinon refus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Dès CLOSING pour CATALOG_POS et KEYPAD_TPE ; TOPUP_DESK jusqu’à CLOSED ; CLOSED refuse tout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Règles du PIN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 chiffres ; 5 échecs par vendeur bloquent jusqu’au déblocage ; session de 12 h au plus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Pile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Document 08 : Node 22, argon2 0.44.0 ; secret hors base pour le PIN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Codes de refus (ADR-123)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refusée : 422 REVERSAL_NOT_ALLOWED ; fenêtre dépassée : 409 REVERSAL_WINDOW_EXPIRED, après les contrôles du vendeur ; QR client refusé : 422 QR_TOKEN_INVALID</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Dépendance @epic-web/invariant</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Acceptée (transitive de cross-env, sans script, signature vérifiée ; R-01)</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Idempotence (ADR-124)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refus DEBIT_AUTHORITY_* relâchent la clé sur toutes les routes ; SPECIFICATION §10.2 mise à jour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Secrets par processus (ADR-125)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Exposition actuelle acceptée ; lecture par processus à la mission 13 (OP-N77)</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23/10/2026</w:t>
            </w:r>
          </w:p>
        </w:tc>
      </w:tr>
    </w:tbl>
    <w:p>
      <w:pPr>
        <w:pStyle w:val="Titre1"/>
      </w:pPr>
      <w:r>
        <w:t xml:space="preserve">5. Exigences</w:t>
      </w:r>
    </w:p>
    <w:p>
      <w:pPr>
        <w:pStyle w:val="Titre2"/>
      </w:pPr>
      <w:r>
        <w:t xml:space="preserve">5.1 Exigences fonctionnelles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Exigence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d’un commerçant : créer, lister, consulter, désactiver, réactiver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Code PIN de 6 chiffres, empreinte argon2id seulement, changement par le commerçant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Session de vendeur ouverte par PIN, liée au terminal, 12 h au plus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Blocage après 5 PIN faux, tous terminaux, jusqu’au déblocage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Fin de session : déconnexion, 12 h, terminal suspendu ou révoqué, vendeur désactivé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Vente et annulation attribuées par le serveur, jamais par un champ du terminal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d’un point de vente (catégories, articles TTC, taux, libellés FR/EN)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servi au terminal CATALOG_POS ; nouvelle configuration à chaque modification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par bracelet en un aller-retour, tout ou rien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en deux temps par tap_id ; passage consommé ou trop ancien : 409 TAP_UNUSABLE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Lignes de vente copiées dans la transaction de la vente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Prix vérifiés (article, version servie ou actuelle, somme = montant)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Montant saisi en mode KEYPAD_TPE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Refus d’un paiement sans écriture ni passage enregistré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Moyens selon le terminal (iOS et modes sans NFC : pas de bracelet)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par le vendeur, terminal d’origine, dans la fenêtre ; une seule fois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 par un SUPERVISOR hors fenêtre ou pour un autre vendeur</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QR commerçant : demande de paiement à usage unique, 60 s, annulable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FR-019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QR client présenté au paiement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Jetons QR hachés, à usage unique, refus sans dire pourquoi, en ligne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FR-021 à FR-023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Identification au guichet : reportées à la mission 10</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 : enrôlement et état de l’événement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Consultation d’un paiement de son périmètre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Audit de chaque action sur vendeurs, sessions, catalogue, annulations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FR-027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et types (fait : WP01)</w:t>
            </w:r>
          </w:p>
        </w:tc>
      </w:tr>
    </w:tbl>
    <w:p>
      <w:pPr>
        <w:pStyle w:val="Titre2"/>
      </w:pPr>
      <w:r>
        <w:t xml:space="preserve">5.2 Exigences non fonctionnelles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Sujet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Seuil mesurable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Latence du paiement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p95 ≤ 200 ms, p99 ≤ 500 ms sur 200 paiements en série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PIN en clair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PIN ni empreinte dans réponses, journaux, audit, erreurs, configuration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NFR-003</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Blocage du PIN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essais simultanés : au plus 5 comptés, aucun ne passe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d’énumération des vendeurs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Même statut et même corps pour PIN faux, vendeur inconnu ou d’ailleurs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Un passage, une vente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20 envois simultanés : exactement 1 vente ou 1 annulation</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NFR-006</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Tout ou rien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vente sans lignes, 0 passage consommé par un refus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Isolation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0 objet d’un autre prestataire ou commerçant lisible ou modifiable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NFR-008</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Aucun jeton QR en clair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Seules les empreintes sont gardées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NFR-009</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faux en production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Démarrage refusé, un test par faux ou secret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NFR-010</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Tests existants verts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Suites des missions 1 à 5a et scénario de référence verts en CI</w:t>
            </w:r>
          </w:p>
        </w:tc>
      </w:tr>
    </w:tbl>
    <w:p>
      <w:pPr>
        <w:pStyle w:val="Titre2"/>
      </w:pPr>
      <w:r>
        <w:t xml:space="preserve">5.3 Contraintes (11)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ID</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Contrainte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Les fonctions de la base font les règles ; l’API les appelle sans les réécrire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C-002</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Fichiers .sql générés du kit intouchables ; migrations et générateurs seulement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C-003</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Trois preuves sur toute route de terminal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C-004</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d’abord ; types générés</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C-005</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de hors ligne (mission 7)</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C-006</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d’application ni d’écran</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C-007</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d’intention de paiement (V2)</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Pas d’identification au guichet ; écritures directes retirées à l’API</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C-009</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Écart de sécurité soumis au porteur avant d’être codé</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C-010</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Dette de sécurité nommée (point ouvert, ADR, test, report)</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C-011</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Révocation d’une identification à deux (contrat prime sur §6.3) ; transmis à la mission 10</w:t>
            </w:r>
          </w:p>
        </w:tc>
      </w:tr>
    </w:tbl>
    <w:p>
      <w:pPr>
        <w:pStyle w:val="Titre1"/>
      </w:pPr>
      <w:r>
        <w:t xml:space="preserve">6. Architecture retenue</w:t>
      </w:r>
    </w:p>
    <w:p>
      <w:pPr>
        <w:pStyle w:val="Titre2"/>
      </w:pPr>
      <w:r>
        <w:t xml:space="preserve">6.1 Composants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8438"/>
      </w:tblGrid>
      <w:tr>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Composant</w:t>
            </w:r>
          </w:p>
        </w:tc>
        <w:tc>
          <w:tcPr>
            <w:tcW w:w="8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Rôle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packages/ledger-sql</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Migrations 0031 (vendeurs, sessions, set_device_status), 0032 (catalogue versionné, lignes de vente), 0033 (paiement, annulation, approbation sur place), 0034 (demandes QR), 0035 (OP-N74) ; droits de la base (WP07, post-roles.sql)</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 : socle (WP08)</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argon2id et VENDOR_PIN_SECRET, contexte du terminal, idempotence &lt;serial&gt;:&lt;seq&gt;, garde exclusive terminal ou personne, traduction des erreurs de la base</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apps/api : routes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et sessions (WP09), catalogue et configuration servie (WP10), paiement par bracelet (WP11), annulation (WP12), QR (WP13)</w:t>
            </w:r>
          </w:p>
        </w:tc>
      </w:tr>
      <w:tr>
        <w:tc>
          <w:tcPr>
            <w:tcW w:w="12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packages/contracts</w:t>
            </w:r>
          </w:p>
        </w:tc>
        <w:tc>
          <w:tcPr>
            <w:tcW w:w="8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openapi.yaml complété, types TypeScript et Dart régénérés (WP01)</w:t>
            </w:r>
          </w:p>
        </w:tc>
      </w:tr>
    </w:tbl>
    <w:p>
      <w:pPr>
        <w:pStyle w:val="Titre2"/>
      </w:pPr>
      <w:r>
        <w:t xml:space="preserve">6.2 Chaîne d’un paiement par bracelet</w:t>
      </w:r>
    </w:p>
    <w:p>
      <w:pPr>
        <w:pStyle w:val="Paragraphedeliste"/>
        <w:numPr>
          <w:ilvl w:val="0"/>
          <w:numId w:val="2"/>
        </w:numPr>
        <w:spacing w:after="60"/>
      </w:pPr>
      <w:r>
        <w:t xml:space="preserve">Le terminal envoie la lecture du bracelet, le montant et, au catalogue, les lignes, avec ses trois preuves et la clé &lt;serial&gt;:&lt;seq&gt;.</w:t>
      </w:r>
    </w:p>
    <w:p>
      <w:pPr>
        <w:pStyle w:val="Paragraphedeliste"/>
        <w:numPr>
          <w:ilvl w:val="0"/>
          <w:numId w:val="2"/>
        </w:numPr>
        <w:spacing w:after="60"/>
      </w:pPr>
      <w:r>
        <w:t xml:space="preserve">Une seule transaction SQL : statut du terminal relu, session de vendeur vérifiée, lecture enregistrée (register_tap), vente écrite par le moteur (PURCHASE, source ONLINE), lignes enregistrées et contrôlées, passage consommé (consume_tap).</w:t>
      </w:r>
    </w:p>
    <w:p>
      <w:pPr>
        <w:pStyle w:val="Paragraphedeliste"/>
        <w:numPr>
          <w:ilvl w:val="0"/>
          <w:numId w:val="2"/>
        </w:numPr>
        <w:spacing w:after="60"/>
      </w:pPr>
      <w:r>
        <w:t xml:space="preserve">Tout ou rien : un refus n’écrit rien et ne consomme pas le passage ; un passage ne sert qu’une fois.</w:t>
      </w:r>
    </w:p>
    <w:p>
      <w:pPr>
        <w:pStyle w:val="Paragraphedeliste"/>
        <w:numPr>
          <w:ilvl w:val="0"/>
          <w:numId w:val="2"/>
        </w:numPr>
        <w:spacing w:after="60"/>
      </w:pPr>
      <w:r>
        <w:t xml:space="preserve">La vente est attribuée au vendeur de la session ouverte sur ce terminal, jamais d’après un champ envoyé.</w:t>
      </w:r>
    </w:p>
    <w:p>
      <w:pPr>
        <w:pStyle w:val="Titre2"/>
      </w:pPr>
      <w:r>
        <w:t xml:space="preserve">6.3 Annulation</w:t>
      </w:r>
    </w:p>
    <w:p>
      <w:pPr>
        <w:pStyle w:val="Paragraphedeliste"/>
        <w:numPr>
          <w:ilvl w:val="0"/>
          <w:numId w:val="2"/>
        </w:numPr>
        <w:spacing w:after="60"/>
      </w:pPr>
      <w:r>
        <w:t xml:space="preserve">Le vendeur de la vente, depuis le terminal d’origine, dans la fenêtre reversal_window_minutes de l’événement, événement en LIVE ou CLOSING.</w:t>
      </w:r>
    </w:p>
    <w:p>
      <w:pPr>
        <w:pStyle w:val="Paragraphedeliste"/>
        <w:numPr>
          <w:ilvl w:val="0"/>
          <w:numId w:val="2"/>
        </w:numPr>
        <w:spacing w:after="60"/>
      </w:pPr>
      <w:r>
        <w:t xml:space="preserve">Au-delà : un SUPERVISOR, par le back-office (demande SALE_REVERSAL approuvée par deux personnes distinctes) ou sur place par un jeton d’approbation lié à la vente (preuve en base, jeton consommé une fois).</w:t>
      </w:r>
    </w:p>
    <w:p>
      <w:pPr>
        <w:pStyle w:val="Paragraphedeliste"/>
        <w:numPr>
          <w:ilvl w:val="0"/>
          <w:numId w:val="2"/>
        </w:numPr>
        <w:spacing w:after="60"/>
      </w:pPr>
      <w:r>
        <w:t xml:space="preserve">Contre-passation totale liée à la vente ; une seule annulation par vente, garantie par un index unique.</w:t>
      </w:r>
    </w:p>
    <w:p>
      <w:pPr>
        <w:pStyle w:val="Titre1"/>
      </w:pPr>
      <w:r>
        <w:t xml:space="preserve">7. Points d’attention et contradictions</w:t>
      </w:r>
    </w:p>
    <w:p>
      <w:pPr>
        <w:pStyle w:val="Titre2"/>
      </w:pPr>
      <w:r>
        <w:t xml:space="preserve">7.1 Dettes de sécurité acceptées</w:t>
      </w:r>
    </w:p>
    <w:p>
      <w:pPr>
        <w:spacing w:after="120"/>
      </w:pPr>
      <w:r>
        <w:t xml:space="preserve">Chaque écart accepté est consigné dans docs/POINTS_OUVERTS.md et docs/DECISIONS_ADR.md, avec son risque, la mission qui le lève et un test qui échoue si la limite s’élargit.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Point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Dette</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Levée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OP-N76 (ADR-121)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PIN : l’API lit les empreintes et la base ouvre la session sur la foi de l’API</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11, avec OP-N56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OP-N77 (ADR-125)</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Secrets de l’API exigés et reçus par tous les processus, y compris ceux qui ne s’en servent pas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13</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OP-N43 (complété)</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Côté festivalier du QR derrière un port d’identité : faux en test, refusé en production</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Mission 10</w:t>
            </w:r>
          </w:p>
        </w:tc>
      </w:tr>
    </w:tbl>
    <w:p>
      <w:pPr>
        <w:pStyle w:val="Titre2"/>
      </w:pPr>
      <w:r>
        <w:t xml:space="preserve">7.2 Contradictions de sources signalées</w:t>
      </w:r>
    </w:p>
    <w:p>
      <w:pPr>
        <w:pStyle w:val="Paragraphedeliste"/>
        <w:numPr>
          <w:ilvl w:val="0"/>
          <w:numId w:val="2"/>
        </w:numPr>
        <w:spacing w:after="60"/>
      </w:pPr>
      <w:r>
        <w:t xml:space="preserve">Codes de refus de l’annulation et du QR client : le contrat existant est gardé (ADR-123).</w:t>
      </w:r>
    </w:p>
    <w:p>
      <w:pPr>
        <w:pStyle w:val="Paragraphedeliste"/>
        <w:numPr>
          <w:ilvl w:val="0"/>
          <w:numId w:val="2"/>
        </w:numPr>
        <w:spacing w:after="60"/>
      </w:pPr>
      <w:r>
        <w:t xml:space="preserve">assert_reversible : le prompt donnait 4 paramètres, l’arbitrage exigeait une preuve en base ; deux paramètres optionnels ajoutés (p_jti, p_approval_request), non contournables par NULL (relecture WP04).</w:t>
      </w:r>
    </w:p>
    <w:p>
      <w:pPr>
        <w:pStyle w:val="Paragraphedeliste"/>
        <w:numPr>
          <w:ilvl w:val="0"/>
          <w:numId w:val="2"/>
        </w:numPr>
        <w:spacing w:after="60"/>
      </w:pPr>
      <w:r>
        <w:t xml:space="preserve">SPECIFICATION §10.2 : refus DEBIT_AUTHORITY_* désormais non enregistrés ; spécification mise à jour (ADR-124).</w:t>
      </w:r>
    </w:p>
    <w:p>
      <w:pPr>
        <w:pStyle w:val="Titre2"/>
      </w:pPr>
      <w:r>
        <w:t xml:space="preserve">7.3 Constats reportés aux lots suivants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Report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Origine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Retirer INSERT et UPDATE sur sale_attribution à cashless_app ; vendor_id dans la clé composite ; tests : session expirée, valideur non SUPERVISOR</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WP04</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Borner &lt;seq&gt; à 2^63−1 (sinon 500 au lieu de 422)</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WP08</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Ne pas renseigner used_at ; target_id = vente annulée ; jeton consommé avant assert_reversible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WP04</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Test du verrou npm qui échoue sur une entrée nouvelle ; vérifier ADR-124, ADR-125</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Relecture WP08</w:t>
            </w:r>
          </w:p>
        </w:tc>
      </w:tr>
    </w:tbl>
    <w:p>
      <w:pPr>
        <w:pStyle w:val="Titre2"/>
      </w:pPr>
      <w:r>
        <w:t xml:space="preserve">7.4 Relecture</w:t>
      </w:r>
    </w:p>
    <w:p>
      <w:pPr>
        <w:spacing w:after="120"/>
      </w:pPr>
      <w:r>
        <w:t xml:space="preserve">Chaque lot est relu par un agent distinct de celui qui l’a écrit, dans une session séparée. Les tests sont rejoués en série par l’agent principal sur la base partagée. Fichiers à faire relire par une personne (règle 4) : 0031_vendors.sql, 0033_payments.sql (assert_reversible, clé de sale_attribution), apps/api/src/vendor-pin/, config.ts, device-or-caller.guard.ts, idempotency.interceptor.ts.</w:t>
      </w:r>
    </w:p>
    <w:p>
      <w:pPr>
        <w:pStyle w:val="Titre1"/>
      </w:pPr>
      <w:r>
        <w:t xml:space="preserve">8. Plan de travail</w:t>
      </w:r>
    </w:p>
    <w:p>
      <w:pPr>
        <w:spacing w:after="120"/>
      </w:pPr>
      <w:r>
        <w:t xml:space="preserve">14 lots de travail. Chaque lot a ses propres fichiers et une lane dédiée.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3900"/>
        <w:gridCol w:w="1100"/>
        <w:gridCol w:w="2300"/>
        <w:gridCol w:w="1438"/>
      </w:tblGrid>
      <w:tr>
        <w:trPr>
          <w:tblHeader/>
        </w:trPr>
        <w:tc>
          <w:tcPr>
            <w:tcW w:w="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Lot</w:t>
            </w:r>
          </w:p>
        </w:tc>
        <w:tc>
          <w:tcPr>
            <w:tcW w:w="39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Objet</w:t>
            </w:r>
          </w:p>
        </w:tc>
        <w:tc>
          <w:tcPr>
            <w:tcW w:w="11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Sous-tâches</w:t>
            </w:r>
          </w:p>
        </w:tc>
        <w:tc>
          <w:tcPr>
            <w:tcW w:w="23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Dépend de</w:t>
            </w:r>
          </w:p>
        </w:tc>
        <w:tc>
          <w:tcPr>
            <w:tcW w:w="1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Contrat d’API et types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sessions et set_device_status (0031)</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versionné et lignes de vente (0032)</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 (cycle 2)</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annulation, approbation sur place (0033)</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WP03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WP05</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Demandes de paiement QR (0034)</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WP04</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WP06</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OP-N74 : enrôlement et état de l’événement (0035)</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3</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Droits de la base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WP02 à WP06</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WP08</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Socle : argon2, secret, contexte, idempotence, garde, erreurs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Approuvé</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Vendeurs : back-office et sessions</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 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WP10</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Catalogue : back-office et configuration servie</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4</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WP07, WP08</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par bracelet</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 WP10</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WP12</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Annulation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WP13</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Paiement par QR</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5</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WP11</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r>
        <w:tc>
          <w:tcPr>
            <w:tcW w:w="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WP14</w:t>
            </w:r>
          </w:p>
        </w:tc>
        <w:tc>
          <w:tcPr>
            <w:tcW w:w="39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Preuves de bout en bout, CI, consignation</w:t>
            </w:r>
          </w:p>
        </w:tc>
        <w:tc>
          <w:tcPr>
            <w:tcW w:w="11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7</w:t>
            </w:r>
          </w:p>
        </w:tc>
        <w:tc>
          <w:tcPr>
            <w:tcW w:w="23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WP09 à WP13</w:t>
            </w:r>
          </w:p>
        </w:tc>
        <w:tc>
          <w:tcPr>
            <w:tcW w:w="1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Prévu</w:t>
            </w:r>
          </w:p>
        </w:tc>
      </w:tr>
    </w:tbl>
    <w:p>
      <w:pPr>
        <w:pStyle w:val="Titre2"/>
      </w:pPr>
      <w:r>
        <w:t xml:space="preserve">Ordre et parallélisme</w:t>
      </w:r>
    </w:p>
    <w:p>
      <w:pPr>
        <w:pStyle w:val="Paragraphedeliste"/>
        <w:numPr>
          <w:ilvl w:val="0"/>
          <w:numId w:val="2"/>
        </w:numPr>
        <w:spacing w:after="60"/>
      </w:pPr>
      <w:r>
        <w:t xml:space="preserve">Fait : WP01, WP02, WP03, WP04, WP06, WP08.</w:t>
      </w:r>
    </w:p>
    <w:p>
      <w:pPr>
        <w:pStyle w:val="Paragraphedeliste"/>
        <w:numPr>
          <w:ilvl w:val="0"/>
          <w:numId w:val="2"/>
        </w:numPr>
        <w:spacing w:after="60"/>
      </w:pPr>
      <w:r>
        <w:t xml:space="preserve">Maintenant : WP05 ; puis WP07, qui attend WP05.</w:t>
      </w:r>
    </w:p>
    <w:p>
      <w:pPr>
        <w:pStyle w:val="Paragraphedeliste"/>
        <w:numPr>
          <w:ilvl w:val="0"/>
          <w:numId w:val="2"/>
        </w:numPr>
        <w:spacing w:after="60"/>
      </w:pPr>
      <w:r>
        <w:t xml:space="preserve">Après WP07 : WP09 et WP10 en parallèle ; puis WP11 ; puis WP12 et WP13 en parallèle ; WP14 ferme la mission.</w:t>
      </w:r>
    </w:p>
    <w:p>
      <w:pPr>
        <w:pStyle w:val="Titre1"/>
      </w:pPr>
      <w:r>
        <w:t xml:space="preserve">9. Avancement et prochaines étapes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800"/>
        <w:gridCol w:w="3438"/>
      </w:tblGrid>
      <w:tr>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Étape</w:t>
            </w:r>
          </w:p>
        </w:tc>
        <w:tc>
          <w:tcPr>
            <w:tcW w:w="3800"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État</w:t>
            </w:r>
          </w:p>
        </w:tc>
        <w:tc>
          <w:tcPr>
            <w:tcW w:w="3438" w:type="dxa"/>
            <w:tcBorders>
              <w:top w:val="single" w:sz="4" w:space="0" w:color="A6A6A6"/>
              <w:left w:val="single" w:sz="4" w:space="0" w:color="A6A6A6"/>
              <w:bottom w:val="single" w:sz="4" w:space="0" w:color="A6A6A6"/>
              <w:right w:val="single" w:sz="4" w:space="0" w:color="A6A6A6"/>
            </w:tcBorders>
            <w:shd w:val="clear" w:color="auto" w:fill="DCE6F1"/>
            <w:tcMar>
              <w:top w:w="60" w:type="dxa"/>
              <w:left w:w="90" w:type="dxa"/>
              <w:bottom w:w="60" w:type="dxa"/>
              <w:right w:w="90" w:type="dxa"/>
            </w:tcMar>
          </w:tcPr>
          <w:p>
            <w:r>
              <w:rPr>
                <w:b/>
                <w:bCs/>
                <w:sz w:val="19"/>
                <w:szCs w:val="19"/>
              </w:rPr>
              <w:t xml:space="preserve">Remarque</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Spécification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 7 décisions du porteur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Plan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22/10/2026, 9 décisions, passe contradictoire (27 constats traités), documentation à jour</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Lots et analyse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Faits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14 lots, matrice d’acceptation (27 FR, 10 NFR, 8 SC) tenue au fil des lots</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Implémentation et relecture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En cours</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6 lots approuvés sur 14 au 23/10/2026</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Addendum documentaire post-relecture</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spec-kitty-docs-maintain, avant accept</w:t>
            </w:r>
          </w:p>
        </w:tc>
      </w:tr>
      <w:tr>
        <w:tc>
          <w:tcPr>
            <w:tcW w:w="24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Accept, merge, revue post-fusion</w:t>
            </w:r>
          </w:p>
        </w:tc>
        <w:tc>
          <w:tcPr>
            <w:tcW w:w="3800"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À faire</w:t>
            </w:r>
          </w:p>
        </w:tc>
        <w:tc>
          <w:tcPr>
            <w:tcW w:w="3438" w:type="dxa"/>
            <w:tcBorders>
              <w:top w:val="single" w:sz="4" w:space="0" w:color="A6A6A6"/>
              <w:left w:val="single" w:sz="4" w:space="0" w:color="A6A6A6"/>
              <w:bottom w:val="single" w:sz="4" w:space="0" w:color="A6A6A6"/>
              <w:right w:val="single" w:sz="4" w:space="0" w:color="A6A6A6"/>
            </w:tcBorders>
            <w:tcMar>
              <w:top w:w="60" w:type="dxa"/>
              <w:left w:w="90" w:type="dxa"/>
              <w:bottom w:w="60" w:type="dxa"/>
              <w:right w:w="90" w:type="dxa"/>
            </w:tcMar>
          </w:tcPr>
          <w:p>
            <w:r>
              <w:rPr>
                <w:sz w:val="19"/>
                <w:szCs w:val="19"/>
              </w:rPr>
              <w:t xml:space="preserve">Après WP14</w:t>
            </w:r>
          </w:p>
        </w:tc>
      </w:tr>
    </w:tbl>
    <w:p>
      <w:pPr>
        <w:spacing w:after="120"/>
      </w:pPr>
      <w:r>
        <w:t xml:space="preserve">Prochaines étapes : rejouer et faire relire WP05 ; lancer WP07 (droits de la base, avec les reports de la relecture WP04) ; puis WP09 et WP10. La reprise d’une nouvelle session se fait depuis docs/passation-5b/REPRISE.md.</w:t>
      </w:r>
    </w:p>
    <w:sectPr w:rsidR="009D4932">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1B4A" w:rsidRDefault="00DC1B4A">
      <w:r>
        <w:separator/>
      </w:r>
    </w:p>
  </w:endnote>
  <w:endnote w:type="continuationSeparator" w:id="0">
    <w:p w:rsidR="00DC1B4A" w:rsidRDefault="00DC1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932" w:rsidRDefault="00E30803">
    <w:pPr>
      <w:jc w:val="center"/>
    </w:pPr>
    <w:r>
      <w:rPr>
        <w:color w:val="7F7F7F"/>
        <w:sz w:val="16"/>
        <w:szCs w:val="16"/>
      </w:rPr>
      <w:t>Mission 5a :</w:t>
    </w:r>
    <w:r w:rsidR="00DC1B4A">
      <w:rPr>
        <w:color w:val="7F7F7F"/>
        <w:sz w:val="16"/>
        <w:szCs w:val="16"/>
      </w:rPr>
      <w:t xml:space="preserve"> Identité et enrôlement des terminaux · page </w:t>
    </w:r>
    <w:r w:rsidR="00DC1B4A">
      <w:rPr>
        <w:color w:val="7F7F7F"/>
        <w:sz w:val="16"/>
        <w:szCs w:val="16"/>
      </w:rPr>
      <w:fldChar w:fldCharType="begin"/>
    </w:r>
    <w:r w:rsidR="00DC1B4A">
      <w:rPr>
        <w:color w:val="7F7F7F"/>
        <w:sz w:val="16"/>
        <w:szCs w:val="16"/>
      </w:rPr>
      <w:instrText>PAGE</w:instrText>
    </w:r>
    <w:r>
      <w:rPr>
        <w:color w:val="7F7F7F"/>
        <w:sz w:val="16"/>
        <w:szCs w:val="16"/>
      </w:rPr>
      <w:fldChar w:fldCharType="separate"/>
    </w:r>
    <w:r w:rsidR="00285ADA">
      <w:rPr>
        <w:noProof/>
        <w:color w:val="7F7F7F"/>
        <w:sz w:val="16"/>
        <w:szCs w:val="16"/>
      </w:rPr>
      <w:t>2</w:t>
    </w:r>
    <w:r w:rsidR="00DC1B4A">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1B4A" w:rsidRDefault="00DC1B4A">
      <w:r>
        <w:separator/>
      </w:r>
    </w:p>
  </w:footnote>
  <w:footnote w:type="continuationSeparator" w:id="0">
    <w:p w:rsidR="00DC1B4A" w:rsidRDefault="00DC1B4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B05C1C"/>
    <w:multiLevelType w:val="hybridMultilevel"/>
    <w:tmpl w:val="F57C1BF4"/>
    <w:lvl w:ilvl="0" w:tplc="E8104170">
      <w:start w:val="1"/>
      <w:numFmt w:val="bullet"/>
      <w:lvlText w:val="•"/>
      <w:lvlJc w:val="left"/>
      <w:pPr>
        <w:ind w:left="720" w:hanging="360"/>
      </w:pPr>
    </w:lvl>
    <w:lvl w:ilvl="1" w:tplc="D13445FA" w:tentative="1">
      <w:start w:val="1"/>
      <w:numFmt w:val="bullet"/>
      <w:lvlText w:val="–"/>
      <w:lvlJc w:val="left"/>
      <w:pPr>
        <w:ind w:left="1440" w:hanging="360"/>
      </w:pPr>
    </w:lvl>
    <w:lvl w:ilvl="2" w:tplc="E48C881E">
      <w:numFmt w:val="decimal"/>
      <w:lvlText w:val=""/>
      <w:lvlJc w:val="left"/>
    </w:lvl>
    <w:lvl w:ilvl="3" w:tplc="4A62EACC">
      <w:numFmt w:val="decimal"/>
      <w:lvlText w:val=""/>
      <w:lvlJc w:val="left"/>
    </w:lvl>
    <w:lvl w:ilvl="4" w:tplc="3E8E262E">
      <w:numFmt w:val="decimal"/>
      <w:lvlText w:val=""/>
      <w:lvlJc w:val="left"/>
    </w:lvl>
    <w:lvl w:ilvl="5" w:tplc="3A82FD4C">
      <w:numFmt w:val="decimal"/>
      <w:lvlText w:val=""/>
      <w:lvlJc w:val="left"/>
    </w:lvl>
    <w:lvl w:ilvl="6" w:tplc="F2007E00">
      <w:numFmt w:val="decimal"/>
      <w:lvlText w:val=""/>
      <w:lvlJc w:val="left"/>
    </w:lvl>
    <w:lvl w:ilvl="7" w:tplc="6194F4AE">
      <w:numFmt w:val="decimal"/>
      <w:lvlText w:val=""/>
      <w:lvlJc w:val="left"/>
    </w:lvl>
    <w:lvl w:ilvl="8" w:tplc="756C1BE6">
      <w:numFmt w:val="decimal"/>
      <w:lvlText w:val=""/>
      <w:lvlJc w:val="left"/>
    </w:lvl>
  </w:abstractNum>
  <w:abstractNum w:abstractNumId="1" w15:restartNumberingAfterBreak="0">
    <w:nsid w:val="680D7D08"/>
    <w:multiLevelType w:val="hybridMultilevel"/>
    <w:tmpl w:val="0472D0AA"/>
    <w:lvl w:ilvl="0" w:tplc="BC7690DE" w:tentative="1">
      <w:start w:val="1"/>
      <w:numFmt w:val="bullet"/>
      <w:lvlText w:val="●"/>
      <w:lvlJc w:val="left"/>
      <w:pPr>
        <w:ind w:left="720" w:hanging="360"/>
      </w:pPr>
    </w:lvl>
    <w:lvl w:ilvl="1" w:tplc="2C447246" w:tentative="1">
      <w:start w:val="1"/>
      <w:numFmt w:val="bullet"/>
      <w:lvlText w:val="○"/>
      <w:lvlJc w:val="left"/>
      <w:pPr>
        <w:ind w:left="1440" w:hanging="360"/>
      </w:pPr>
    </w:lvl>
    <w:lvl w:ilvl="2" w:tplc="61E86F4E" w:tentative="1">
      <w:start w:val="1"/>
      <w:numFmt w:val="bullet"/>
      <w:lvlText w:val="■"/>
      <w:lvlJc w:val="left"/>
      <w:pPr>
        <w:ind w:left="2160" w:hanging="360"/>
      </w:pPr>
    </w:lvl>
    <w:lvl w:ilvl="3" w:tplc="6EAAD51C" w:tentative="1">
      <w:start w:val="1"/>
      <w:numFmt w:val="bullet"/>
      <w:lvlText w:val="●"/>
      <w:lvlJc w:val="left"/>
      <w:pPr>
        <w:ind w:left="2880" w:hanging="360"/>
      </w:pPr>
    </w:lvl>
    <w:lvl w:ilvl="4" w:tplc="305CC3D8" w:tentative="1">
      <w:start w:val="1"/>
      <w:numFmt w:val="bullet"/>
      <w:lvlText w:val="○"/>
      <w:lvlJc w:val="left"/>
      <w:pPr>
        <w:ind w:left="3600" w:hanging="360"/>
      </w:pPr>
    </w:lvl>
    <w:lvl w:ilvl="5" w:tplc="B50AF6AA" w:tentative="1">
      <w:start w:val="1"/>
      <w:numFmt w:val="bullet"/>
      <w:lvlText w:val="■"/>
      <w:lvlJc w:val="left"/>
      <w:pPr>
        <w:ind w:left="4320" w:hanging="360"/>
      </w:pPr>
    </w:lvl>
    <w:lvl w:ilvl="6" w:tplc="58A89ECA" w:tentative="1">
      <w:start w:val="1"/>
      <w:numFmt w:val="bullet"/>
      <w:lvlText w:val="●"/>
      <w:lvlJc w:val="left"/>
      <w:pPr>
        <w:ind w:left="5040" w:hanging="360"/>
      </w:pPr>
    </w:lvl>
    <w:lvl w:ilvl="7" w:tplc="1446FF44" w:tentative="1">
      <w:start w:val="1"/>
      <w:numFmt w:val="bullet"/>
      <w:lvlText w:val="●"/>
      <w:lvlJc w:val="left"/>
      <w:pPr>
        <w:ind w:left="5760" w:hanging="360"/>
      </w:pPr>
    </w:lvl>
    <w:lvl w:ilvl="8" w:tplc="5F98A2A8"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932"/>
    <w:rsid w:val="00285ADA"/>
    <w:rsid w:val="009D4932"/>
    <w:rsid w:val="00DC1B4A"/>
    <w:rsid w:val="00E308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B69B5"/>
  <w15:docId w15:val="{E55EAA94-50E3-437D-A277-3D9044444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360" w:after="160"/>
      <w:outlineLvl w:val="0"/>
    </w:pPr>
    <w:rPr>
      <w:b/>
      <w:bCs/>
      <w:color w:val="1F4E79"/>
      <w:sz w:val="32"/>
      <w:szCs w:val="32"/>
    </w:rPr>
  </w:style>
  <w:style w:type="paragraph" w:styleId="Titre2">
    <w:name w:val="heading 2"/>
    <w:basedOn w:val="Normal"/>
    <w:next w:val="Normal"/>
    <w:qFormat/>
    <w:pPr>
      <w:spacing w:before="240" w:after="120"/>
      <w:outlineLvl w:val="1"/>
    </w:pPr>
    <w:rPr>
      <w:b/>
      <w:bCs/>
      <w:color w:val="1F4E79"/>
      <w:sz w:val="26"/>
      <w:szCs w:val="26"/>
    </w:rPr>
  </w:style>
  <w:style w:type="paragraph" w:styleId="Titre3">
    <w:name w:val="heading 3"/>
    <w:basedOn w:val="Normal"/>
    <w:next w:val="Normal"/>
    <w:qFormat/>
    <w:pPr>
      <w:spacing w:before="200" w:after="100"/>
      <w:outlineLvl w:val="2"/>
    </w:pPr>
    <w:rPr>
      <w:b/>
      <w:bCs/>
    </w:rPr>
  </w:style>
  <w:style w:type="paragraph" w:styleId="Titre4">
    <w:name w:val="heading 4"/>
    <w:basedOn w:val="Normal"/>
    <w:next w:val="Normal"/>
    <w:qFormat/>
    <w:pPr>
      <w:outlineLvl w:val="3"/>
    </w:pPr>
    <w:rPr>
      <w:i/>
      <w:iCs/>
      <w:color w:val="2E74B5"/>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E30803"/>
    <w:pPr>
      <w:tabs>
        <w:tab w:val="center" w:pos="4536"/>
        <w:tab w:val="right" w:pos="9072"/>
      </w:tabs>
    </w:pPr>
  </w:style>
  <w:style w:type="character" w:customStyle="1" w:styleId="En-tteCar">
    <w:name w:val="En-tête Car"/>
    <w:basedOn w:val="Policepardfaut"/>
    <w:link w:val="En-tte"/>
    <w:uiPriority w:val="99"/>
    <w:rsid w:val="00E30803"/>
  </w:style>
  <w:style w:type="paragraph" w:styleId="Pieddepage">
    <w:name w:val="footer"/>
    <w:basedOn w:val="Normal"/>
    <w:link w:val="PieddepageCar"/>
    <w:uiPriority w:val="99"/>
    <w:unhideWhenUsed/>
    <w:rsid w:val="00E30803"/>
    <w:pPr>
      <w:tabs>
        <w:tab w:val="center" w:pos="4536"/>
        <w:tab w:val="right" w:pos="9072"/>
      </w:tabs>
    </w:pPr>
  </w:style>
  <w:style w:type="character" w:customStyle="1" w:styleId="PieddepageCar">
    <w:name w:val="Pied de page Car"/>
    <w:basedOn w:val="Policepardfaut"/>
    <w:link w:val="Pieddepage"/>
    <w:uiPriority w:val="99"/>
    <w:rsid w:val="00E308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3023</Words>
  <Characters>16632</Characters>
  <Application>Microsoft Office Word</Application>
  <DocSecurity>0</DocSecurity>
  <Lines>138</Lines>
  <Paragraphs>39</Paragraphs>
  <ScaleCrop>false</ScaleCrop>
  <Company/>
  <LinksUpToDate>false</LinksUpToDate>
  <CharactersWithSpaces>19616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5a : Identité et enrôlement des terminaux</dc:title>
  <dc:creator>Claude (Claude Code) pour Papa Omar SYLLA</dc:creator>
  <cp:lastModifiedBy>hp</cp:lastModifiedBy>
  <cp:revision>3</cp:revision>
  <dcterms:created xsi:type="dcterms:W3CDTF">2026-10-20T10:51:35Z</dcterms:created>
  <dcterms:modified xsi:type="dcterms:W3CDTF">2026-10-22T11:00:00Z</dcterms:modified>
</cp:coreProperties>
</file>