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b/>
          <w:color w:val="0B2545"/>
          <w:sz w:val="52"/>
        </w:rPr>
        <w:t>Мини-ТЗ: «Инструменты для изобретений»</w:t>
      </w:r>
    </w:p>
    <w:p>
      <w:r>
        <w:t xml:space="preserve">Статус: </w:t>
      </w:r>
      <w:r>
        <w:rPr>
          <w:b/>
        </w:rPr>
        <w:t>на согласовании клиентом</w:t>
      </w:r>
      <w:r>
        <w:t xml:space="preserve">  </w:t>
      </w:r>
    </w:p>
    <w:p>
      <w:r>
        <w:t>Дата обновления: 14 августа 2026 г.</w:t>
      </w:r>
    </w:p>
    <w:p>
      <w:pPr>
        <w:pStyle w:val="Heading1"/>
      </w:pPr>
      <w:r>
        <w:t>1. Три раздела</w:t>
      </w:r>
    </w:p>
    <w:p>
      <w:pPr>
        <w:pStyle w:val="ListNumber"/>
        <w:spacing w:after="60"/>
      </w:pPr>
      <w:r>
        <w:rPr>
          <w:b/>
        </w:rPr>
        <w:t>ИИ-новости</w:t>
      </w:r>
      <w:r>
        <w:t xml:space="preserve"> — любые новости об ИИ: модели, продукты, компании,</w:t>
      </w:r>
    </w:p>
    <w:p>
      <w:r>
        <w:t xml:space="preserve">   исследования, релизы, обновления и разработки.</w:t>
      </w:r>
    </w:p>
    <w:p>
      <w:pPr>
        <w:pStyle w:val="ListNumber"/>
        <w:spacing w:after="60"/>
      </w:pPr>
      <w:r>
        <w:rPr>
          <w:b/>
        </w:rPr>
        <w:t>ИИ для науки</w:t>
      </w:r>
      <w:r>
        <w:t xml:space="preserve"> — инструменты и новости для научных исследований, поиска</w:t>
      </w:r>
    </w:p>
    <w:p>
      <w:r>
        <w:t xml:space="preserve">   литературы, анализа данных и планирования экспериментов.</w:t>
      </w:r>
    </w:p>
    <w:p>
      <w:pPr>
        <w:pStyle w:val="ListNumber"/>
        <w:spacing w:after="60"/>
      </w:pPr>
      <w:r>
        <w:rPr>
          <w:b/>
        </w:rPr>
        <w:t>Инструменты для изобретений</w:t>
      </w:r>
      <w:r>
        <w:t xml:space="preserve"> — ИИ-инструменты, агенты и методы, которые</w:t>
      </w:r>
    </w:p>
    <w:p>
      <w:r>
        <w:t xml:space="preserve">   помогают расшифровывать неизвестное, создавать, синтезировать, прогнозировать,</w:t>
      </w:r>
    </w:p>
    <w:p>
      <w:r>
        <w:t xml:space="preserve">   проектировать или проверять новые вещества, материалы, лекарства, устройства</w:t>
      </w:r>
    </w:p>
    <w:p>
      <w:r>
        <w:t xml:space="preserve">   и технологические решения.</w:t>
      </w:r>
    </w:p>
    <w:p>
      <w:r>
        <w:t>Названия и порядок разделов совпадают на десктопе, мобильной версии и в</w:t>
      </w:r>
    </w:p>
    <w:p>
      <w:r>
        <w:t>Telegram. В мобильной версии допустимы короткие подписи без изменения смысла.</w:t>
      </w:r>
    </w:p>
    <w:p>
      <w:pPr>
        <w:pStyle w:val="Heading1"/>
      </w:pPr>
      <w:r>
        <w:t>2. Архитектура MVP</w:t>
      </w:r>
    </w:p>
    <w:p>
      <w:pPr>
        <w:pStyle w:val="ListBullet"/>
        <w:spacing w:after="60"/>
      </w:pPr>
      <w:r>
        <w:t>Hermes-оркестратор координирует общий поток и три нишевых субагента:</w:t>
      </w:r>
    </w:p>
    <w:p>
      <w:r>
        <w:t xml:space="preserve">  ИИ-новости, ИИ для науки, Инструменты для изобретений.</w:t>
      </w:r>
    </w:p>
    <w:p>
      <w:pPr>
        <w:pStyle w:val="ListBullet"/>
        <w:spacing w:after="60"/>
      </w:pPr>
      <w:r>
        <w:t>Каждый субагент получает общий поток и дополнительно ищет материалы в своём</w:t>
      </w:r>
    </w:p>
    <w:p>
      <w:r>
        <w:t xml:space="preserve">  наборе источников.</w:t>
      </w:r>
    </w:p>
    <w:p>
      <w:pPr>
        <w:pStyle w:val="ListBullet"/>
        <w:spacing w:after="60"/>
      </w:pPr>
      <w:r>
        <w:t>ScrapeGraphAI (</w:t>
      </w:r>
      <w:r>
        <w:rPr>
          <w:rFonts w:ascii="Aptos Mono" w:hAnsi="Aptos Mono"/>
          <w:sz w:val="19"/>
        </w:rPr>
        <w:t>Scrapegraph-ai</w:t>
      </w:r>
      <w:r>
        <w:t>) подключается как fallback для поиска и</w:t>
      </w:r>
    </w:p>
    <w:p>
      <w:r>
        <w:t xml:space="preserve">  извлечения страниц без стабильного RSS/API. Основными каналами остаются</w:t>
      </w:r>
    </w:p>
    <w:p>
      <w:r>
        <w:t xml:space="preserve">  проверенные RSS/API; fallback не заменяет SSRF-защиту и дедупликацию.</w:t>
      </w:r>
    </w:p>
    <w:p>
      <w:pPr>
        <w:pStyle w:val="ListBullet"/>
        <w:spacing w:after="60"/>
      </w:pPr>
      <w:r>
        <w:t>В дашборде появляются третий раздел, фильтр и счётчики.</w:t>
      </w:r>
    </w:p>
    <w:p>
      <w:pPr>
        <w:pStyle w:val="ListBullet"/>
        <w:spacing w:after="60"/>
      </w:pPr>
      <w:r>
        <w:t>Telegram отправляет три отдельных сообщения с теми же названиями.</w:t>
      </w:r>
    </w:p>
    <w:p>
      <w:pPr>
        <w:pStyle w:val="Heading1"/>
      </w:pPr>
      <w:r>
        <w:t>3. Обязательные постоянные карточки</w:t>
      </w:r>
    </w:p>
    <w:p>
      <w:r>
        <w:t>Следующие инструменты добавляются в дашборд как постоянные карточки с</w:t>
      </w:r>
    </w:p>
    <w:p>
      <w:r>
        <w:t>описанием и официальными ссылками. Список одновременно задаёт обязательный</w:t>
      </w:r>
    </w:p>
    <w:p>
      <w:r>
        <w:t>набор объектов и направления, по которым субагент должен искать новости.</w:t>
      </w:r>
    </w:p>
    <w:p>
      <w:pPr>
        <w:pStyle w:val="Heading2"/>
      </w:pPr>
      <w:r>
        <w:t>Новые материалы</w:t>
      </w:r>
    </w:p>
    <w:p>
      <w:pPr>
        <w:pStyle w:val="ListBullet"/>
        <w:spacing w:after="60"/>
      </w:pPr>
      <w:r>
        <w:rPr>
          <w:b/>
        </w:rPr>
        <w:t>GNoME (Google DeepMind)</w:t>
      </w:r>
      <w:r>
        <w:t xml:space="preserve"> — поиск новых стабильных кристаллических структур.</w:t>
      </w:r>
    </w:p>
    <w:p>
      <w:pPr>
        <w:pStyle w:val="ListBullet"/>
        <w:spacing w:after="60"/>
      </w:pPr>
      <w:r>
        <w:rPr>
          <w:b/>
        </w:rPr>
        <w:t>Orbital Materials</w:t>
      </w:r>
      <w:r>
        <w:t xml:space="preserve"> — дизайн материалов с заданными физическими свойствами.</w:t>
      </w:r>
    </w:p>
    <w:p>
      <w:pPr>
        <w:pStyle w:val="Heading2"/>
      </w:pPr>
      <w:r>
        <w:t>Замена лаборатории / autonomous labs</w:t>
      </w:r>
    </w:p>
    <w:p>
      <w:pPr>
        <w:pStyle w:val="ListBullet"/>
        <w:spacing w:after="60"/>
      </w:pPr>
      <w:r>
        <w:rPr>
          <w:b/>
        </w:rPr>
        <w:t>A-Lab (Berkeley Lab)</w:t>
      </w:r>
      <w:r>
        <w:t xml:space="preserve"> — рецепты, роботический синтез и анализ материалов.</w:t>
      </w:r>
    </w:p>
    <w:p>
      <w:pPr>
        <w:pStyle w:val="ListBullet"/>
        <w:spacing w:after="60"/>
      </w:pPr>
      <w:r>
        <w:rPr>
          <w:b/>
        </w:rPr>
        <w:t>Orbital Materials</w:t>
      </w:r>
      <w:r>
        <w:t xml:space="preserve"> — модель материаловедения для заказа материала с нужными</w:t>
      </w:r>
    </w:p>
    <w:p>
      <w:r>
        <w:t xml:space="preserve">  свойствами и получения структуры. Это одна карточка с несколькими тегами.</w:t>
      </w:r>
    </w:p>
    <w:p>
      <w:pPr>
        <w:pStyle w:val="Heading2"/>
      </w:pPr>
      <w:r>
        <w:t>Полный цикл: США</w:t>
      </w:r>
    </w:p>
    <w:p>
      <w:pPr>
        <w:pStyle w:val="ListBullet"/>
        <w:spacing w:after="60"/>
      </w:pPr>
      <w:r>
        <w:rPr>
          <w:b/>
        </w:rPr>
        <w:t>Schrödinger Materials Science Platform</w:t>
      </w:r>
      <w:r>
        <w:t xml:space="preserve"> — платно.</w:t>
      </w:r>
    </w:p>
    <w:p>
      <w:pPr>
        <w:pStyle w:val="ListBullet"/>
        <w:spacing w:after="60"/>
      </w:pPr>
      <w:r>
        <w:rPr>
          <w:b/>
        </w:rPr>
        <w:t>IBM RXN for Chemistry</w:t>
      </w:r>
      <w:r>
        <w:t xml:space="preserve"> — demo бесплатно, бизнес-доступ платный.</w:t>
      </w:r>
    </w:p>
    <w:p>
      <w:pPr>
        <w:pStyle w:val="ListBullet"/>
        <w:spacing w:after="60"/>
      </w:pPr>
      <w:r>
        <w:rPr>
          <w:b/>
        </w:rPr>
        <w:t>ASKCOS (MIT)</w:t>
      </w:r>
      <w:r>
        <w:t xml:space="preserve"> — open source.</w:t>
      </w:r>
    </w:p>
    <w:p>
      <w:pPr>
        <w:pStyle w:val="ListBullet"/>
        <w:spacing w:after="60"/>
      </w:pPr>
      <w:r>
        <w:rPr>
          <w:b/>
        </w:rPr>
        <w:t>Citrine Platform</w:t>
      </w:r>
      <w:r>
        <w:t xml:space="preserve"> — платно, материалы и способы производства.</w:t>
      </w:r>
    </w:p>
    <w:p>
      <w:pPr>
        <w:pStyle w:val="ListBullet"/>
        <w:spacing w:after="60"/>
      </w:pPr>
      <w:r>
        <w:rPr>
          <w:b/>
        </w:rPr>
        <w:t>Synple Chem</w:t>
      </w:r>
      <w:r>
        <w:t xml:space="preserve"> — платно, ПО и оборудование для автоматизированного синтеза.</w:t>
      </w:r>
    </w:p>
    <w:p>
      <w:pPr>
        <w:pStyle w:val="Heading2"/>
      </w:pPr>
      <w:r>
        <w:t>Полный цикл: Китай</w:t>
      </w:r>
    </w:p>
    <w:p>
      <w:pPr>
        <w:pStyle w:val="ListBullet"/>
        <w:spacing w:after="60"/>
      </w:pPr>
      <w:r>
        <w:rPr>
          <w:b/>
        </w:rPr>
        <w:t>Deep-Molecular (DeepPotential / DP Technology)</w:t>
      </w:r>
      <w:r>
        <w:t xml:space="preserve"> — молекулярная динамика и</w:t>
      </w:r>
    </w:p>
    <w:p>
      <w:r>
        <w:t xml:space="preserve">  AI-дизайн материалов.</w:t>
      </w:r>
    </w:p>
    <w:p>
      <w:pPr>
        <w:pStyle w:val="ListBullet"/>
        <w:spacing w:after="60"/>
      </w:pPr>
      <w:r>
        <w:rPr>
          <w:b/>
        </w:rPr>
        <w:t>Baidu PaddleHelix</w:t>
      </w:r>
      <w:r>
        <w:t xml:space="preserve"> — open source-компоненты и enterprise-возможности.</w:t>
      </w:r>
    </w:p>
    <w:p>
      <w:pPr>
        <w:pStyle w:val="ListBullet"/>
        <w:spacing w:after="60"/>
      </w:pPr>
      <w:r>
        <w:rPr>
          <w:b/>
        </w:rPr>
        <w:t>ChemAI (Shanghai Institute of Organic Chemistry)</w:t>
      </w:r>
      <w:r>
        <w:t xml:space="preserve"> — база реакций и</w:t>
      </w:r>
    </w:p>
    <w:p>
      <w:r>
        <w:t xml:space="preserve">  ретросинтез.</w:t>
      </w:r>
    </w:p>
    <w:p>
      <w:pPr>
        <w:pStyle w:val="ListBullet"/>
        <w:spacing w:after="60"/>
      </w:pPr>
      <w:r>
        <w:rPr>
          <w:b/>
        </w:rPr>
        <w:t>Galactica: китайские форки и доработки</w:t>
      </w:r>
      <w:r>
        <w:t xml:space="preserve"> — open source-ориентированные</w:t>
      </w:r>
    </w:p>
    <w:p>
      <w:r>
        <w:t xml:space="preserve">  варианты для химического синтеза.</w:t>
      </w:r>
    </w:p>
    <w:p>
      <w:r>
        <w:t>Статусы доступа и описания проверяются по официальным страницам перед</w:t>
      </w:r>
    </w:p>
    <w:p>
      <w:r>
        <w:t>публикацией. Неподтверждённые свойства не выдаются за факт.</w:t>
      </w:r>
    </w:p>
    <w:p>
      <w:pPr>
        <w:pStyle w:val="Heading1"/>
      </w:pPr>
      <w:r>
        <w:t>4. Формат карточки инструмента</w:t>
      </w:r>
    </w:p>
    <w:p>
      <w:r>
        <w:t>Каждая постоянная карточка содержит:</w:t>
      </w:r>
    </w:p>
    <w:p>
      <w:pPr>
        <w:pStyle w:val="ListBullet"/>
        <w:spacing w:after="60"/>
      </w:pPr>
      <w:r>
        <w:t>название;</w:t>
      </w:r>
    </w:p>
    <w:p>
      <w:pPr>
        <w:pStyle w:val="ListBullet"/>
        <w:spacing w:after="60"/>
      </w:pPr>
      <w:r>
        <w:t>разработчика или организацию;</w:t>
      </w:r>
    </w:p>
    <w:p>
      <w:pPr>
        <w:pStyle w:val="ListBullet"/>
        <w:spacing w:after="60"/>
      </w:pPr>
      <w:r>
        <w:t>страну;</w:t>
      </w:r>
    </w:p>
    <w:p>
      <w:pPr>
        <w:pStyle w:val="ListBullet"/>
        <w:spacing w:after="60"/>
      </w:pPr>
      <w:r>
        <w:t>направление/тип инструмента;</w:t>
      </w:r>
    </w:p>
    <w:p>
      <w:pPr>
        <w:pStyle w:val="ListBullet"/>
        <w:spacing w:after="60"/>
      </w:pPr>
      <w:r>
        <w:t>один или несколько тегов сфер;</w:t>
      </w:r>
    </w:p>
    <w:p>
      <w:pPr>
        <w:pStyle w:val="ListBullet"/>
        <w:spacing w:after="60"/>
      </w:pPr>
      <w:r>
        <w:t>статус доступа: бесплатно, open source, demo или платно;</w:t>
      </w:r>
    </w:p>
    <w:p>
      <w:pPr>
        <w:pStyle w:val="ListBullet"/>
        <w:spacing w:after="60"/>
      </w:pPr>
      <w:r>
        <w:t>краткое описание;</w:t>
      </w:r>
    </w:p>
    <w:p>
      <w:pPr>
        <w:pStyle w:val="ListBullet"/>
        <w:spacing w:after="60"/>
      </w:pPr>
      <w:r>
        <w:t>официальный сайт;</w:t>
      </w:r>
    </w:p>
    <w:p>
      <w:pPr>
        <w:pStyle w:val="ListBullet"/>
        <w:spacing w:after="60"/>
      </w:pPr>
      <w:r>
        <w:t>документацию или GitHub, если доступно;</w:t>
      </w:r>
    </w:p>
    <w:p>
      <w:pPr>
        <w:pStyle w:val="ListBullet"/>
        <w:spacing w:after="60"/>
      </w:pPr>
      <w:r>
        <w:t>дату последней проверки.</w:t>
      </w:r>
    </w:p>
    <w:p>
      <w:pPr>
        <w:pStyle w:val="Heading1"/>
      </w:pPr>
      <w:r>
        <w:t>5. Поиск и дедупликация</w:t>
      </w:r>
    </w:p>
    <w:p>
      <w:r>
        <w:t>Субагенты используют общий поток, обязательный список инструментов и источники</w:t>
      </w:r>
    </w:p>
    <w:p>
      <w:r>
        <w:t>из других отраслей. Приоритетные сферы: химия, материалы, биология, медицина,</w:t>
      </w:r>
    </w:p>
    <w:p>
      <w:r>
        <w:t>фармацевтика, инженерия, энергетика, робототехника, климат/экология и</w:t>
      </w:r>
    </w:p>
    <w:p>
      <w:r>
        <w:t>промышленность.</w:t>
      </w:r>
    </w:p>
    <w:p>
      <w:r>
        <w:t>Дедупликация должна различать:</w:t>
      </w:r>
    </w:p>
    <w:p>
      <w:pPr>
        <w:pStyle w:val="ListBullet"/>
        <w:spacing w:after="60"/>
      </w:pPr>
      <w:r>
        <w:t>повтор той же публикации или URL — отбрасывается;</w:t>
      </w:r>
    </w:p>
    <w:p>
      <w:pPr>
        <w:pStyle w:val="ListBullet"/>
        <w:spacing w:after="60"/>
      </w:pPr>
      <w:r>
        <w:t>новую публикацию об уже известном инструменте — допускается;</w:t>
      </w:r>
    </w:p>
    <w:p>
      <w:pPr>
        <w:pStyle w:val="ListBullet"/>
        <w:spacing w:after="60"/>
      </w:pPr>
      <w:r>
        <w:t>новый релиз/версию, исследование, результат или применение инструмента — это</w:t>
      </w:r>
    </w:p>
    <w:p>
      <w:r>
        <w:t xml:space="preserve">  отдельная новость;</w:t>
      </w:r>
    </w:p>
    <w:p>
      <w:pPr>
        <w:pStyle w:val="ListBullet"/>
        <w:spacing w:after="60"/>
      </w:pPr>
      <w:r>
        <w:t>постоянную карточку инструмента и новости о нём — это разные сущности;</w:t>
      </w:r>
    </w:p>
    <w:p>
      <w:pPr>
        <w:pStyle w:val="ListBullet"/>
        <w:spacing w:after="60"/>
      </w:pPr>
      <w:r>
        <w:t>пересечение разделов — один основной раздел плюс дополнительные теги, без</w:t>
      </w:r>
    </w:p>
    <w:p>
      <w:r>
        <w:t xml:space="preserve">  повторной публикации одной карточки.</w:t>
      </w:r>
    </w:p>
    <w:p>
      <w:pPr>
        <w:pStyle w:val="Heading1"/>
      </w:pPr>
      <w:r>
        <w:t>6. Источники для проверки</w:t>
      </w:r>
    </w:p>
    <w:p>
      <w:r>
        <w:t>Кандидаты: Google DeepMind/AlphaFold, Microsoft Research AI for Science,</w:t>
      </w:r>
    </w:p>
    <w:p>
      <w:r>
        <w:t>NVIDIA BioNeMo, IBM Research, Nature/npj Computational Materials, Nature Machine</w:t>
      </w:r>
    </w:p>
    <w:p>
      <w:r>
        <w:t>Intelligence, ACS Publications, Chemical &amp; Engineering News, Materials Project,</w:t>
      </w:r>
    </w:p>
    <w:p>
      <w:r>
        <w:t xml:space="preserve">Berkeley Lab, arXiv </w:t>
      </w:r>
      <w:r>
        <w:rPr>
          <w:rFonts w:ascii="Aptos Mono" w:hAnsi="Aptos Mono"/>
          <w:sz w:val="19"/>
        </w:rPr>
        <w:t>physics.chem-ph</w:t>
      </w:r>
      <w:r>
        <w:t xml:space="preserve">, </w:t>
      </w:r>
      <w:r>
        <w:rPr>
          <w:rFonts w:ascii="Aptos Mono" w:hAnsi="Aptos Mono"/>
          <w:sz w:val="19"/>
        </w:rPr>
        <w:t>cond-mat.mtrl-sci</w:t>
      </w:r>
      <w:r>
        <w:t xml:space="preserve">, </w:t>
      </w:r>
      <w:r>
        <w:rPr>
          <w:rFonts w:ascii="Aptos Mono" w:hAnsi="Aptos Mono"/>
          <w:sz w:val="19"/>
        </w:rPr>
        <w:t>q-bio.BM</w:t>
      </w:r>
      <w:r>
        <w:t xml:space="preserve">, </w:t>
      </w:r>
      <w:r>
        <w:rPr>
          <w:rFonts w:ascii="Aptos Mono" w:hAnsi="Aptos Mono"/>
          <w:sz w:val="19"/>
        </w:rPr>
        <w:t>cs.ET</w:t>
      </w:r>
      <w:r>
        <w:t>,</w:t>
      </w:r>
    </w:p>
    <w:p>
      <w:r>
        <w:t>блоги лабораторной автоматизации и autonomous labs.</w:t>
      </w:r>
    </w:p>
    <w:p>
      <w:r>
        <w:t>Перед подключением источник проверяется на стабильность RSS/API/HTML, качество,</w:t>
      </w:r>
    </w:p>
    <w:p>
      <w:r>
        <w:t>доступность из дата-центра и дедупликацию. ScrapeGraphAI используется как</w:t>
      </w:r>
    </w:p>
    <w:p>
      <w:r>
        <w:t>fallback, а не для обхода запретов автоматизированного доступа.</w:t>
      </w:r>
    </w:p>
    <w:p>
      <w:pPr>
        <w:pStyle w:val="Heading1"/>
      </w:pPr>
      <w:r>
        <w:t>7. Telegram</w:t>
      </w:r>
    </w:p>
    <w:p>
      <w:r>
        <w:t>Один существующий бот отправляет три отдельных сообщения:</w:t>
      </w:r>
    </w:p>
    <w:p>
      <w:pPr>
        <w:pStyle w:val="ListNumber"/>
        <w:spacing w:after="60"/>
      </w:pPr>
      <w:r>
        <w:rPr>
          <w:rFonts w:ascii="Aptos Mono" w:hAnsi="Aptos Mono"/>
          <w:sz w:val="19"/>
        </w:rPr>
        <w:t>ИИ-новости</w:t>
      </w:r>
      <w:r>
        <w:t>;</w:t>
      </w:r>
    </w:p>
    <w:p>
      <w:pPr>
        <w:pStyle w:val="ListNumber"/>
        <w:spacing w:after="60"/>
      </w:pPr>
      <w:r>
        <w:rPr>
          <w:rFonts w:ascii="Aptos Mono" w:hAnsi="Aptos Mono"/>
          <w:sz w:val="19"/>
        </w:rPr>
        <w:t>ИИ для науки</w:t>
      </w:r>
      <w:r>
        <w:t>;</w:t>
      </w:r>
    </w:p>
    <w:p>
      <w:pPr>
        <w:pStyle w:val="ListNumber"/>
        <w:spacing w:after="60"/>
      </w:pPr>
      <w:r>
        <w:rPr>
          <w:rFonts w:ascii="Aptos Mono" w:hAnsi="Aptos Mono"/>
          <w:sz w:val="19"/>
        </w:rPr>
        <w:t>Инструменты для изобретений</w:t>
      </w:r>
      <w:r>
        <w:t>.</w:t>
      </w:r>
    </w:p>
    <w:p>
      <w:r>
        <w:t>В каждой карточке указываются один или несколько тегов сфер, например:</w:t>
      </w:r>
    </w:p>
    <w:p>
      <w:r>
        <w:rPr>
          <w:rFonts w:ascii="Aptos Mono" w:hAnsi="Aptos Mono"/>
          <w:sz w:val="19"/>
        </w:rPr>
        <w:t>Химия · Материалы · Фармацевтика</w:t>
      </w:r>
      <w:r>
        <w:t>. Действующие два получателя сохраняются.</w:t>
      </w:r>
    </w:p>
    <w:p>
      <w:pPr>
        <w:pStyle w:val="Heading1"/>
      </w:pPr>
      <w:r>
        <w:t>8. Не входит в MVP</w:t>
      </w:r>
    </w:p>
    <w:p>
      <w:pPr>
        <w:pStyle w:val="ListBullet"/>
        <w:spacing w:after="60"/>
      </w:pPr>
      <w:r>
        <w:t>отдельный Telegram-бот или новый чат;</w:t>
      </w:r>
    </w:p>
    <w:p>
      <w:pPr>
        <w:pStyle w:val="ListBullet"/>
        <w:spacing w:after="60"/>
      </w:pPr>
      <w:r>
        <w:t>ручная админ-панель исправления классификации;</w:t>
      </w:r>
    </w:p>
    <w:p>
      <w:pPr>
        <w:pStyle w:val="ListBullet"/>
        <w:spacing w:after="60"/>
      </w:pPr>
      <w:r>
        <w:t>автоматическое редактирование старых карточек;</w:t>
      </w:r>
    </w:p>
    <w:p>
      <w:pPr>
        <w:pStyle w:val="ListBullet"/>
        <w:spacing w:after="60"/>
      </w:pPr>
      <w:r>
        <w:t>платные API и новые секреты без отдельного согласования;</w:t>
      </w:r>
    </w:p>
    <w:p>
      <w:pPr>
        <w:pStyle w:val="ListBullet"/>
        <w:spacing w:after="60"/>
      </w:pPr>
      <w:r>
        <w:t>изменение модели суммаризации без отдельной необходимости.</w:t>
      </w:r>
    </w:p>
    <w:p>
      <w:pPr>
        <w:pStyle w:val="Heading1"/>
      </w:pPr>
      <w:r>
        <w:t>9. Критерии приёмки</w:t>
      </w:r>
    </w:p>
    <w:p>
      <w:pPr>
        <w:pStyle w:val="ListBullet"/>
        <w:spacing w:after="60"/>
      </w:pPr>
      <w:r>
        <w:t>На сайте отображаются три согласованных раздела.</w:t>
      </w:r>
    </w:p>
    <w:p>
      <w:pPr>
        <w:pStyle w:val="ListBullet"/>
        <w:spacing w:after="60"/>
      </w:pPr>
      <w:r>
        <w:t>Все обязательные инструменты представлены постоянными карточками с описанием</w:t>
      </w:r>
    </w:p>
    <w:p>
      <w:r>
        <w:t xml:space="preserve">  и ссылками.</w:t>
      </w:r>
    </w:p>
    <w:p>
      <w:pPr>
        <w:pStyle w:val="ListBullet"/>
        <w:spacing w:after="60"/>
      </w:pPr>
      <w:r>
        <w:t>Новость об обновлении известного инструмента не блокируется его карточкой или</w:t>
      </w:r>
    </w:p>
    <w:p>
      <w:r>
        <w:t xml:space="preserve">  предыдущей новостью.</w:t>
      </w:r>
    </w:p>
    <w:p>
      <w:pPr>
        <w:pStyle w:val="ListBullet"/>
        <w:spacing w:after="60"/>
      </w:pPr>
      <w:r>
        <w:t>Повтор той же публикации не появляется повторно.</w:t>
      </w:r>
    </w:p>
    <w:p>
      <w:pPr>
        <w:pStyle w:val="ListBullet"/>
        <w:spacing w:after="60"/>
      </w:pPr>
      <w:r>
        <w:t>У карточки может быть несколько сфер.</w:t>
      </w:r>
    </w:p>
    <w:p>
      <w:pPr>
        <w:pStyle w:val="ListBullet"/>
        <w:spacing w:after="60"/>
      </w:pPr>
      <w:r>
        <w:t>Telegram отправляет три отдельных сообщения с теми же названиями и тегами.</w:t>
      </w:r>
    </w:p>
    <w:p>
      <w:pPr>
        <w:pStyle w:val="ListBullet"/>
        <w:spacing w:after="60"/>
      </w:pPr>
      <w:r>
        <w:t>ScrapeGraphAI работает как fallback и не ломает RSS/API-поток.</w:t>
      </w:r>
    </w:p>
    <w:p>
      <w:pPr>
        <w:pStyle w:val="ListBullet"/>
        <w:spacing w:after="60"/>
      </w:pPr>
      <w:r>
        <w:t>YouTube transcript-first, SSRF-защита, дедупликация и публикация сохраняются.</w:t>
      </w:r>
    </w:p>
    <w:p>
      <w:pPr>
        <w:pStyle w:val="Heading1"/>
      </w:pPr>
      <w:r>
        <w:t>10. Оценка</w:t>
      </w:r>
    </w:p>
    <w:p>
      <w:r>
        <w:t xml:space="preserve">Рекомендуемая цена обновлённого MVP: </w:t>
      </w:r>
      <w:r>
        <w:rPr>
          <w:b/>
        </w:rPr>
        <w:t>16 000–22 000 ₽</w:t>
      </w:r>
      <w:r>
        <w:t>. Диапазон учитывает</w:t>
      </w:r>
    </w:p>
    <w:p>
      <w:r>
        <w:t>постоянный каталог, три субагента, новый fallback-скрейпер, обновлённую</w:t>
      </w:r>
    </w:p>
    <w:p>
      <w:r>
        <w:t>дедупликацию и три Telegram-сообщения.</w:t>
      </w:r>
    </w:p>
    <w:p>
      <w:r>
        <w:t>Перед реализацией клиент утверждает финальные ссылки карточек после проверки,</w:t>
      </w:r>
    </w:p>
    <w:p>
      <w:r>
        <w:t>поведение пустых разделов, отправку сообщений обоим получателям и диапазон</w:t>
      </w:r>
    </w:p>
    <w:p>
      <w:r>
        <w:t>стоимости.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28C"/>
        <w:sz w:val="16"/>
      </w:rPr>
      <w:t>Инструменты для изобретений  |  14 августа 2026 г.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E7D8C"/>
        <w:sz w:val="16"/>
      </w:rPr>
      <w:t>НАУЧНЫЙ АГЕНТ  •  МИНИ-ТЗ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