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2563EB"/>
          <w:sz w:val="22"/>
        </w:rPr>
        <w:t>ЦЕНТР НАУЧНО-ТЕХНИЧЕСКОГО РАЗВИТИЯ</w:t>
      </w:r>
    </w:p>
    <w:p>
      <w:pPr>
        <w:jc w:val="center"/>
      </w:pPr>
      <w:r>
        <w:rPr>
          <w:rFonts w:ascii="Times New Roman" w:hAnsi="Times New Roman"/>
          <w:color w:val="64748B"/>
          <w:sz w:val="20"/>
        </w:rPr>
        <w:t>Удмуртская Республика</w:t>
      </w:r>
    </w:p>
    <w:p/>
    <w:p/>
    <w:p/>
    <w:p>
      <w:pPr>
        <w:jc w:val="center"/>
      </w:pPr>
      <w:r>
        <w:rPr>
          <w:rFonts w:ascii="Arial" w:hAnsi="Arial"/>
          <w:b/>
          <w:color w:val="64748B"/>
          <w:sz w:val="40"/>
        </w:rPr>
        <w:t>ПОЛНЫЙ КОНТЕКСТ</w:t>
      </w:r>
    </w:p>
    <w:p>
      <w:pPr>
        <w:jc w:val="center"/>
      </w:pPr>
      <w:r>
        <w:rPr>
          <w:rFonts w:ascii="Arial" w:hAnsi="Arial"/>
          <w:b/>
          <w:color w:val="0F172A"/>
          <w:sz w:val="72"/>
        </w:rPr>
        <w:t>ПРОЕКТА ЦНТР</w:t>
      </w:r>
    </w:p>
    <w:p/>
    <w:p/>
    <w:p>
      <w:pPr>
        <w:jc w:val="center"/>
      </w:pPr>
      <w:r>
        <w:rPr>
          <w:rFonts w:ascii="Times New Roman" w:hAnsi="Times New Roman"/>
          <w:i/>
          <w:color w:val="64748B"/>
          <w:sz w:val="28"/>
        </w:rPr>
        <w:t>Документ для агента-планировщика</w:t>
      </w:r>
    </w:p>
    <w:p>
      <w:pPr>
        <w:jc w:val="center"/>
      </w:pPr>
      <w:r>
        <w:rPr>
          <w:rFonts w:ascii="Times New Roman" w:hAnsi="Times New Roman"/>
          <w:i/>
          <w:color w:val="64748B"/>
          <w:sz w:val="28"/>
        </w:rPr>
        <w:t>для проектирования архитектуры цифровой платформы</w:t>
      </w:r>
    </w:p>
    <w:p/>
    <w:p/>
    <w:p/>
    <w:p/>
    <w:p/>
    <w:p/>
    <w:p>
      <w:pPr>
        <w:jc w:val="center"/>
      </w:pPr>
      <w:r>
        <w:rPr>
          <w:rFonts w:ascii="Times New Roman" w:hAnsi="Times New Roman"/>
          <w:color w:val="64748B"/>
          <w:sz w:val="20"/>
        </w:rPr>
        <w:t>Стратегический документ  ·  Версия 1.0</w:t>
      </w:r>
    </w:p>
    <w:p>
      <w:pPr>
        <w:jc w:val="center"/>
      </w:pPr>
      <w:r>
        <w:rPr>
          <w:rFonts w:ascii="Times New Roman" w:hAnsi="Times New Roman"/>
          <w:color w:val="64748B"/>
          <w:sz w:val="20"/>
        </w:rPr>
        <w:t>Рабочий документ для редактирования и обсуждения</w:t>
      </w:r>
    </w:p>
    <w:p>
      <w:r>
        <w:br w:type="page"/>
      </w:r>
    </w:p>
    <w:p>
      <w:pPr>
        <w:pStyle w:val="Heading1"/>
        <w:spacing w:before="560" w:after="280"/>
        <w:pBdr>
          <w:bottom w:val="single" w:sz="8" w:space="4" w:color="2563EB"/>
        </w:pBdr>
      </w:pPr>
      <w:r>
        <w:rPr>
          <w:rFonts w:ascii="Arial" w:hAnsi="Arial"/>
          <w:b/>
          <w:color w:val="0F172A"/>
          <w:sz w:val="40"/>
        </w:rPr>
        <w:t>Содержание</w:t>
      </w:r>
    </w:p>
    <w:p>
      <w:pPr>
        <w:spacing w:after="60" w:line="336" w:lineRule="auto" w:before="160"/>
        <w:ind w:left="0"/>
      </w:pPr>
      <w:r>
        <w:rPr>
          <w:rFonts w:ascii="Times New Roman" w:hAnsi="Times New Roman"/>
          <w:b/>
          <w:color w:val="0F172A"/>
          <w:sz w:val="22"/>
        </w:rPr>
        <w:t>ЧАСТЬ I. ЧТО ТАКОЕ ЦНТР И ЗАЧЕМ ОН НУЖЕН</w:t>
      </w:r>
      <w:r>
        <w:rPr>
          <w:rFonts w:ascii="Times New Roman" w:hAnsi="Times New Roman"/>
          <w:color w:val="E5E7EB"/>
          <w:sz w:val="20"/>
        </w:rPr>
        <w:t xml:space="preserve">  ·············································  </w:t>
      </w:r>
      <w:r>
        <w:rPr>
          <w:rFonts w:ascii="Times New Roman" w:hAnsi="Times New Roman"/>
          <w:color w:val="64748B"/>
          <w:sz w:val="22"/>
        </w:rPr>
        <w:t>4</w:t>
      </w:r>
    </w:p>
    <w:p>
      <w:pPr>
        <w:spacing w:after="60" w:line="336" w:lineRule="auto"/>
        <w:ind w:left="283"/>
      </w:pPr>
      <w:r>
        <w:rPr>
          <w:rFonts w:ascii="Arial" w:hAnsi="Arial"/>
          <w:b/>
          <w:color w:val="2563EB"/>
          <w:sz w:val="22"/>
        </w:rPr>
        <w:t xml:space="preserve">1.  </w:t>
      </w:r>
      <w:r>
        <w:rPr>
          <w:rFonts w:ascii="Times New Roman" w:hAnsi="Times New Roman"/>
          <w:color w:val="1E293B"/>
          <w:sz w:val="22"/>
        </w:rPr>
        <w:t>Миссия и контекст создания Центра</w:t>
      </w:r>
      <w:r>
        <w:rPr>
          <w:rFonts w:ascii="Times New Roman" w:hAnsi="Times New Roman"/>
          <w:color w:val="E5E7EB"/>
          <w:sz w:val="20"/>
        </w:rPr>
        <w:t xml:space="preserve">  ·············································  </w:t>
      </w:r>
      <w:r>
        <w:rPr>
          <w:rFonts w:ascii="Times New Roman" w:hAnsi="Times New Roman"/>
          <w:color w:val="64748B"/>
          <w:sz w:val="22"/>
        </w:rPr>
        <w:t>4</w:t>
      </w:r>
    </w:p>
    <w:p>
      <w:pPr>
        <w:spacing w:after="60" w:line="336" w:lineRule="auto"/>
        <w:ind w:left="283"/>
      </w:pPr>
      <w:r>
        <w:rPr>
          <w:rFonts w:ascii="Arial" w:hAnsi="Arial"/>
          <w:b/>
          <w:color w:val="2563EB"/>
          <w:sz w:val="22"/>
        </w:rPr>
        <w:t xml:space="preserve">2.  </w:t>
      </w:r>
      <w:r>
        <w:rPr>
          <w:rFonts w:ascii="Times New Roman" w:hAnsi="Times New Roman"/>
          <w:color w:val="1E293B"/>
          <w:sz w:val="22"/>
        </w:rPr>
        <w:t>Чем занимается ЦНТР — 5 ключевых функций</w:t>
      </w:r>
      <w:r>
        <w:rPr>
          <w:rFonts w:ascii="Times New Roman" w:hAnsi="Times New Roman"/>
          <w:color w:val="E5E7EB"/>
          <w:sz w:val="20"/>
        </w:rPr>
        <w:t xml:space="preserve">  ·············································  </w:t>
      </w:r>
      <w:r>
        <w:rPr>
          <w:rFonts w:ascii="Times New Roman" w:hAnsi="Times New Roman"/>
          <w:color w:val="64748B"/>
          <w:sz w:val="22"/>
        </w:rPr>
        <w:t>6</w:t>
      </w:r>
    </w:p>
    <w:p>
      <w:pPr>
        <w:spacing w:after="60" w:line="336" w:lineRule="auto"/>
        <w:ind w:left="283"/>
      </w:pPr>
      <w:r>
        <w:rPr>
          <w:rFonts w:ascii="Arial" w:hAnsi="Arial"/>
          <w:b/>
          <w:color w:val="2563EB"/>
          <w:sz w:val="22"/>
        </w:rPr>
        <w:t xml:space="preserve">3.  </w:t>
      </w:r>
      <w:r>
        <w:rPr>
          <w:rFonts w:ascii="Times New Roman" w:hAnsi="Times New Roman"/>
          <w:color w:val="1E293B"/>
          <w:sz w:val="22"/>
        </w:rPr>
        <w:t>Удмуртская специфика — почему именно здесь</w:t>
      </w:r>
      <w:r>
        <w:rPr>
          <w:rFonts w:ascii="Times New Roman" w:hAnsi="Times New Roman"/>
          <w:color w:val="E5E7EB"/>
          <w:sz w:val="20"/>
        </w:rPr>
        <w:t xml:space="preserve">  ·············································  </w:t>
      </w:r>
      <w:r>
        <w:rPr>
          <w:rFonts w:ascii="Times New Roman" w:hAnsi="Times New Roman"/>
          <w:color w:val="64748B"/>
          <w:sz w:val="22"/>
        </w:rPr>
        <w:t>8</w:t>
      </w:r>
    </w:p>
    <w:p>
      <w:pPr>
        <w:spacing w:after="60" w:line="336" w:lineRule="auto"/>
        <w:ind w:left="283"/>
      </w:pPr>
      <w:r>
        <w:rPr>
          <w:rFonts w:ascii="Arial" w:hAnsi="Arial"/>
          <w:b/>
          <w:color w:val="2563EB"/>
          <w:sz w:val="22"/>
        </w:rPr>
        <w:t xml:space="preserve">4.  </w:t>
      </w:r>
      <w:r>
        <w:rPr>
          <w:rFonts w:ascii="Times New Roman" w:hAnsi="Times New Roman"/>
          <w:color w:val="1E293B"/>
          <w:sz w:val="22"/>
        </w:rPr>
        <w:t>ГОСТ Р 58048-2017 — методологическая основа</w:t>
      </w:r>
      <w:r>
        <w:rPr>
          <w:rFonts w:ascii="Times New Roman" w:hAnsi="Times New Roman"/>
          <w:color w:val="E5E7EB"/>
          <w:sz w:val="20"/>
        </w:rPr>
        <w:t xml:space="preserve">  ·············································  </w:t>
      </w:r>
      <w:r>
        <w:rPr>
          <w:rFonts w:ascii="Times New Roman" w:hAnsi="Times New Roman"/>
          <w:color w:val="64748B"/>
          <w:sz w:val="22"/>
        </w:rPr>
        <w:t>10</w:t>
      </w:r>
    </w:p>
    <w:p>
      <w:pPr>
        <w:spacing w:after="60" w:line="336" w:lineRule="auto" w:before="160"/>
        <w:ind w:left="0"/>
      </w:pPr>
      <w:r>
        <w:rPr>
          <w:rFonts w:ascii="Times New Roman" w:hAnsi="Times New Roman"/>
          <w:b/>
          <w:color w:val="0F172A"/>
          <w:sz w:val="22"/>
        </w:rPr>
        <w:t>ЧАСТЬ II. ПАЙПЛАЙН РАБОТЫ ЦЕНТРА</w:t>
      </w:r>
      <w:r>
        <w:rPr>
          <w:rFonts w:ascii="Times New Roman" w:hAnsi="Times New Roman"/>
          <w:color w:val="E5E7EB"/>
          <w:sz w:val="20"/>
        </w:rPr>
        <w:t xml:space="preserve">  ·············································  </w:t>
      </w:r>
      <w:r>
        <w:rPr>
          <w:rFonts w:ascii="Times New Roman" w:hAnsi="Times New Roman"/>
          <w:color w:val="64748B"/>
          <w:sz w:val="22"/>
        </w:rPr>
        <w:t>12</w:t>
      </w:r>
    </w:p>
    <w:p>
      <w:pPr>
        <w:spacing w:after="60" w:line="336" w:lineRule="auto"/>
        <w:ind w:left="283"/>
      </w:pPr>
      <w:r>
        <w:rPr>
          <w:rFonts w:ascii="Arial" w:hAnsi="Arial"/>
          <w:b/>
          <w:color w:val="2563EB"/>
          <w:sz w:val="22"/>
        </w:rPr>
        <w:t xml:space="preserve">5.  </w:t>
      </w:r>
      <w:r>
        <w:rPr>
          <w:rFonts w:ascii="Times New Roman" w:hAnsi="Times New Roman"/>
          <w:color w:val="1E293B"/>
          <w:sz w:val="22"/>
        </w:rPr>
        <w:t>Блок 1 — Доведение до соглашения о сотрудничестве (7 этапов)</w:t>
      </w:r>
      <w:r>
        <w:rPr>
          <w:rFonts w:ascii="Times New Roman" w:hAnsi="Times New Roman"/>
          <w:color w:val="E5E7EB"/>
          <w:sz w:val="20"/>
        </w:rPr>
        <w:t xml:space="preserve">  ·············································  </w:t>
      </w:r>
      <w:r>
        <w:rPr>
          <w:rFonts w:ascii="Times New Roman" w:hAnsi="Times New Roman"/>
          <w:color w:val="64748B"/>
          <w:sz w:val="22"/>
        </w:rPr>
        <w:t>12</w:t>
      </w:r>
    </w:p>
    <w:p>
      <w:pPr>
        <w:spacing w:after="60" w:line="336" w:lineRule="auto"/>
        <w:ind w:left="283"/>
      </w:pPr>
      <w:r>
        <w:rPr>
          <w:rFonts w:ascii="Arial" w:hAnsi="Arial"/>
          <w:b/>
          <w:color w:val="2563EB"/>
          <w:sz w:val="22"/>
        </w:rPr>
        <w:t xml:space="preserve">6.  </w:t>
      </w:r>
      <w:r>
        <w:rPr>
          <w:rFonts w:ascii="Times New Roman" w:hAnsi="Times New Roman"/>
          <w:color w:val="1E293B"/>
          <w:sz w:val="22"/>
        </w:rPr>
        <w:t>Блок 2 — Этап разработки (8 элементов)</w:t>
      </w:r>
      <w:r>
        <w:rPr>
          <w:rFonts w:ascii="Times New Roman" w:hAnsi="Times New Roman"/>
          <w:color w:val="E5E7EB"/>
          <w:sz w:val="20"/>
        </w:rPr>
        <w:t xml:space="preserve">  ·············································  </w:t>
      </w:r>
      <w:r>
        <w:rPr>
          <w:rFonts w:ascii="Times New Roman" w:hAnsi="Times New Roman"/>
          <w:color w:val="64748B"/>
          <w:sz w:val="22"/>
        </w:rPr>
        <w:t>15</w:t>
      </w:r>
    </w:p>
    <w:p>
      <w:pPr>
        <w:spacing w:after="60" w:line="336" w:lineRule="auto"/>
        <w:ind w:left="283"/>
      </w:pPr>
      <w:r>
        <w:rPr>
          <w:rFonts w:ascii="Arial" w:hAnsi="Arial"/>
          <w:b/>
          <w:color w:val="2563EB"/>
          <w:sz w:val="22"/>
        </w:rPr>
        <w:t xml:space="preserve">7.  </w:t>
      </w:r>
      <w:r>
        <w:rPr>
          <w:rFonts w:ascii="Times New Roman" w:hAnsi="Times New Roman"/>
          <w:color w:val="1E293B"/>
          <w:sz w:val="22"/>
        </w:rPr>
        <w:t>Контрольные точки и условия возврата</w:t>
      </w:r>
      <w:r>
        <w:rPr>
          <w:rFonts w:ascii="Times New Roman" w:hAnsi="Times New Roman"/>
          <w:color w:val="E5E7EB"/>
          <w:sz w:val="20"/>
        </w:rPr>
        <w:t xml:space="preserve">  ·············································  </w:t>
      </w:r>
      <w:r>
        <w:rPr>
          <w:rFonts w:ascii="Times New Roman" w:hAnsi="Times New Roman"/>
          <w:color w:val="64748B"/>
          <w:sz w:val="22"/>
        </w:rPr>
        <w:t>18</w:t>
      </w:r>
    </w:p>
    <w:p>
      <w:pPr>
        <w:spacing w:after="60" w:line="336" w:lineRule="auto"/>
        <w:ind w:left="283"/>
      </w:pPr>
      <w:r>
        <w:rPr>
          <w:rFonts w:ascii="Arial" w:hAnsi="Arial"/>
          <w:b/>
          <w:color w:val="2563EB"/>
          <w:sz w:val="22"/>
        </w:rPr>
        <w:t xml:space="preserve">8.  </w:t>
      </w:r>
      <w:r>
        <w:rPr>
          <w:rFonts w:ascii="Times New Roman" w:hAnsi="Times New Roman"/>
          <w:color w:val="1E293B"/>
          <w:sz w:val="22"/>
        </w:rPr>
        <w:t>Документооборот — полный перечень</w:t>
      </w:r>
      <w:r>
        <w:rPr>
          <w:rFonts w:ascii="Times New Roman" w:hAnsi="Times New Roman"/>
          <w:color w:val="E5E7EB"/>
          <w:sz w:val="20"/>
        </w:rPr>
        <w:t xml:space="preserve">  ·············································  </w:t>
      </w:r>
      <w:r>
        <w:rPr>
          <w:rFonts w:ascii="Times New Roman" w:hAnsi="Times New Roman"/>
          <w:color w:val="64748B"/>
          <w:sz w:val="22"/>
        </w:rPr>
        <w:t>20</w:t>
      </w:r>
    </w:p>
    <w:p>
      <w:pPr>
        <w:spacing w:after="60" w:line="336" w:lineRule="auto" w:before="160"/>
        <w:ind w:left="0"/>
      </w:pPr>
      <w:r>
        <w:rPr>
          <w:rFonts w:ascii="Times New Roman" w:hAnsi="Times New Roman"/>
          <w:b/>
          <w:color w:val="0F172A"/>
          <w:sz w:val="22"/>
        </w:rPr>
        <w:t>ЧАСТЬ III. ЭКОСИСТЕМА И УЧАСТНИКИ</w:t>
      </w:r>
      <w:r>
        <w:rPr>
          <w:rFonts w:ascii="Times New Roman" w:hAnsi="Times New Roman"/>
          <w:color w:val="E5E7EB"/>
          <w:sz w:val="20"/>
        </w:rPr>
        <w:t xml:space="preserve">  ·············································  </w:t>
      </w:r>
      <w:r>
        <w:rPr>
          <w:rFonts w:ascii="Times New Roman" w:hAnsi="Times New Roman"/>
          <w:color w:val="64748B"/>
          <w:sz w:val="22"/>
        </w:rPr>
        <w:t>22</w:t>
      </w:r>
    </w:p>
    <w:p>
      <w:pPr>
        <w:spacing w:after="60" w:line="336" w:lineRule="auto"/>
        <w:ind w:left="283"/>
      </w:pPr>
      <w:r>
        <w:rPr>
          <w:rFonts w:ascii="Arial" w:hAnsi="Arial"/>
          <w:b/>
          <w:color w:val="2563EB"/>
          <w:sz w:val="22"/>
        </w:rPr>
        <w:t xml:space="preserve">9.  </w:t>
      </w:r>
      <w:r>
        <w:rPr>
          <w:rFonts w:ascii="Times New Roman" w:hAnsi="Times New Roman"/>
          <w:color w:val="1E293B"/>
          <w:sz w:val="22"/>
        </w:rPr>
        <w:t>Категории участников — кто и зачем приходит в ЦНТР</w:t>
      </w:r>
      <w:r>
        <w:rPr>
          <w:rFonts w:ascii="Times New Roman" w:hAnsi="Times New Roman"/>
          <w:color w:val="E5E7EB"/>
          <w:sz w:val="20"/>
        </w:rPr>
        <w:t xml:space="preserve">  ·············································  </w:t>
      </w:r>
      <w:r>
        <w:rPr>
          <w:rFonts w:ascii="Times New Roman" w:hAnsi="Times New Roman"/>
          <w:color w:val="64748B"/>
          <w:sz w:val="22"/>
        </w:rPr>
        <w:t>22</w:t>
      </w:r>
    </w:p>
    <w:p>
      <w:pPr>
        <w:spacing w:after="60" w:line="336" w:lineRule="auto"/>
        <w:ind w:left="283"/>
      </w:pPr>
      <w:r>
        <w:rPr>
          <w:rFonts w:ascii="Arial" w:hAnsi="Arial"/>
          <w:b/>
          <w:color w:val="2563EB"/>
          <w:sz w:val="22"/>
        </w:rPr>
        <w:t xml:space="preserve">10.  </w:t>
      </w:r>
      <w:r>
        <w:rPr>
          <w:rFonts w:ascii="Times New Roman" w:hAnsi="Times New Roman"/>
          <w:color w:val="1E293B"/>
          <w:sz w:val="22"/>
        </w:rPr>
        <w:t>Экосистема 50+ организаций Удмуртии</w:t>
      </w:r>
      <w:r>
        <w:rPr>
          <w:rFonts w:ascii="Times New Roman" w:hAnsi="Times New Roman"/>
          <w:color w:val="E5E7EB"/>
          <w:sz w:val="20"/>
        </w:rPr>
        <w:t xml:space="preserve">  ·············································  </w:t>
      </w:r>
      <w:r>
        <w:rPr>
          <w:rFonts w:ascii="Times New Roman" w:hAnsi="Times New Roman"/>
          <w:color w:val="64748B"/>
          <w:sz w:val="22"/>
        </w:rPr>
        <w:t>25</w:t>
      </w:r>
    </w:p>
    <w:p>
      <w:pPr>
        <w:spacing w:after="60" w:line="336" w:lineRule="auto"/>
        <w:ind w:left="283"/>
      </w:pPr>
      <w:r>
        <w:rPr>
          <w:rFonts w:ascii="Arial" w:hAnsi="Arial"/>
          <w:b/>
          <w:color w:val="2563EB"/>
          <w:sz w:val="22"/>
        </w:rPr>
        <w:t xml:space="preserve">11.  </w:t>
      </w:r>
      <w:r>
        <w:rPr>
          <w:rFonts w:ascii="Times New Roman" w:hAnsi="Times New Roman"/>
          <w:color w:val="1E293B"/>
          <w:sz w:val="22"/>
        </w:rPr>
        <w:t>Роли пользователей будущей платформы</w:t>
      </w:r>
      <w:r>
        <w:rPr>
          <w:rFonts w:ascii="Times New Roman" w:hAnsi="Times New Roman"/>
          <w:color w:val="E5E7EB"/>
          <w:sz w:val="20"/>
        </w:rPr>
        <w:t xml:space="preserve">  ·············································  </w:t>
      </w:r>
      <w:r>
        <w:rPr>
          <w:rFonts w:ascii="Times New Roman" w:hAnsi="Times New Roman"/>
          <w:color w:val="64748B"/>
          <w:sz w:val="22"/>
        </w:rPr>
        <w:t>27</w:t>
      </w:r>
    </w:p>
    <w:p>
      <w:pPr>
        <w:spacing w:after="60" w:line="336" w:lineRule="auto" w:before="160"/>
        <w:ind w:left="0"/>
      </w:pPr>
      <w:r>
        <w:rPr>
          <w:rFonts w:ascii="Times New Roman" w:hAnsi="Times New Roman"/>
          <w:b/>
          <w:color w:val="0F172A"/>
          <w:sz w:val="22"/>
        </w:rPr>
        <w:t>ЧАСТЬ IV. БИЗНЕС-МОДЕЛЬ И МОНЕТИЗАЦИЯ</w:t>
      </w:r>
      <w:r>
        <w:rPr>
          <w:rFonts w:ascii="Times New Roman" w:hAnsi="Times New Roman"/>
          <w:color w:val="E5E7EB"/>
          <w:sz w:val="20"/>
        </w:rPr>
        <w:t xml:space="preserve">  ·············································  </w:t>
      </w:r>
      <w:r>
        <w:rPr>
          <w:rFonts w:ascii="Times New Roman" w:hAnsi="Times New Roman"/>
          <w:color w:val="64748B"/>
          <w:sz w:val="22"/>
        </w:rPr>
        <w:t>29</w:t>
      </w:r>
    </w:p>
    <w:p>
      <w:pPr>
        <w:spacing w:after="60" w:line="336" w:lineRule="auto"/>
        <w:ind w:left="283"/>
      </w:pPr>
      <w:r>
        <w:rPr>
          <w:rFonts w:ascii="Arial" w:hAnsi="Arial"/>
          <w:b/>
          <w:color w:val="2563EB"/>
          <w:sz w:val="22"/>
        </w:rPr>
        <w:t xml:space="preserve">12.  </w:t>
      </w:r>
      <w:r>
        <w:rPr>
          <w:rFonts w:ascii="Times New Roman" w:hAnsi="Times New Roman"/>
          <w:color w:val="1E293B"/>
          <w:sz w:val="22"/>
        </w:rPr>
        <w:t>24 платные услуги — каталог</w:t>
      </w:r>
      <w:r>
        <w:rPr>
          <w:rFonts w:ascii="Times New Roman" w:hAnsi="Times New Roman"/>
          <w:color w:val="E5E7EB"/>
          <w:sz w:val="20"/>
        </w:rPr>
        <w:t xml:space="preserve">  ·············································  </w:t>
      </w:r>
      <w:r>
        <w:rPr>
          <w:rFonts w:ascii="Times New Roman" w:hAnsi="Times New Roman"/>
          <w:color w:val="64748B"/>
          <w:sz w:val="22"/>
        </w:rPr>
        <w:t>29</w:t>
      </w:r>
    </w:p>
    <w:p>
      <w:pPr>
        <w:spacing w:after="60" w:line="336" w:lineRule="auto"/>
        <w:ind w:left="283"/>
      </w:pPr>
      <w:r>
        <w:rPr>
          <w:rFonts w:ascii="Arial" w:hAnsi="Arial"/>
          <w:b/>
          <w:color w:val="2563EB"/>
          <w:sz w:val="22"/>
        </w:rPr>
        <w:t xml:space="preserve">13.  </w:t>
      </w:r>
      <w:r>
        <w:rPr>
          <w:rFonts w:ascii="Times New Roman" w:hAnsi="Times New Roman"/>
          <w:color w:val="1E293B"/>
          <w:sz w:val="22"/>
        </w:rPr>
        <w:t>7 контуров монетизации</w:t>
      </w:r>
      <w:r>
        <w:rPr>
          <w:rFonts w:ascii="Times New Roman" w:hAnsi="Times New Roman"/>
          <w:color w:val="E5E7EB"/>
          <w:sz w:val="20"/>
        </w:rPr>
        <w:t xml:space="preserve">  ·············································  </w:t>
      </w:r>
      <w:r>
        <w:rPr>
          <w:rFonts w:ascii="Times New Roman" w:hAnsi="Times New Roman"/>
          <w:color w:val="64748B"/>
          <w:sz w:val="22"/>
        </w:rPr>
        <w:t>32</w:t>
      </w:r>
    </w:p>
    <w:p>
      <w:pPr>
        <w:spacing w:after="60" w:line="336" w:lineRule="auto"/>
        <w:ind w:left="283"/>
      </w:pPr>
      <w:r>
        <w:rPr>
          <w:rFonts w:ascii="Arial" w:hAnsi="Arial"/>
          <w:b/>
          <w:color w:val="2563EB"/>
          <w:sz w:val="22"/>
        </w:rPr>
        <w:t xml:space="preserve">14.  </w:t>
      </w:r>
      <w:r>
        <w:rPr>
          <w:rFonts w:ascii="Times New Roman" w:hAnsi="Times New Roman"/>
          <w:color w:val="1E293B"/>
          <w:sz w:val="22"/>
        </w:rPr>
        <w:t>Финансовая модель — 3 сценария</w:t>
      </w:r>
      <w:r>
        <w:rPr>
          <w:rFonts w:ascii="Times New Roman" w:hAnsi="Times New Roman"/>
          <w:color w:val="E5E7EB"/>
          <w:sz w:val="20"/>
        </w:rPr>
        <w:t xml:space="preserve">  ·············································  </w:t>
      </w:r>
      <w:r>
        <w:rPr>
          <w:rFonts w:ascii="Times New Roman" w:hAnsi="Times New Roman"/>
          <w:color w:val="64748B"/>
          <w:sz w:val="22"/>
        </w:rPr>
        <w:t>34</w:t>
      </w:r>
    </w:p>
    <w:p>
      <w:pPr>
        <w:spacing w:after="60" w:line="336" w:lineRule="auto"/>
        <w:ind w:left="283"/>
      </w:pPr>
      <w:r>
        <w:rPr>
          <w:rFonts w:ascii="Arial" w:hAnsi="Arial"/>
          <w:b/>
          <w:color w:val="2563EB"/>
          <w:sz w:val="22"/>
        </w:rPr>
        <w:t xml:space="preserve">15.  </w:t>
      </w:r>
      <w:r>
        <w:rPr>
          <w:rFonts w:ascii="Times New Roman" w:hAnsi="Times New Roman"/>
          <w:color w:val="1E293B"/>
          <w:sz w:val="22"/>
        </w:rPr>
        <w:t>Цель: самоокупаемость и независимость от субсидий</w:t>
      </w:r>
      <w:r>
        <w:rPr>
          <w:rFonts w:ascii="Times New Roman" w:hAnsi="Times New Roman"/>
          <w:color w:val="E5E7EB"/>
          <w:sz w:val="20"/>
        </w:rPr>
        <w:t xml:space="preserve">  ·············································  </w:t>
      </w:r>
      <w:r>
        <w:rPr>
          <w:rFonts w:ascii="Times New Roman" w:hAnsi="Times New Roman"/>
          <w:color w:val="64748B"/>
          <w:sz w:val="22"/>
        </w:rPr>
        <w:t>36</w:t>
      </w:r>
    </w:p>
    <w:p>
      <w:pPr>
        <w:spacing w:after="60" w:line="336" w:lineRule="auto" w:before="160"/>
        <w:ind w:left="0"/>
      </w:pPr>
      <w:r>
        <w:rPr>
          <w:rFonts w:ascii="Times New Roman" w:hAnsi="Times New Roman"/>
          <w:b/>
          <w:color w:val="0F172A"/>
          <w:sz w:val="22"/>
        </w:rPr>
        <w:t>ЧАСТЬ V. ЗАЧЕМ НУЖНА ЦИФРОВАЯ ПЛАТФОРМА</w:t>
      </w:r>
      <w:r>
        <w:rPr>
          <w:rFonts w:ascii="Times New Roman" w:hAnsi="Times New Roman"/>
          <w:color w:val="E5E7EB"/>
          <w:sz w:val="20"/>
        </w:rPr>
        <w:t xml:space="preserve">  ·············································  </w:t>
      </w:r>
      <w:r>
        <w:rPr>
          <w:rFonts w:ascii="Times New Roman" w:hAnsi="Times New Roman"/>
          <w:color w:val="64748B"/>
          <w:sz w:val="22"/>
        </w:rPr>
        <w:t>38</w:t>
      </w:r>
    </w:p>
    <w:p>
      <w:pPr>
        <w:spacing w:after="60" w:line="336" w:lineRule="auto"/>
        <w:ind w:left="283"/>
      </w:pPr>
      <w:r>
        <w:rPr>
          <w:rFonts w:ascii="Arial" w:hAnsi="Arial"/>
          <w:b/>
          <w:color w:val="2563EB"/>
          <w:sz w:val="22"/>
        </w:rPr>
        <w:t xml:space="preserve">16.  </w:t>
      </w:r>
      <w:r>
        <w:rPr>
          <w:rFonts w:ascii="Times New Roman" w:hAnsi="Times New Roman"/>
          <w:color w:val="1E293B"/>
          <w:sz w:val="22"/>
        </w:rPr>
        <w:t>Проблема — почему без платформы нельзя масштабироваться</w:t>
      </w:r>
      <w:r>
        <w:rPr>
          <w:rFonts w:ascii="Times New Roman" w:hAnsi="Times New Roman"/>
          <w:color w:val="E5E7EB"/>
          <w:sz w:val="20"/>
        </w:rPr>
        <w:t xml:space="preserve">  ·············································  </w:t>
      </w:r>
      <w:r>
        <w:rPr>
          <w:rFonts w:ascii="Times New Roman" w:hAnsi="Times New Roman"/>
          <w:color w:val="64748B"/>
          <w:sz w:val="22"/>
        </w:rPr>
        <w:t>38</w:t>
      </w:r>
    </w:p>
    <w:p>
      <w:pPr>
        <w:spacing w:after="60" w:line="336" w:lineRule="auto"/>
        <w:ind w:left="283"/>
      </w:pPr>
      <w:r>
        <w:rPr>
          <w:rFonts w:ascii="Arial" w:hAnsi="Arial"/>
          <w:b/>
          <w:color w:val="2563EB"/>
          <w:sz w:val="22"/>
        </w:rPr>
        <w:t xml:space="preserve">17.  </w:t>
      </w:r>
      <w:r>
        <w:rPr>
          <w:rFonts w:ascii="Times New Roman" w:hAnsi="Times New Roman"/>
          <w:color w:val="1E293B"/>
          <w:sz w:val="22"/>
        </w:rPr>
        <w:t>4 модуля платформы</w:t>
      </w:r>
      <w:r>
        <w:rPr>
          <w:rFonts w:ascii="Times New Roman" w:hAnsi="Times New Roman"/>
          <w:color w:val="E5E7EB"/>
          <w:sz w:val="20"/>
        </w:rPr>
        <w:t xml:space="preserve">  ·············································  </w:t>
      </w:r>
      <w:r>
        <w:rPr>
          <w:rFonts w:ascii="Times New Roman" w:hAnsi="Times New Roman"/>
          <w:color w:val="64748B"/>
          <w:sz w:val="22"/>
        </w:rPr>
        <w:t>40</w:t>
      </w:r>
    </w:p>
    <w:p>
      <w:pPr>
        <w:spacing w:after="60" w:line="336" w:lineRule="auto"/>
        <w:ind w:left="283"/>
      </w:pPr>
      <w:r>
        <w:rPr>
          <w:rFonts w:ascii="Arial" w:hAnsi="Arial"/>
          <w:b/>
          <w:color w:val="2563EB"/>
          <w:sz w:val="22"/>
        </w:rPr>
        <w:t xml:space="preserve">18.  </w:t>
      </w:r>
      <w:r>
        <w:rPr>
          <w:rFonts w:ascii="Times New Roman" w:hAnsi="Times New Roman"/>
          <w:color w:val="1E293B"/>
          <w:sz w:val="22"/>
        </w:rPr>
        <w:t>Уникальное ценностное предложение платформы</w:t>
      </w:r>
      <w:r>
        <w:rPr>
          <w:rFonts w:ascii="Times New Roman" w:hAnsi="Times New Roman"/>
          <w:color w:val="E5E7EB"/>
          <w:sz w:val="20"/>
        </w:rPr>
        <w:t xml:space="preserve">  ·············································  </w:t>
      </w:r>
      <w:r>
        <w:rPr>
          <w:rFonts w:ascii="Times New Roman" w:hAnsi="Times New Roman"/>
          <w:color w:val="64748B"/>
          <w:sz w:val="22"/>
        </w:rPr>
        <w:t>43</w:t>
      </w:r>
    </w:p>
    <w:p>
      <w:pPr>
        <w:spacing w:after="60" w:line="336" w:lineRule="auto"/>
        <w:ind w:left="283"/>
      </w:pPr>
      <w:r>
        <w:rPr>
          <w:rFonts w:ascii="Arial" w:hAnsi="Arial"/>
          <w:b/>
          <w:color w:val="2563EB"/>
          <w:sz w:val="22"/>
        </w:rPr>
        <w:t xml:space="preserve">19.  </w:t>
      </w:r>
      <w:r>
        <w:rPr>
          <w:rFonts w:ascii="Times New Roman" w:hAnsi="Times New Roman"/>
          <w:color w:val="1E293B"/>
          <w:sz w:val="22"/>
        </w:rPr>
        <w:t>Конкурентное позиционирование</w:t>
      </w:r>
      <w:r>
        <w:rPr>
          <w:rFonts w:ascii="Times New Roman" w:hAnsi="Times New Roman"/>
          <w:color w:val="E5E7EB"/>
          <w:sz w:val="20"/>
        </w:rPr>
        <w:t xml:space="preserve">  ·············································  </w:t>
      </w:r>
      <w:r>
        <w:rPr>
          <w:rFonts w:ascii="Times New Roman" w:hAnsi="Times New Roman"/>
          <w:color w:val="64748B"/>
          <w:sz w:val="22"/>
        </w:rPr>
        <w:t>45</w:t>
      </w:r>
    </w:p>
    <w:p>
      <w:pPr>
        <w:spacing w:after="60" w:line="336" w:lineRule="auto" w:before="160"/>
        <w:ind w:left="0"/>
      </w:pPr>
      <w:r>
        <w:rPr>
          <w:rFonts w:ascii="Times New Roman" w:hAnsi="Times New Roman"/>
          <w:b/>
          <w:color w:val="0F172A"/>
          <w:sz w:val="22"/>
        </w:rPr>
        <w:t>ЧАСТЬ VI. ТЕКУЩЕЕ СОСТОЯНИЕ И ВИДЕНИЕ</w:t>
      </w:r>
      <w:r>
        <w:rPr>
          <w:rFonts w:ascii="Times New Roman" w:hAnsi="Times New Roman"/>
          <w:color w:val="E5E7EB"/>
          <w:sz w:val="20"/>
        </w:rPr>
        <w:t xml:space="preserve">  ·············································  </w:t>
      </w:r>
      <w:r>
        <w:rPr>
          <w:rFonts w:ascii="Times New Roman" w:hAnsi="Times New Roman"/>
          <w:color w:val="64748B"/>
          <w:sz w:val="22"/>
        </w:rPr>
        <w:t>47</w:t>
      </w:r>
    </w:p>
    <w:p>
      <w:pPr>
        <w:spacing w:after="60" w:line="336" w:lineRule="auto"/>
        <w:ind w:left="283"/>
      </w:pPr>
      <w:r>
        <w:rPr>
          <w:rFonts w:ascii="Arial" w:hAnsi="Arial"/>
          <w:b/>
          <w:color w:val="2563EB"/>
          <w:sz w:val="22"/>
        </w:rPr>
        <w:t xml:space="preserve">20.  </w:t>
      </w:r>
      <w:r>
        <w:rPr>
          <w:rFonts w:ascii="Times New Roman" w:hAnsi="Times New Roman"/>
          <w:color w:val="1E293B"/>
          <w:sz w:val="22"/>
        </w:rPr>
        <w:t>Действующий MVP платформы</w:t>
      </w:r>
      <w:r>
        <w:rPr>
          <w:rFonts w:ascii="Times New Roman" w:hAnsi="Times New Roman"/>
          <w:color w:val="E5E7EB"/>
          <w:sz w:val="20"/>
        </w:rPr>
        <w:t xml:space="preserve">  ·············································  </w:t>
      </w:r>
      <w:r>
        <w:rPr>
          <w:rFonts w:ascii="Times New Roman" w:hAnsi="Times New Roman"/>
          <w:color w:val="64748B"/>
          <w:sz w:val="22"/>
        </w:rPr>
        <w:t>47</w:t>
      </w:r>
    </w:p>
    <w:p>
      <w:pPr>
        <w:spacing w:after="60" w:line="336" w:lineRule="auto"/>
        <w:ind w:left="283"/>
      </w:pPr>
      <w:r>
        <w:rPr>
          <w:rFonts w:ascii="Arial" w:hAnsi="Arial"/>
          <w:b/>
          <w:color w:val="2563EB"/>
          <w:sz w:val="22"/>
        </w:rPr>
        <w:t xml:space="preserve">21.  </w:t>
      </w:r>
      <w:r>
        <w:rPr>
          <w:rFonts w:ascii="Times New Roman" w:hAnsi="Times New Roman"/>
          <w:color w:val="1E293B"/>
          <w:sz w:val="22"/>
        </w:rPr>
        <w:t>Видение MVP v2 и v3</w:t>
      </w:r>
      <w:r>
        <w:rPr>
          <w:rFonts w:ascii="Times New Roman" w:hAnsi="Times New Roman"/>
          <w:color w:val="E5E7EB"/>
          <w:sz w:val="20"/>
        </w:rPr>
        <w:t xml:space="preserve">  ·············································  </w:t>
      </w:r>
      <w:r>
        <w:rPr>
          <w:rFonts w:ascii="Times New Roman" w:hAnsi="Times New Roman"/>
          <w:color w:val="64748B"/>
          <w:sz w:val="22"/>
        </w:rPr>
        <w:t>49</w:t>
      </w:r>
    </w:p>
    <w:p>
      <w:pPr>
        <w:spacing w:after="60" w:line="336" w:lineRule="auto"/>
        <w:ind w:left="283"/>
      </w:pPr>
      <w:r>
        <w:rPr>
          <w:rFonts w:ascii="Arial" w:hAnsi="Arial"/>
          <w:b/>
          <w:color w:val="2563EB"/>
          <w:sz w:val="22"/>
        </w:rPr>
        <w:t xml:space="preserve">22.  </w:t>
      </w:r>
      <w:r>
        <w:rPr>
          <w:rFonts w:ascii="Times New Roman" w:hAnsi="Times New Roman"/>
          <w:color w:val="1E293B"/>
          <w:sz w:val="22"/>
        </w:rPr>
        <w:t>Открытые вопросы для агента-планировщика</w:t>
      </w:r>
      <w:r>
        <w:rPr>
          <w:rFonts w:ascii="Times New Roman" w:hAnsi="Times New Roman"/>
          <w:color w:val="E5E7EB"/>
          <w:sz w:val="20"/>
        </w:rPr>
        <w:t xml:space="preserve">  ·············································  </w:t>
      </w:r>
      <w:r>
        <w:rPr>
          <w:rFonts w:ascii="Times New Roman" w:hAnsi="Times New Roman"/>
          <w:color w:val="64748B"/>
          <w:sz w:val="22"/>
        </w:rPr>
        <w:t>51</w:t>
      </w:r>
    </w:p>
    <w:p>
      <w:r>
        <w:br w:type="page"/>
      </w:r>
    </w:p>
    <w:p>
      <w:r>
        <w:br w:type="page"/>
      </w:r>
    </w:p>
    <w:p/>
    <w:p/>
    <w:p/>
    <w:p>
      <w:pPr>
        <w:jc w:val="center"/>
      </w:pPr>
      <w:r>
        <w:rPr>
          <w:rFonts w:ascii="Arial" w:hAnsi="Arial"/>
          <w:b/>
          <w:color w:val="2563EB"/>
          <w:sz w:val="28"/>
        </w:rPr>
        <w:t>ЧАСТЬ I</w:t>
      </w:r>
    </w:p>
    <w:p>
      <w:pPr>
        <w:jc w:val="center"/>
      </w:pPr>
      <w:r>
        <w:rPr>
          <w:rFonts w:ascii="Arial" w:hAnsi="Arial"/>
          <w:b/>
          <w:color w:val="0F172A"/>
          <w:sz w:val="48"/>
        </w:rPr>
        <w:t>Что такое ЦНТР и зачем он нужен</w:t>
      </w:r>
    </w:p>
    <w:p>
      <w:pPr>
        <w:spacing w:before="400"/>
        <w:jc w:val="center"/>
      </w:pPr>
      <w:r>
        <w:rPr>
          <w:rFonts w:ascii="Arial" w:hAnsi="Arial"/>
          <w:color w:val="2563EB"/>
          <w:sz w:val="28"/>
        </w:rPr>
        <w:t>◆ ◆ ◆</w:t>
      </w:r>
    </w:p>
    <w:p>
      <w:r>
        <w:br w:type="page"/>
      </w:r>
    </w:p>
    <w:p>
      <w:pPr>
        <w:pStyle w:val="Heading1"/>
        <w:spacing w:before="560" w:after="280"/>
        <w:pBdr>
          <w:bottom w:val="single" w:sz="8" w:space="4" w:color="2563EB"/>
        </w:pBdr>
      </w:pPr>
      <w:r>
        <w:rPr>
          <w:rFonts w:ascii="Arial" w:hAnsi="Arial"/>
          <w:b/>
          <w:color w:val="0F172A"/>
          <w:sz w:val="40"/>
        </w:rPr>
        <w:t>1. Миссия и контекст создания Центра</w:t>
      </w:r>
    </w:p>
    <w:p>
      <w:pPr>
        <w:spacing w:line="360" w:lineRule="auto" w:after="160"/>
        <w:ind w:firstLine="340"/>
        <w:jc w:val="both"/>
      </w:pPr>
      <w:r>
        <w:rPr>
          <w:rFonts w:ascii="Times New Roman" w:hAnsi="Times New Roman"/>
          <w:b w:val="0"/>
          <w:i w:val="0"/>
          <w:color w:val="1E293B"/>
          <w:sz w:val="22"/>
        </w:rPr>
        <w:t>Центр научно-технического развития (далее — ЦНТР, Центр) — это государственно-частная институция, создаваемая в Удмуртской Республике для преодоления структурного разрыва между научными исследованиями и промышленным производством. Центр выступает связующим звеном между тремя ключевыми группами участников: научным сообществом (ВУЗы и НИИ), инновационным бизнесом (R&amp;D-стартапы) и реальным сектором промышленности (Государственные компании и серийные производители). Главной задачей Центра является доведение технологических инноваций от стадии научной идеи до полноценного серийного производства по единому стандартизированному пути.</w:t>
      </w:r>
    </w:p>
    <w:p>
      <w:pPr>
        <w:spacing w:line="360" w:lineRule="auto" w:after="160"/>
        <w:ind w:firstLine="340"/>
        <w:jc w:val="both"/>
      </w:pPr>
      <w:r>
        <w:rPr>
          <w:rFonts w:ascii="Times New Roman" w:hAnsi="Times New Roman"/>
          <w:b w:val="0"/>
          <w:i w:val="0"/>
          <w:color w:val="1E293B"/>
          <w:sz w:val="22"/>
        </w:rPr>
        <w:t>Центр создаётся в ответ на системную проблему российской инновационной экосистемы: существует большое количество научных разработок,停留在 уровнях концепции и лабораторных прототипов, но они не доходят до массового производства из-за отсутствия институциональной инфраструктуры, которая сопровождала бы проект на всех этапах. Отдельные игроки — Фонд содействия инновациям (ФАСИЕ), Ассоциация технологического развития (АТР), региональные GR-агентства — решают лишь фрагменты задачи: предоставление грантов, консультационная поддержка, GR-сопровождение. Ни один существующий игрок в Удмуртской Республике не предлагает полного цикла от идеи (УГТ 1) до серийного производства (УГТ 9) по единому стандарту ГОСТ Р 58048-2017.</w:t>
      </w:r>
    </w:p>
    <w:p>
      <w:pPr>
        <w:spacing w:line="360" w:lineRule="auto" w:after="160"/>
        <w:ind w:firstLine="340"/>
        <w:jc w:val="both"/>
      </w:pPr>
      <w:r>
        <w:rPr>
          <w:rFonts w:ascii="Times New Roman" w:hAnsi="Times New Roman"/>
          <w:b w:val="0"/>
          <w:i w:val="0"/>
          <w:color w:val="1E293B"/>
          <w:sz w:val="22"/>
        </w:rPr>
        <w:t>Миссия ЦНТР формулируется следующим образом: стать главным региональным оператором трансфера технологий, обеспечивающим стандартизированный, прозрачный и управляемый путь инновации от научной идеи через опытные образцы к серийному производству, с одновременным созданием цифровой инфраструктуры для масштабирования этой модели на другие регионы России. Центр не заменяет существующие институты (ФАСИЕ, ВУЗы, производителей), а интегрирует их в единый пайплайн, обеспечивая методологическую последовательность и контроль качества на каждом этапе.</w:t>
      </w:r>
    </w:p>
    <w:tbl>
      <w:tblPr>
        <w:tblW w:type="auto" w:w="0"/>
        <w:jc w:val="center"/>
        <w:tblLook w:firstColumn="1" w:firstRow="1" w:lastColumn="0" w:lastRow="0" w:noHBand="0" w:noVBand="1" w:val="04A0"/>
      </w:tblPr>
      <w:tblGrid>
        <w:gridCol w:w="9355"/>
      </w:tblGrid>
      <w:tr>
        <w:tc>
          <w:tcPr>
            <w:tcW w:type="dxa" w:w="9071"/>
            <w:shd w:fill="DBEAFE"/>
            <w:tcBorders>
              <w:top w:val="single" w:sz="8" w:color="2563EB"/>
              <w:left w:val="single" w:sz="8" w:color="2563EB"/>
              <w:bottom w:val="single" w:sz="8" w:color="2563EB"/>
              <w:right w:val="single" w:sz="8" w:color="2563EB"/>
            </w:tcBorders>
          </w:tcPr>
          <w:p>
            <w:pPr>
              <w:spacing w:before="160" w:after="80"/>
            </w:pPr>
            <w:r/>
            <w:r>
              <w:rPr>
                <w:rFonts w:ascii="Arial" w:hAnsi="Arial"/>
                <w:b/>
                <w:color w:val="1E40AF"/>
                <w:sz w:val="24"/>
              </w:rPr>
              <w:t>Стратегическая цель ЦНТР</w:t>
            </w:r>
          </w:p>
          <w:p>
            <w:pPr>
              <w:spacing w:before="40" w:after="160" w:line="336" w:lineRule="auto"/>
            </w:pPr>
            <w:r>
              <w:rPr>
                <w:rFonts w:ascii="Times New Roman" w:hAnsi="Times New Roman"/>
                <w:color w:val="1E293B"/>
                <w:sz w:val="21"/>
              </w:rPr>
              <w:t>Выйти на годовой оборот 50–80 млн ₽ в течение 24–36 месяцев и достичь финансовой самоокупаемости, независимой от государственных субсидий. Это позволит ЦНТР стать устойчивой институцией, способной масштабировать свою методологию и цифровую платформу на другие регионы Российской Федерации.</w:t>
            </w:r>
          </w:p>
        </w:tc>
      </w:tr>
    </w:tbl>
    <w:p/>
    <w:p>
      <w:pPr>
        <w:spacing w:line="360" w:lineRule="auto" w:after="160"/>
        <w:ind w:firstLine="340"/>
        <w:jc w:val="both"/>
      </w:pPr>
      <w:r>
        <w:rPr>
          <w:rFonts w:ascii="Times New Roman" w:hAnsi="Times New Roman"/>
          <w:b w:val="0"/>
          <w:i w:val="0"/>
          <w:color w:val="1E293B"/>
          <w:sz w:val="22"/>
        </w:rPr>
        <w:t>ЦНТР не является ни чисто научной организацией, ни классическим консалтинговым агентством, ни государственным фондом. Это гибридная институция нового типа, объединяющая методологическую экспертизу (знание ГОСТ Р 58048-2017), операционную инфраструктуру (управление проектами), экосистемный подход (сеть 50+ организаций-партнёров) и технологическую платформу (цифровой инструмент для всех участников). Именно гибридность отличает ЦНТР от существующих игроков и создаёт уникальное конкурентное преимущество, которое невозможно быстро воспроизвести.</w:t>
      </w:r>
    </w:p>
    <w:p>
      <w:r>
        <w:br w:type="page"/>
      </w:r>
    </w:p>
    <w:p>
      <w:pPr>
        <w:pStyle w:val="Heading1"/>
        <w:spacing w:before="560" w:after="280"/>
        <w:pBdr>
          <w:bottom w:val="single" w:sz="8" w:space="4" w:color="2563EB"/>
        </w:pBdr>
      </w:pPr>
      <w:r>
        <w:rPr>
          <w:rFonts w:ascii="Arial" w:hAnsi="Arial"/>
          <w:b/>
          <w:color w:val="0F172A"/>
          <w:sz w:val="40"/>
        </w:rPr>
        <w:t>2. Чем занимается ЦНТР — 5 ключевых функций</w:t>
      </w:r>
    </w:p>
    <w:p>
      <w:pPr>
        <w:spacing w:line="360" w:lineRule="auto" w:after="160"/>
        <w:ind w:firstLine="340"/>
        <w:jc w:val="both"/>
      </w:pPr>
      <w:r>
        <w:rPr>
          <w:rFonts w:ascii="Times New Roman" w:hAnsi="Times New Roman"/>
          <w:b w:val="0"/>
          <w:i w:val="0"/>
          <w:color w:val="1E293B"/>
          <w:sz w:val="22"/>
        </w:rPr>
        <w:t>ЦНТР выполняет пять ключевых функций, каждая из которых критически важна для полноценного доведения инноваций от идеи до производства. Ниже эти функции описаны подробно — понимание каждой из них необходимо агенту-планировщику для проектирования модулей цифровой платформы, поскольку каждый модуль должен поддерживать одну или несколько из этих функций.</w:t>
      </w:r>
    </w:p>
    <w:p>
      <w:pPr>
        <w:pStyle w:val="Heading2"/>
        <w:spacing w:before="400" w:after="160"/>
      </w:pPr>
      <w:r>
        <w:rPr>
          <w:rFonts w:ascii="Arial" w:hAnsi="Arial"/>
          <w:b/>
          <w:color w:val="0F172A"/>
          <w:sz w:val="30"/>
        </w:rPr>
        <w:t>Функция 1. Методологическая — стандартизация пути развития</w:t>
      </w:r>
    </w:p>
    <w:p>
      <w:pPr>
        <w:spacing w:line="360" w:lineRule="auto" w:after="160"/>
        <w:ind w:firstLine="340"/>
        <w:jc w:val="both"/>
      </w:pPr>
      <w:r>
        <w:rPr>
          <w:rFonts w:ascii="Times New Roman" w:hAnsi="Times New Roman"/>
          <w:b w:val="0"/>
          <w:i w:val="0"/>
          <w:color w:val="1E293B"/>
          <w:sz w:val="22"/>
        </w:rPr>
        <w:t>ЦНТР является единственной в Удмуртской Республике институцией, профессионально работающей с национальным стандартом ГОСТ Р 58048-2017, определяющим 9 уровней готовности технологии (УГТ 1–9). Центр применяет эту методологию к каждому проекту, проходящему через него, обеспечивая единый язык описания зрелости технологии между всеми участниками — учёными, инженерами, производственниками, инвесторами и государственными органами. Без этой методологической функции невозможно сравнивать проекты между собой, оценивать риски, принимать обоснованные решения о выделении финансирования или переходе на следующий этап.</w:t>
      </w:r>
    </w:p>
    <w:p>
      <w:pPr>
        <w:spacing w:line="360" w:lineRule="auto" w:after="160"/>
        <w:ind w:firstLine="340"/>
        <w:jc w:val="both"/>
      </w:pPr>
      <w:r>
        <w:rPr>
          <w:rFonts w:ascii="Times New Roman" w:hAnsi="Times New Roman"/>
          <w:b w:val="0"/>
          <w:i w:val="0"/>
          <w:color w:val="1E293B"/>
          <w:sz w:val="22"/>
        </w:rPr>
        <w:t>Методологическая функция включает: адаптацию требований ГОСТ к специфике региональных проектов, разработку шаблонов документов (ТЗ, ТЭО, Паспорт проекта, Дорожная карта, Верификация УГТ), обучение участников методологии, проведение верификации уровней готовности собственными экспертами и внешними аудиторами. Эта функция является методологическим ядром ЦНТР и не может быть делегирована внешним подрядчикам — она составляет ключевую экспертизу Центра.</w:t>
      </w:r>
    </w:p>
    <w:p>
      <w:pPr>
        <w:pStyle w:val="Heading2"/>
        <w:spacing w:before="400" w:after="160"/>
      </w:pPr>
      <w:r>
        <w:rPr>
          <w:rFonts w:ascii="Arial" w:hAnsi="Arial"/>
          <w:b/>
          <w:color w:val="0F172A"/>
          <w:sz w:val="30"/>
        </w:rPr>
        <w:t>Функция 2. Операционная — управление пайплайном проектов</w:t>
      </w:r>
    </w:p>
    <w:p>
      <w:pPr>
        <w:spacing w:line="360" w:lineRule="auto" w:after="160"/>
        <w:ind w:firstLine="340"/>
        <w:jc w:val="both"/>
      </w:pPr>
      <w:r>
        <w:rPr>
          <w:rFonts w:ascii="Times New Roman" w:hAnsi="Times New Roman"/>
          <w:b w:val="0"/>
          <w:i w:val="0"/>
          <w:color w:val="1E293B"/>
          <w:sz w:val="22"/>
        </w:rPr>
        <w:t>ЦНТР ведёт каждый проект через стандартизированный пайплайн, состоящий из двух блоков: Блок 1 «Доведение до соглашения о сотрудничестве» (7 этапов, от УГТ 1 до УГТ 3) и Блок 2 «Этап разработки» (8 элементов, от УГТ 3 до УГТ 9 плюс приёмка и отчётность). На каждом этапе Центр выступает модератором, обеспечивая согласование между ГосКомпанией-заказчиком, исполнителями и экспертами, контролируя сроки, качество документов и соответствие методологии. Блок 1 проводится бесплатно для участников (это инвестиция Центра в формирование пайплайна), Блок 2 — платная услуга, обеспечивающая основную выручку.</w:t>
      </w:r>
    </w:p>
    <w:p>
      <w:pPr>
        <w:spacing w:line="360" w:lineRule="auto" w:after="160"/>
        <w:ind w:firstLine="340"/>
        <w:jc w:val="both"/>
      </w:pPr>
      <w:r>
        <w:rPr>
          <w:rFonts w:ascii="Times New Roman" w:hAnsi="Times New Roman"/>
          <w:b w:val="0"/>
          <w:i w:val="0"/>
          <w:color w:val="1E293B"/>
          <w:sz w:val="22"/>
        </w:rPr>
        <w:t>Операционная функция включает: координацию участников проекта (ГосКомпании, R&amp;D, ВУЗы, производители, эксперты УГТ, аудиторы Минфина), ведение документооборота (создание, согласование, хранение, версионирование всех документов проекта), контроль прохождения контрольных точек (КТ-1…КТ-4), управление условиями возврата (если проект не проходит КТ, Центр возвращает его на предыдущий этап), формирование отчётности для стейкхолдеров. Эта функция требует развитой цифровой инфраструктуры, поскольку операционное управление десятками одновременно идущих проектов невозможно без платформы.</w:t>
      </w:r>
    </w:p>
    <w:p>
      <w:pPr>
        <w:pStyle w:val="Heading2"/>
        <w:spacing w:before="400" w:after="160"/>
      </w:pPr>
      <w:r>
        <w:rPr>
          <w:rFonts w:ascii="Arial" w:hAnsi="Arial"/>
          <w:b/>
          <w:color w:val="0F172A"/>
          <w:sz w:val="30"/>
        </w:rPr>
        <w:t>Функция 3. Экосистемная — интеграция организаций-партнёров</w:t>
      </w:r>
    </w:p>
    <w:p>
      <w:pPr>
        <w:spacing w:line="360" w:lineRule="auto" w:after="160"/>
        <w:ind w:firstLine="340"/>
        <w:jc w:val="both"/>
      </w:pPr>
      <w:r>
        <w:rPr>
          <w:rFonts w:ascii="Times New Roman" w:hAnsi="Times New Roman"/>
          <w:b w:val="0"/>
          <w:i w:val="0"/>
          <w:color w:val="1E293B"/>
          <w:sz w:val="22"/>
        </w:rPr>
        <w:t>ЦНТР поддерживает экосистему из 50+ организаций Удмуртской Республики, разделённых на 8 категорий: ВУЗы (ИжГТУ, УдГУ, ИжГСХА), НИИ (Институт прикладной механики УрО РАН, Удмуртский НИИСХ), R&amp;D-стартапы, серийные производители оборонно-промышленного комплекса (КЭМЗ, ИЭМЗ «Купол», Сарапульский радиозавод), государственные органы (Минфин УР, Минобрнауки УР, Минпромторг УР), финансовые институты (ФАСИЕ, Фонд развития УР), инфраструктурные партнёры (лаборатории, испытательные полигоны, производственные мощности), юридические и патентные партнёры. Каждая организация выполняет свою роль в пайплайне проектов ЦНТР.</w:t>
      </w:r>
    </w:p>
    <w:p>
      <w:pPr>
        <w:spacing w:line="360" w:lineRule="auto" w:after="160"/>
        <w:ind w:firstLine="340"/>
        <w:jc w:val="both"/>
      </w:pPr>
      <w:r>
        <w:rPr>
          <w:rFonts w:ascii="Times New Roman" w:hAnsi="Times New Roman"/>
          <w:b w:val="0"/>
          <w:i w:val="0"/>
          <w:color w:val="1E293B"/>
          <w:sz w:val="22"/>
        </w:rPr>
        <w:t>Экосистемная функция включает: ведение реестра организаций-партнёров с их компетенциями, оборудованием, сертификациями; матчмейкинг между ГосКомпаниями-заказчиками и исполнителями; контроль качества работы партнёров через отзывы и рейтинги; развитие экосистемы через привлечение новых организаций; организацию образовательных и сетевых мероприятий для участников. Сетевой эффект экосистемы заключается в том, что чем больше организаций участвует, тем ценнее становится ЦНТР для каждого нового участника — это создаёт конкурентный барьер для входа других игроков.</w:t>
      </w:r>
    </w:p>
    <w:p>
      <w:pPr>
        <w:pStyle w:val="Heading2"/>
        <w:spacing w:before="400" w:after="160"/>
      </w:pPr>
      <w:r>
        <w:rPr>
          <w:rFonts w:ascii="Arial" w:hAnsi="Arial"/>
          <w:b/>
          <w:color w:val="0F172A"/>
          <w:sz w:val="30"/>
        </w:rPr>
        <w:t>Функция 4. Финансовая — структурирование и привлечение средств</w:t>
      </w:r>
    </w:p>
    <w:p>
      <w:pPr>
        <w:spacing w:line="360" w:lineRule="auto" w:after="160"/>
        <w:ind w:firstLine="340"/>
        <w:jc w:val="both"/>
      </w:pPr>
      <w:r>
        <w:rPr>
          <w:rFonts w:ascii="Times New Roman" w:hAnsi="Times New Roman"/>
          <w:b w:val="0"/>
          <w:i w:val="0"/>
          <w:color w:val="1E293B"/>
          <w:sz w:val="22"/>
        </w:rPr>
        <w:t>ЦНТР помогает структурировать финансирование проектов через 7 источников: собственные средства Центра, средства ГосКомпании-заказчика, средства компании-исполнителя, средства университета-партнёра, грантовые средства (ФАСИЕ, Минобрнауки, Минпромторга), субсидии от государства, внешние частные инвесторы. На ранних стадиях (Блок 1) доступно 5 источников, на этапе реализации (Блок 2) — все 7. Центр не предоставляет финансирование напрямую (за исключением авансирования ранних стадий), а выступает модератором и брокером между проектом и источниками средств.</w:t>
      </w:r>
    </w:p>
    <w:p>
      <w:pPr>
        <w:spacing w:line="360" w:lineRule="auto" w:after="160"/>
        <w:ind w:firstLine="340"/>
        <w:jc w:val="both"/>
      </w:pPr>
      <w:r>
        <w:rPr>
          <w:rFonts w:ascii="Times New Roman" w:hAnsi="Times New Roman"/>
          <w:b w:val="0"/>
          <w:i w:val="0"/>
          <w:color w:val="1E293B"/>
          <w:sz w:val="22"/>
        </w:rPr>
        <w:t>Финансовая функция включает: помощь в подготовке заявок на гранты ФАСИЕ и государственные субсидии (на платной основе с success fee), помощь в получении кредитов для бизнеса через банки-партнёры, организацию питч-сессий перед частными инвесторами, подготовку инвестиционных меморандумов, структурирование сделок между ГосКомпаниями и исполнителями (с юридическим сопровождением). Эта функция генерирует значительную часть выручки Центра через комиссии со сделок и success fee с привлечённых средств.</w:t>
      </w:r>
    </w:p>
    <w:p>
      <w:pPr>
        <w:pStyle w:val="Heading2"/>
        <w:spacing w:before="400" w:after="160"/>
      </w:pPr>
      <w:r>
        <w:rPr>
          <w:rFonts w:ascii="Arial" w:hAnsi="Arial"/>
          <w:b/>
          <w:color w:val="0F172A"/>
          <w:sz w:val="30"/>
        </w:rPr>
        <w:t>Функция 5. Технологическая — цифровая платформа как операционный инструмент</w:t>
      </w:r>
    </w:p>
    <w:p>
      <w:pPr>
        <w:spacing w:line="360" w:lineRule="auto" w:after="160"/>
        <w:ind w:firstLine="340"/>
        <w:jc w:val="both"/>
      </w:pPr>
      <w:r>
        <w:rPr>
          <w:rFonts w:ascii="Times New Roman" w:hAnsi="Times New Roman"/>
          <w:b w:val="0"/>
          <w:i w:val="0"/>
          <w:color w:val="1E293B"/>
          <w:sz w:val="22"/>
        </w:rPr>
        <w:t>ЦНТР разрабатывает собственную цифровую платформу, которая является операционным инструментом для всех четырёх предыдущих функций. Платформа не отдельный продукт, а инфраструктурная основа, без которой невозможно масштабировать методологию, операционную деятельность, экосистему и финансовое сопровождение до объёмов, обеспечивающих самоокупаемость. Без платформы каждая из 24 платных услуг Центра остаётся ручным процессом с потолком выручки 10–15 млн ₽ в год; с платформой — ЦНТР выходит на 50–80 млн ₽ через SaaS-подписки, комиссии и автоматизацию.</w:t>
      </w:r>
    </w:p>
    <w:p>
      <w:pPr>
        <w:spacing w:line="360" w:lineRule="auto" w:after="160"/>
        <w:ind w:firstLine="340"/>
        <w:jc w:val="both"/>
      </w:pPr>
      <w:r>
        <w:rPr>
          <w:rFonts w:ascii="Times New Roman" w:hAnsi="Times New Roman"/>
          <w:b w:val="0"/>
          <w:i w:val="0"/>
          <w:color w:val="1E293B"/>
          <w:sz w:val="22"/>
        </w:rPr>
        <w:t>Технологическая функция включает: разработку и поддержку цифровой платформы с 4 модулями (личные кабинеты участников, дашборд проекта, реестры и каталог, AI-ассистент), обеспечение информационной безопасности (соответствие 152-ФЗ, готовность к ВПК-сегменту), интеграцию с внешними сервисами (платёжные шлюзы, ФИПС, бухгалтерские системы, Госуслуги), развитие AI-ассистента как флагманского SaaS-продукта. Эта функция реализуется CTO платформы и командой разработчиков.</w:t>
      </w:r>
    </w:p>
    <w:tbl>
      <w:tblPr>
        <w:tblW w:type="auto" w:w="0"/>
        <w:jc w:val="center"/>
        <w:tblLook w:firstColumn="1" w:firstRow="1" w:lastColumn="0" w:lastRow="0" w:noHBand="0" w:noVBand="1" w:val="04A0"/>
      </w:tblPr>
      <w:tblGrid>
        <w:gridCol w:w="9355"/>
      </w:tblGrid>
      <w:tr>
        <w:tc>
          <w:tcPr>
            <w:tcW w:type="dxa" w:w="9071"/>
            <w:shd w:fill="EDE9FE"/>
            <w:tcBorders>
              <w:top w:val="single" w:sz="8" w:color="7C3AED"/>
              <w:left w:val="single" w:sz="8" w:color="7C3AED"/>
              <w:bottom w:val="single" w:sz="8" w:color="7C3AED"/>
              <w:right w:val="single" w:sz="8" w:color="7C3AED"/>
            </w:tcBorders>
          </w:tcPr>
          <w:p>
            <w:pPr>
              <w:spacing w:before="160" w:after="80"/>
            </w:pPr>
            <w:r/>
            <w:r>
              <w:rPr>
                <w:rFonts w:ascii="Arial" w:hAnsi="Arial"/>
                <w:b/>
                <w:color w:val="4C1D95"/>
                <w:sz w:val="24"/>
              </w:rPr>
              <w:t>Важное замечание для агента-планировщика</w:t>
            </w:r>
          </w:p>
          <w:p>
            <w:pPr>
              <w:spacing w:before="40" w:after="160" w:line="336" w:lineRule="auto"/>
            </w:pPr>
            <w:r>
              <w:rPr>
                <w:rFonts w:ascii="Times New Roman" w:hAnsi="Times New Roman"/>
                <w:color w:val="1E293B"/>
                <w:sz w:val="21"/>
              </w:rPr>
              <w:t>Все 5 функций ЦНТР должны поддерживаться цифровой платформой. При проектировании архитектуры необходимо учесть, что платформа — это не «IT-инструмент для удобства», а критическая инфраструктура, без которой невозможны масштабирование методологии, операционное управление десятками проектов, монетизация экосистемы и выход на самоокупаемость. Каждая функция определяет набор функциональных требований к платформе.</w:t>
            </w:r>
          </w:p>
        </w:tc>
      </w:tr>
    </w:tbl>
    <w:p/>
    <w:p>
      <w:r>
        <w:br w:type="page"/>
      </w:r>
    </w:p>
    <w:p>
      <w:pPr>
        <w:pStyle w:val="Heading1"/>
        <w:spacing w:before="560" w:after="280"/>
        <w:pBdr>
          <w:bottom w:val="single" w:sz="8" w:space="4" w:color="2563EB"/>
        </w:pBdr>
      </w:pPr>
      <w:r>
        <w:rPr>
          <w:rFonts w:ascii="Arial" w:hAnsi="Arial"/>
          <w:b/>
          <w:color w:val="0F172A"/>
          <w:sz w:val="40"/>
        </w:rPr>
        <w:t>3. Удмуртская специфика — почему именно здесь</w:t>
      </w:r>
    </w:p>
    <w:p>
      <w:pPr>
        <w:spacing w:line="360" w:lineRule="auto" w:after="160"/>
        <w:ind w:firstLine="340"/>
        <w:jc w:val="both"/>
      </w:pPr>
      <w:r>
        <w:rPr>
          <w:rFonts w:ascii="Times New Roman" w:hAnsi="Times New Roman"/>
          <w:b w:val="0"/>
          <w:i w:val="0"/>
          <w:color w:val="1E293B"/>
          <w:sz w:val="22"/>
        </w:rPr>
        <w:t>ЦНТР создаётся именно в Удмуртской Республике по нескольким структурным причинам, которые делают регион уникальным для пилотирования модели полного цикла трансфера технологий. Понимание этой специфики критически важно для агента-планировщика, поскольку региональный контекст определяет состав участников экосистемы, типы проектов, требования к безопасности (ВПК-сегмент) и партнёрства с государственными органами.</w:t>
      </w:r>
    </w:p>
    <w:p>
      <w:pPr>
        <w:pStyle w:val="Heading2"/>
        <w:spacing w:before="400" w:after="160"/>
      </w:pPr>
      <w:r>
        <w:rPr>
          <w:rFonts w:ascii="Arial" w:hAnsi="Arial"/>
          <w:b/>
          <w:color w:val="0F172A"/>
          <w:sz w:val="30"/>
        </w:rPr>
        <w:t>3.1. Концентрация оборонно-промышленного комплекса</w:t>
      </w:r>
    </w:p>
    <w:p>
      <w:pPr>
        <w:spacing w:line="360" w:lineRule="auto" w:after="160"/>
        <w:ind w:firstLine="340"/>
        <w:jc w:val="both"/>
      </w:pPr>
      <w:r>
        <w:rPr>
          <w:rFonts w:ascii="Times New Roman" w:hAnsi="Times New Roman"/>
          <w:b w:val="0"/>
          <w:i w:val="0"/>
          <w:color w:val="1E293B"/>
          <w:sz w:val="22"/>
        </w:rPr>
        <w:t>Удмуртская Республика — один из регионов России с самой высокой концентрацией предприятий оборонно-промышленного комплекса. Крупнейшие из них: АО «Ижевский электромеханический завод „Купол“» (ИЭМЗ «Купол») — ведущий производитель зенитных ракетных комплексов; АО «Камбарский машиностроительный завод» (КЭМЗ) — производитель артиллерийских систем; АО «Сарапульский радиозавод» — производитель радиоэлектронного оборудования. Эти предприятия являются потенциально крупными заказчиками инновационных разработок, но их проекты могут требовать соблюдения требований государственной тайны, сертификации ФСТЭК/ФСБ и использования защищённых информационных систем.</w:t>
      </w:r>
    </w:p>
    <w:p>
      <w:pPr>
        <w:spacing w:line="360" w:lineRule="auto" w:after="160"/>
        <w:ind w:firstLine="340"/>
        <w:jc w:val="both"/>
      </w:pPr>
      <w:r>
        <w:rPr>
          <w:rFonts w:ascii="Times New Roman" w:hAnsi="Times New Roman"/>
          <w:b w:val="0"/>
          <w:i w:val="0"/>
          <w:color w:val="1E293B"/>
          <w:sz w:val="22"/>
        </w:rPr>
        <w:t>Это создаёт двойственное требование к платформе ЦНТР: с одной стороны, она должна быть готова к работе с проектами ВПК-сектора (защищённый сегмент, возможно отдельная инфраструктура), с другой стороны — на начальном этапе MVP v2 и v3 должны работать только с гражданскими проектами для снижения сложности и стоимости запуска. ВПК-сегмент — отдельный кейс, рассматриваемый на Фазе 3 развития платформы, после сертификации базовой инфраструктуры.</w:t>
      </w:r>
    </w:p>
    <w:p>
      <w:pPr>
        <w:pStyle w:val="Heading2"/>
        <w:spacing w:before="400" w:after="160"/>
      </w:pPr>
      <w:r>
        <w:rPr>
          <w:rFonts w:ascii="Arial" w:hAnsi="Arial"/>
          <w:b/>
          <w:color w:val="0F172A"/>
          <w:sz w:val="30"/>
        </w:rPr>
        <w:t>3.2. Академическая и научная база</w:t>
      </w:r>
    </w:p>
    <w:p>
      <w:pPr>
        <w:spacing w:line="360" w:lineRule="auto" w:after="160"/>
        <w:ind w:firstLine="340"/>
        <w:jc w:val="both"/>
      </w:pPr>
      <w:r>
        <w:rPr>
          <w:rFonts w:ascii="Times New Roman" w:hAnsi="Times New Roman"/>
          <w:b w:val="0"/>
          <w:i w:val="0"/>
          <w:color w:val="1E293B"/>
          <w:sz w:val="22"/>
        </w:rPr>
        <w:t>В Удмуртии сформирована сильная академическая база, способная поставлять научные разработки для пайплайна ЦНТР. Ключевые ВУЗы: Ижевский государственный технический университет (ИжГТУ) — технические специальности, инженерное образование; Удмуртский государственный университет (УдГУ) — широкий профиль, гуманитарные и технические направления; Ижевская государственная сельскохозяйственная академия (ИжГСХА) — аграрные и биотехнологии. Научно-исследовательские институты: Удмуртский институт истории, языка и литературы УрО РАН; Институт прикладной механики УрО РАН; Удмуртский научно-исследовательский институт сельского хозяйства. Эти организации являются поставщиками научных идей (УГТ 1–3) и исполнителями НИР в проектах ЦНТР.</w:t>
      </w:r>
    </w:p>
    <w:p>
      <w:pPr>
        <w:pStyle w:val="Heading2"/>
        <w:spacing w:before="400" w:after="160"/>
      </w:pPr>
      <w:r>
        <w:rPr>
          <w:rFonts w:ascii="Arial" w:hAnsi="Arial"/>
          <w:b/>
          <w:color w:val="0F172A"/>
          <w:sz w:val="30"/>
        </w:rPr>
        <w:t>3.3. Государственная поддержка</w:t>
      </w:r>
    </w:p>
    <w:p>
      <w:pPr>
        <w:spacing w:line="360" w:lineRule="auto" w:after="160"/>
        <w:ind w:firstLine="340"/>
        <w:jc w:val="both"/>
      </w:pPr>
      <w:r>
        <w:rPr>
          <w:rFonts w:ascii="Times New Roman" w:hAnsi="Times New Roman"/>
          <w:b w:val="0"/>
          <w:i w:val="0"/>
          <w:color w:val="1E293B"/>
          <w:sz w:val="22"/>
        </w:rPr>
        <w:t>Правительство Удмуртской Республики активно поддерживает создание ЦНТР как инфраструктурного проекта, способствующего диверсификации региональной экономики и снижению зависимости от оборонного заказа. Ключевые ведомства-партнёры: Министерство финансов Удмуртской Республики (аудит контрольных точек, в частности КТ-1); Министерство образования и науки Удмуртской Республики (согласование грантовых заявок, поддержка ВУЗов); Министерство промышленности и торговли Удмуртской Республики (сопровождение производственных проектов); Фонд развития Удмуртской Республики (финансовое сопровождение проектов). Государственная поддержка критически важна для легитимности ЦНТР и доступа к бюджетным источникам финансирования проектов.</w:t>
      </w:r>
    </w:p>
    <w:p>
      <w:pPr>
        <w:pStyle w:val="Heading2"/>
        <w:spacing w:before="400" w:after="160"/>
      </w:pPr>
      <w:r>
        <w:rPr>
          <w:rFonts w:ascii="Arial" w:hAnsi="Arial"/>
          <w:b/>
          <w:color w:val="0F172A"/>
          <w:sz w:val="30"/>
        </w:rPr>
        <w:t>3.4. Региональные конкуренты и косвенные партнёры</w:t>
      </w:r>
    </w:p>
    <w:p>
      <w:pPr>
        <w:spacing w:line="360" w:lineRule="auto" w:after="160"/>
        <w:ind w:firstLine="340"/>
        <w:jc w:val="both"/>
      </w:pPr>
      <w:r>
        <w:rPr>
          <w:rFonts w:ascii="Times New Roman" w:hAnsi="Times New Roman"/>
          <w:b w:val="0"/>
          <w:i w:val="0"/>
          <w:color w:val="1E293B"/>
          <w:sz w:val="22"/>
        </w:rPr>
        <w:t>В Удмуртии действует GR-агентство «Сунцов и партнёры» (GPR Consulting, gprconsulting.ru), основатель которого Константин Сунцов — экс-первый вице-премьер Правительства Удмуртской Республики. GPR предоставляет 10 услуг по сопровождению бизнеса во взаимодействии с государством (от 12 до 500 тыс. ₽ за услугу). GPR не является прямым конкурентом ЦНТР (у них нет методологии ГОСТ 58048, нет управления НИОКР, нет инфраструктуры), но является косвенным конкурентом на GR-услуги и потенциальным партнёром для совместных продуктов. ЦНТР может покрыть все услуги GPR плюс добавить 4 уникальных контура: экспертиза УГТ, управление разработкой, IP-сопровождение, инфраструктура.</w:t>
      </w:r>
    </w:p>
    <w:p>
      <w:r>
        <w:br w:type="page"/>
      </w:r>
    </w:p>
    <w:p>
      <w:pPr>
        <w:pStyle w:val="Heading1"/>
        <w:spacing w:before="560" w:after="280"/>
        <w:pBdr>
          <w:bottom w:val="single" w:sz="8" w:space="4" w:color="2563EB"/>
        </w:pBdr>
      </w:pPr>
      <w:r>
        <w:rPr>
          <w:rFonts w:ascii="Arial" w:hAnsi="Arial"/>
          <w:b/>
          <w:color w:val="0F172A"/>
          <w:sz w:val="40"/>
        </w:rPr>
        <w:t>4. ГОСТ Р 58048-2017 — методологическая основа</w:t>
      </w:r>
    </w:p>
    <w:p>
      <w:pPr>
        <w:spacing w:line="360" w:lineRule="auto" w:after="160"/>
        <w:ind w:firstLine="340"/>
        <w:jc w:val="both"/>
      </w:pPr>
      <w:r>
        <w:rPr>
          <w:rFonts w:ascii="Times New Roman" w:hAnsi="Times New Roman"/>
          <w:b w:val="0"/>
          <w:i w:val="0"/>
          <w:color w:val="1E293B"/>
          <w:sz w:val="22"/>
        </w:rPr>
        <w:t>ГОСТ Р 58048-2017 — национальный стандарт Российской Федерации, определяющий уровни готовности технологий (УГТ) и методологию их оценки. Стандарт устанавливает 9 уровней готовности: от формулирования научной идеи (УГТ 1) до успешной эксплуатации реальной системы (УГТ 9). ЦНТР применяет эту методологию ко всем проектам, проходящим через Центр, что обеспечивает единый язык описания зрелости технологий между всеми участниками экосистемы и стандартизированный путь развития каждого проекта.</w:t>
      </w:r>
    </w:p>
    <w:p>
      <w:pPr>
        <w:pStyle w:val="Heading2"/>
        <w:spacing w:before="400" w:after="160"/>
      </w:pPr>
      <w:r>
        <w:rPr>
          <w:rFonts w:ascii="Arial" w:hAnsi="Arial"/>
          <w:b/>
          <w:color w:val="0F172A"/>
          <w:sz w:val="30"/>
        </w:rPr>
        <w:t>4.1. 9 уровней готовности технологии</w:t>
      </w:r>
    </w:p>
    <w:p>
      <w:pPr>
        <w:spacing w:line="360" w:lineRule="auto" w:after="160"/>
        <w:ind w:firstLine="340"/>
        <w:jc w:val="both"/>
      </w:pPr>
      <w:r>
        <w:rPr>
          <w:rFonts w:ascii="Times New Roman" w:hAnsi="Times New Roman"/>
          <w:b w:val="0"/>
          <w:i w:val="0"/>
          <w:color w:val="1E293B"/>
          <w:sz w:val="22"/>
        </w:rPr>
        <w:t>Каждый из 9 уровней готовности характеризуется конкретными требованиями, которые должны быть выполнены для перехода на следующий уровень, и результатами, которые демонстрируют достижение этого уровня. Полное описание уровней содержится в самом стандарте ГОСТ Р 58048-2017, ниже приведена краткая характеристика каждого уровня.</w:t>
      </w:r>
    </w:p>
    <w:tbl>
      <w:tblPr>
        <w:tblW w:type="auto" w:w="0"/>
        <w:jc w:val="center"/>
        <w:tblLook w:firstColumn="1" w:firstRow="1" w:lastColumn="0" w:lastRow="0" w:noHBand="0" w:noVBand="1" w:val="04A0"/>
      </w:tblPr>
      <w:tblGrid>
        <w:gridCol w:w="2339"/>
        <w:gridCol w:w="2339"/>
        <w:gridCol w:w="2339"/>
        <w:gridCol w:w="2339"/>
      </w:tblGrid>
      <w:tr>
        <w:tc>
          <w:tcPr>
            <w:tcW w:type="dxa" w:w="567"/>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УГТ</w:t>
            </w:r>
          </w:p>
        </w:tc>
        <w:tc>
          <w:tcPr>
            <w:tcW w:type="dxa" w:w="1984"/>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Название</w:t>
            </w:r>
          </w:p>
        </w:tc>
        <w:tc>
          <w:tcPr>
            <w:tcW w:type="dxa" w:w="3402"/>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Краткая характеристика</w:t>
            </w:r>
          </w:p>
        </w:tc>
        <w:tc>
          <w:tcPr>
            <w:tcW w:type="dxa" w:w="3118"/>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Что подтверждается</w:t>
            </w:r>
          </w:p>
        </w:tc>
      </w:tr>
      <w:tr>
        <w:tc>
          <w:tcPr>
            <w:tcW w:type="dxa" w:w="567"/>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1</w:t>
            </w:r>
          </w:p>
        </w:tc>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Базовые принципы</w:t>
            </w:r>
          </w:p>
        </w:tc>
        <w:tc>
          <w:tcPr>
            <w:tcW w:type="dxa" w:w="3402"/>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Основные принципы технологии изучены и опубликованы</w:t>
            </w:r>
          </w:p>
        </w:tc>
        <w:tc>
          <w:tcPr>
            <w:tcW w:type="dxa" w:w="3118"/>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Сформулирована идея, проведена оценка осуществимости</w:t>
            </w:r>
          </w:p>
        </w:tc>
      </w:tr>
      <w:tr>
        <w:tc>
          <w:tcPr>
            <w:tcW w:type="dxa" w:w="567"/>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2</w:t>
            </w:r>
          </w:p>
        </w:tc>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Технологическая концепция</w:t>
            </w:r>
          </w:p>
        </w:tc>
        <w:tc>
          <w:tcPr>
            <w:tcW w:type="dxa" w:w="3402"/>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Концепция технологии и/или её применения сформулированы</w:t>
            </w:r>
          </w:p>
        </w:tc>
        <w:tc>
          <w:tcPr>
            <w:tcW w:type="dxa" w:w="3118"/>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Формулировка идеи завершена, ТЗ в работе</w:t>
            </w:r>
          </w:p>
        </w:tc>
      </w:tr>
      <w:tr>
        <w:tc>
          <w:tcPr>
            <w:tcW w:type="dxa" w:w="567"/>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3</w:t>
            </w:r>
          </w:p>
        </w:tc>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Критические функции</w:t>
            </w:r>
          </w:p>
        </w:tc>
        <w:tc>
          <w:tcPr>
            <w:tcW w:type="dxa" w:w="3402"/>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Критические функции и/или характеристики подтверждены</w:t>
            </w:r>
          </w:p>
        </w:tc>
        <w:tc>
          <w:tcPr>
            <w:tcW w:type="dxa" w:w="3118"/>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Подтверждено на мелкомасштабных моделях в лаборатории</w:t>
            </w:r>
          </w:p>
        </w:tc>
      </w:tr>
      <w:tr>
        <w:tc>
          <w:tcPr>
            <w:tcW w:type="dxa" w:w="567"/>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4</w:t>
            </w:r>
          </w:p>
        </w:tc>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Лабораторная проверка</w:t>
            </w:r>
          </w:p>
        </w:tc>
        <w:tc>
          <w:tcPr>
            <w:tcW w:type="dxa" w:w="3402"/>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Компонент и/или макет испытаны в лабораторном окружении</w:t>
            </w:r>
          </w:p>
        </w:tc>
        <w:tc>
          <w:tcPr>
            <w:tcW w:type="dxa" w:w="3118"/>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Лабораторные испытания макета по утверждённой методике</w:t>
            </w:r>
          </w:p>
        </w:tc>
      </w:tr>
      <w:tr>
        <w:tc>
          <w:tcPr>
            <w:tcW w:type="dxa" w:w="567"/>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5</w:t>
            </w:r>
          </w:p>
        </w:tc>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Верификация в реальных условиях</w:t>
            </w:r>
          </w:p>
        </w:tc>
        <w:tc>
          <w:tcPr>
            <w:tcW w:type="dxa" w:w="3402"/>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Компонент и/или макет испытаны в окружении, близком к реальному</w:t>
            </w:r>
          </w:p>
        </w:tc>
        <w:tc>
          <w:tcPr>
            <w:tcW w:type="dxa" w:w="3118"/>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Полевые испытания макета, сбор телеметрии</w:t>
            </w:r>
          </w:p>
        </w:tc>
      </w:tr>
      <w:tr>
        <w:tc>
          <w:tcPr>
            <w:tcW w:type="dxa" w:w="567"/>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6</w:t>
            </w:r>
          </w:p>
        </w:tc>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Системный прототип</w:t>
            </w:r>
          </w:p>
        </w:tc>
        <w:tc>
          <w:tcPr>
            <w:tcW w:type="dxa" w:w="3402"/>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Модель системы/подсистемы продемонстрированы в релевантном окружении</w:t>
            </w:r>
          </w:p>
        </w:tc>
        <w:tc>
          <w:tcPr>
            <w:tcW w:type="dxa" w:w="3118"/>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Системный прототип в реальных условиях эксплуатации</w:t>
            </w:r>
          </w:p>
        </w:tc>
      </w:tr>
      <w:tr>
        <w:tc>
          <w:tcPr>
            <w:tcW w:type="dxa" w:w="567"/>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7</w:t>
            </w:r>
          </w:p>
        </w:tc>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Полевые испытания</w:t>
            </w:r>
          </w:p>
        </w:tc>
        <w:tc>
          <w:tcPr>
            <w:tcW w:type="dxa" w:w="3402"/>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Прототип системы продемонстрирован в условиях эксплуатации</w:t>
            </w:r>
          </w:p>
        </w:tc>
        <w:tc>
          <w:tcPr>
            <w:tcW w:type="dxa" w:w="3118"/>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Длительные эксплуатационные тесты прототипа</w:t>
            </w:r>
          </w:p>
        </w:tc>
      </w:tr>
      <w:tr>
        <w:tc>
          <w:tcPr>
            <w:tcW w:type="dxa" w:w="567"/>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8</w:t>
            </w:r>
          </w:p>
        </w:tc>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Завершение и квалификация</w:t>
            </w:r>
          </w:p>
        </w:tc>
        <w:tc>
          <w:tcPr>
            <w:tcW w:type="dxa" w:w="3402"/>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Реальная система завершена и квалифицирована</w:t>
            </w:r>
          </w:p>
        </w:tc>
        <w:tc>
          <w:tcPr>
            <w:tcW w:type="dxa" w:w="3118"/>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Квалификационные тесты по ГОСТ, подтверждение спецификации</w:t>
            </w:r>
          </w:p>
        </w:tc>
      </w:tr>
      <w:tr>
        <w:tc>
          <w:tcPr>
            <w:tcW w:type="dxa" w:w="567"/>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9</w:t>
            </w:r>
          </w:p>
        </w:tc>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Успешная эксплуатация</w:t>
            </w:r>
          </w:p>
        </w:tc>
        <w:tc>
          <w:tcPr>
            <w:tcW w:type="dxa" w:w="3402"/>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Реальная система подтверждена путём успешной эксплуатации</w:t>
            </w:r>
          </w:p>
        </w:tc>
        <w:tc>
          <w:tcPr>
            <w:tcW w:type="dxa" w:w="3118"/>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Реальные производственные тесты, серийная пригодность</w:t>
            </w:r>
          </w:p>
        </w:tc>
      </w:tr>
    </w:tbl>
    <w:p>
      <w:pPr>
        <w:pStyle w:val="Heading2"/>
        <w:spacing w:before="400" w:after="160"/>
      </w:pPr>
      <w:r>
        <w:rPr>
          <w:rFonts w:ascii="Arial" w:hAnsi="Arial"/>
          <w:b/>
          <w:color w:val="0F172A"/>
          <w:sz w:val="30"/>
        </w:rPr>
        <w:t>4.2. Связанные шкалы — УГП, УГИ, УГС</w:t>
      </w:r>
    </w:p>
    <w:p>
      <w:pPr>
        <w:spacing w:line="360" w:lineRule="auto" w:after="160"/>
        <w:ind w:firstLine="340"/>
        <w:jc w:val="both"/>
      </w:pPr>
      <w:r>
        <w:rPr>
          <w:rFonts w:ascii="Times New Roman" w:hAnsi="Times New Roman"/>
          <w:b w:val="0"/>
          <w:i w:val="0"/>
          <w:color w:val="1E293B"/>
          <w:sz w:val="22"/>
        </w:rPr>
        <w:t>Помимо шкалы УГТ (уровней готовности технологий), стандарт ГОСТ Р 58048-2017 определяет три дополнительные шкалы, которые также используются в методологии ЦНТР: УГП — уровни готовности продукции (описывает готовность продукта к производству и рынку); УГИ — уровни готовности испытаний (описывает зрелость испытательной инфраструктуры); УГС — уровни готовности системы (описывает зрелость системы в целом). Соответствие между шкалами УГТ и УГП является основой для планирования дорожной карты проекта — каждая технология должна пройти путь от УГТ 1 до УГТ 9 параллельно с развитием соответствующих УГП, УГИ, УГС.</w:t>
      </w:r>
    </w:p>
    <w:p>
      <w:pPr>
        <w:pStyle w:val="Heading2"/>
        <w:spacing w:before="400" w:after="160"/>
      </w:pPr>
      <w:r>
        <w:rPr>
          <w:rFonts w:ascii="Arial" w:hAnsi="Arial"/>
          <w:b/>
          <w:color w:val="0F172A"/>
          <w:sz w:val="30"/>
        </w:rPr>
        <w:t>4.3. Двухуровневая верификация</w:t>
      </w:r>
    </w:p>
    <w:p>
      <w:pPr>
        <w:spacing w:line="360" w:lineRule="auto" w:after="160"/>
        <w:ind w:firstLine="340"/>
        <w:jc w:val="both"/>
      </w:pPr>
      <w:r>
        <w:rPr>
          <w:rFonts w:ascii="Times New Roman" w:hAnsi="Times New Roman"/>
          <w:b w:val="0"/>
          <w:i w:val="0"/>
          <w:color w:val="1E293B"/>
          <w:sz w:val="22"/>
        </w:rPr>
        <w:t>Методология ЦНТР предусматривает двухуровневую систему верификации уровней готовности: (1) самооценка на каждом уровне УГТ силами участников проекта и менеджеров ЦНТР; (2) внешний аудит на 4 ключевых контрольных точках (КТ-1…КТ-4) силами независимых экспертов или аудиторов Минфина Удмуртской Республики. Самооценка проводится непрерывно и фиксирует прогресс; внешний аудит проводится формально и принимает решение go/no-go о переходе на следующий этап. В финальной модели Блоков 1 и 2 явно реализован только КТ-1 (верификация УГТ 3), остальные контрольные точки могут быть пересмотрены.</w:t>
      </w:r>
    </w:p>
    <w:tbl>
      <w:tblPr>
        <w:tblW w:type="auto" w:w="0"/>
        <w:jc w:val="center"/>
        <w:tblLook w:firstColumn="1" w:firstRow="1" w:lastColumn="0" w:lastRow="0" w:noHBand="0" w:noVBand="1" w:val="04A0"/>
      </w:tblPr>
      <w:tblGrid>
        <w:gridCol w:w="9355"/>
      </w:tblGrid>
      <w:tr>
        <w:tc>
          <w:tcPr>
            <w:tcW w:type="dxa" w:w="9071"/>
            <w:shd w:fill="FEF3C7"/>
            <w:tcBorders>
              <w:top w:val="single" w:sz="8" w:color="D97706"/>
              <w:left w:val="single" w:sz="8" w:color="D97706"/>
              <w:bottom w:val="single" w:sz="8" w:color="D97706"/>
              <w:right w:val="single" w:sz="8" w:color="D97706"/>
            </w:tcBorders>
          </w:tcPr>
          <w:p>
            <w:pPr>
              <w:spacing w:before="160" w:after="80"/>
            </w:pPr>
            <w:r/>
            <w:r>
              <w:rPr>
                <w:rFonts w:ascii="Arial" w:hAnsi="Arial"/>
                <w:b/>
                <w:color w:val="78350F"/>
                <w:sz w:val="24"/>
              </w:rPr>
              <w:t>Важное замечание для агента-планировщика</w:t>
            </w:r>
          </w:p>
          <w:p>
            <w:pPr>
              <w:spacing w:before="40" w:after="160" w:line="336" w:lineRule="auto"/>
            </w:pPr>
            <w:r>
              <w:rPr>
                <w:rFonts w:ascii="Times New Roman" w:hAnsi="Times New Roman"/>
                <w:color w:val="1E293B"/>
                <w:sz w:val="21"/>
              </w:rPr>
              <w:t>Методология ГОСТ Р 58048-2017 — это не формальность, а методологическое ядро ЦНТР. Цифровая платформа должна не просто «учитывать» УГТ, а быть построенной вокруг этой шкалы: дашборд проекта визуализирует прогресс по УГТ 1–9, документооборот генерирует документы для каждого УГТ, верификация проводится в контрольных точках, AI-ассистент консультирует по требованиям конкретного УГТ. Архитектура платформы должна быть УГТ-центричной.</w:t>
            </w:r>
          </w:p>
        </w:tc>
      </w:tr>
    </w:tbl>
    <w:p/>
    <w:p>
      <w:r>
        <w:br w:type="page"/>
      </w:r>
    </w:p>
    <w:p>
      <w:r>
        <w:br w:type="page"/>
      </w:r>
    </w:p>
    <w:p/>
    <w:p/>
    <w:p/>
    <w:p>
      <w:pPr>
        <w:jc w:val="center"/>
      </w:pPr>
      <w:r>
        <w:rPr>
          <w:rFonts w:ascii="Arial" w:hAnsi="Arial"/>
          <w:b/>
          <w:color w:val="2563EB"/>
          <w:sz w:val="28"/>
        </w:rPr>
        <w:t>ЧАСТЬ II</w:t>
      </w:r>
    </w:p>
    <w:p>
      <w:pPr>
        <w:jc w:val="center"/>
      </w:pPr>
      <w:r>
        <w:rPr>
          <w:rFonts w:ascii="Arial" w:hAnsi="Arial"/>
          <w:b/>
          <w:color w:val="0F172A"/>
          <w:sz w:val="48"/>
        </w:rPr>
        <w:t>Пайплайн работы Центра</w:t>
      </w:r>
    </w:p>
    <w:p>
      <w:pPr>
        <w:spacing w:before="400"/>
        <w:jc w:val="center"/>
      </w:pPr>
      <w:r>
        <w:rPr>
          <w:rFonts w:ascii="Arial" w:hAnsi="Arial"/>
          <w:color w:val="2563EB"/>
          <w:sz w:val="28"/>
        </w:rPr>
        <w:t>◆ ◆ ◆</w:t>
      </w:r>
    </w:p>
    <w:p>
      <w:r>
        <w:br w:type="page"/>
      </w:r>
    </w:p>
    <w:p>
      <w:pPr>
        <w:pStyle w:val="Heading1"/>
        <w:spacing w:before="560" w:after="280"/>
        <w:pBdr>
          <w:bottom w:val="single" w:sz="8" w:space="4" w:color="2563EB"/>
        </w:pBdr>
      </w:pPr>
      <w:r>
        <w:rPr>
          <w:rFonts w:ascii="Arial" w:hAnsi="Arial"/>
          <w:b/>
          <w:color w:val="0F172A"/>
          <w:sz w:val="40"/>
        </w:rPr>
        <w:t>5. Блок 1 — Доведение до соглашения о сотрудничестве</w:t>
      </w:r>
    </w:p>
    <w:p>
      <w:pPr>
        <w:spacing w:line="360" w:lineRule="auto" w:after="160"/>
        <w:ind w:firstLine="340"/>
        <w:jc w:val="both"/>
      </w:pPr>
      <w:r>
        <w:rPr>
          <w:rFonts w:ascii="Times New Roman" w:hAnsi="Times New Roman"/>
          <w:b w:val="0"/>
          <w:i w:val="0"/>
          <w:color w:val="1E293B"/>
          <w:sz w:val="22"/>
        </w:rPr>
        <w:t>Блок 1 — первая часть пайплайна ЦНТР, охватывающая 7 этапов от первичной встречи с Государственной компанией до подписания внутреннего договора центра о проектной деятельности. На этом блоке Центр работает преимущественно как модератор и методолог, обеспечивая формирование качественного технического задания, дорожной карты проекта, паспорта проекта и технико-экономического обоснования. Блок 1 проводится бесплатно для участников — это инвестиция Центра в формирование качественного пайплайна проектов, которые затем перейдут на платный Блок 2.</w:t>
      </w:r>
    </w:p>
    <w:p>
      <w:pPr>
        <w:spacing w:line="360" w:lineRule="auto" w:after="160"/>
        <w:ind w:firstLine="340"/>
        <w:jc w:val="both"/>
      </w:pPr>
      <w:r>
        <w:rPr>
          <w:rFonts w:ascii="Times New Roman" w:hAnsi="Times New Roman"/>
          <w:b w:val="0"/>
          <w:i w:val="0"/>
          <w:color w:val="1E293B"/>
          <w:sz w:val="22"/>
        </w:rPr>
        <w:t>Главный результат Блока 1 — подписанный внутренний договор центра о проектной деятельности, который фиксирует участников проекта, их обязательства, распределение интеллектуальной собственности (включая ИП-триггер), бюджет и план работ на Блок 2. Без этого договора проект не переходит на этап разработки. По завершении Блока 1 проект находится на уровне готовности УГТ 3 — подтверждено на мелкомасштабных моделях, готово к переходу в активную фазу разработки.</w:t>
      </w:r>
    </w:p>
    <w:p>
      <w:pPr>
        <w:pStyle w:val="Heading2"/>
        <w:spacing w:before="400" w:after="160"/>
      </w:pPr>
      <w:r>
        <w:rPr>
          <w:rFonts w:ascii="Arial" w:hAnsi="Arial"/>
          <w:b/>
          <w:color w:val="0F172A"/>
          <w:sz w:val="30"/>
        </w:rPr>
        <w:t>Этап 1. Встреча с ГосКомпанией</w:t>
      </w:r>
    </w:p>
    <w:p>
      <w:pPr>
        <w:spacing w:line="360" w:lineRule="auto" w:after="160"/>
        <w:ind w:firstLine="340"/>
        <w:jc w:val="both"/>
      </w:pPr>
      <w:r>
        <w:rPr>
          <w:rFonts w:ascii="Times New Roman" w:hAnsi="Times New Roman"/>
          <w:b w:val="0"/>
          <w:i w:val="0"/>
          <w:color w:val="1E293B"/>
          <w:sz w:val="22"/>
        </w:rPr>
        <w:t>На первом этапе происходит первичная встреча представителей ЦНТР с представителями Государственной компании — потенциального заказчика разработки. Цель встречи — определить необходимые компетенции для выполнения заказа: какие технологические задачи ставит ГосКомпания, какие требования предъявляются к исполнителям, какие сроки и бюджет рассматриваются. На этом этапе формируется первичное понимание проекта, но технические детали ещё не определены.</w:t>
      </w:r>
    </w:p>
    <w:p>
      <w:pPr>
        <w:spacing w:line="360" w:lineRule="auto" w:after="160"/>
        <w:ind w:firstLine="340"/>
        <w:jc w:val="both"/>
      </w:pPr>
      <w:r>
        <w:rPr>
          <w:rFonts w:ascii="Times New Roman" w:hAnsi="Times New Roman"/>
          <w:b w:val="0"/>
          <w:i w:val="0"/>
          <w:color w:val="1E293B"/>
          <w:sz w:val="22"/>
        </w:rPr>
        <w:t>Документ: «Договор о намерениях + список компетенций» — фиксирует первичную договорённость о сотрудничестве и перечень компетенций, которые ЦНТР будет искать у исполнителей. Также на этом этапе определяется источник финансирования ранних стадий (Pre-seed): аванс Центра, микрогранты ФАСИЕ, или собственные средства ГосКомпании. По завершении этапа проект достигает УГТ 1 — идея сформулирована, проведена оценка осуществимости.</w:t>
      </w:r>
    </w:p>
    <w:p>
      <w:pPr>
        <w:pStyle w:val="Heading2"/>
        <w:spacing w:before="400" w:after="160"/>
      </w:pPr>
      <w:r>
        <w:rPr>
          <w:rFonts w:ascii="Arial" w:hAnsi="Arial"/>
          <w:b/>
          <w:color w:val="0F172A"/>
          <w:sz w:val="30"/>
        </w:rPr>
        <w:t>Этап 2. Сбор группы экспертов для ТЗ</w:t>
      </w:r>
    </w:p>
    <w:p>
      <w:pPr>
        <w:spacing w:line="360" w:lineRule="auto" w:after="160"/>
        <w:ind w:firstLine="340"/>
        <w:jc w:val="both"/>
      </w:pPr>
      <w:r>
        <w:rPr>
          <w:rFonts w:ascii="Times New Roman" w:hAnsi="Times New Roman"/>
          <w:b w:val="0"/>
          <w:i w:val="0"/>
          <w:color w:val="1E293B"/>
          <w:sz w:val="22"/>
        </w:rPr>
        <w:t>На втором этапе ЦНТР привлекает экспертов для формирования рабочей группы, которая будет разрабатывать техническое задание. Эксперты набираются из трёх источников: ВУЗов и СУЗов Удмуртской Республики (научная экспертиза), компаний-промышленников (производственная экспертиза), исследовательских коллективов (технологическая экспертиза). Параллельно структурируются 5 источников финансирования ранних стадий: Центр, ГосКомпания, ВУЗ, гранты ФАСИЕ, субсидии государства.</w:t>
      </w:r>
    </w:p>
    <w:p>
      <w:pPr>
        <w:spacing w:line="360" w:lineRule="auto" w:after="160"/>
        <w:ind w:firstLine="340"/>
        <w:jc w:val="both"/>
      </w:pPr>
      <w:r>
        <w:rPr>
          <w:rFonts w:ascii="Times New Roman" w:hAnsi="Times New Roman"/>
          <w:b w:val="0"/>
          <w:i w:val="0"/>
          <w:color w:val="1E293B"/>
          <w:sz w:val="22"/>
        </w:rPr>
        <w:t>Документ: «Протокол утверждения экспертной группы» — фиксирует состав экспертов, их компетенции, распределение ролей в разработке ТЗ. На этом этапе проводится скрининг организаций-исполнителей по критериям ЦНТР (Категория 2 «Научные организации» — ВУЗы и НИИ; Категория R&amp;D-стартапы; Категория серийных производителей). Скрининг включает самооценку организации по чек-листу и внешнюю экспертизу силами ЦНТР.</w:t>
      </w:r>
    </w:p>
    <w:p>
      <w:pPr>
        <w:pStyle w:val="Heading2"/>
        <w:spacing w:before="400" w:after="160"/>
      </w:pPr>
      <w:r>
        <w:rPr>
          <w:rFonts w:ascii="Arial" w:hAnsi="Arial"/>
          <w:b/>
          <w:color w:val="0F172A"/>
          <w:sz w:val="30"/>
        </w:rPr>
        <w:t>Этап 3. Составление ТЗ + Маркетинг</w:t>
      </w:r>
    </w:p>
    <w:p>
      <w:pPr>
        <w:spacing w:line="360" w:lineRule="auto" w:after="160"/>
        <w:ind w:firstLine="340"/>
        <w:jc w:val="both"/>
      </w:pPr>
      <w:r>
        <w:rPr>
          <w:rFonts w:ascii="Times New Roman" w:hAnsi="Times New Roman"/>
          <w:b w:val="0"/>
          <w:i w:val="0"/>
          <w:color w:val="1E293B"/>
          <w:sz w:val="22"/>
        </w:rPr>
        <w:t>Третий этап — ключевой с точки зрения качества всего проекта. На нём формируется техническое задание (ТЗ) на основе потребностей ГосКомпании, проводится маркетинговое исследование рынка, анализ конкурентов и импортозамещения. Этап включает два подэтапа: 3.1 — составление ТЗ с согласованием с ГосКомпанией (при неутверждении — возврат на предыдущий этап для корректировки состава экспертов или дополнительных консультаций); 3.2 — маркетинговое исследование (анализ рынка, конкурентов, импортозамещения).</w:t>
      </w:r>
    </w:p>
    <w:p>
      <w:pPr>
        <w:spacing w:line="360" w:lineRule="auto" w:after="160"/>
        <w:ind w:firstLine="340"/>
        <w:jc w:val="both"/>
      </w:pPr>
      <w:r>
        <w:rPr>
          <w:rFonts w:ascii="Times New Roman" w:hAnsi="Times New Roman"/>
          <w:b w:val="0"/>
          <w:i w:val="0"/>
          <w:color w:val="1E293B"/>
          <w:sz w:val="22"/>
        </w:rPr>
        <w:t>Документ: «Техническое задание + Отчёт маркетингового исследования» — основной документ, на основе которого будет вестись разработка. По завершении этапа проект достигает УГТ 1–2 — формулировка идеи завершена, ТЗ в работе. Это критическая точка: если ГосКомпания не утверждает ТЗ, проект может быть приостановлен или возвращён на доработку. На этом этапе важно обеспечить качественную верификацию: соответствие ТЗ реальным потребностям, адекватность маркетинговых прогнозов, реалистичность технических требований.</w:t>
      </w:r>
    </w:p>
    <w:p>
      <w:pPr>
        <w:pStyle w:val="Heading2"/>
        <w:spacing w:before="400" w:after="160"/>
      </w:pPr>
      <w:r>
        <w:rPr>
          <w:rFonts w:ascii="Arial" w:hAnsi="Arial"/>
          <w:b/>
          <w:color w:val="0F172A"/>
          <w:sz w:val="30"/>
        </w:rPr>
        <w:t>Этап 4. Согласование ТЗ + Дорожная карта</w:t>
      </w:r>
    </w:p>
    <w:p>
      <w:pPr>
        <w:spacing w:line="360" w:lineRule="auto" w:after="160"/>
        <w:ind w:firstLine="340"/>
        <w:jc w:val="both"/>
      </w:pPr>
      <w:r>
        <w:rPr>
          <w:rFonts w:ascii="Times New Roman" w:hAnsi="Times New Roman"/>
          <w:b w:val="0"/>
          <w:i w:val="0"/>
          <w:color w:val="1E293B"/>
          <w:sz w:val="22"/>
        </w:rPr>
        <w:t>Четвёртый этап — формальное утверждение ТЗ подписью ГосКомпании и разработка дорожной карты проекта по ГОСТ Р 58048-2017. Дорожная карта включает матрицу переходов между УГТ, ключевые этапы тестирования (КЭТ), оценку рисков и план митигации. Этап включает два подэтапа: 4.1 — согласование ТЗ с ГосКомпанией, утверждение подписью (без утверждения — возврат на Этап 3); 4.2 — дорожная карта проекта (матрица переходов УГТ, КЭТ, риски).</w:t>
      </w:r>
    </w:p>
    <w:p>
      <w:pPr>
        <w:spacing w:line="360" w:lineRule="auto" w:after="160"/>
        <w:ind w:firstLine="340"/>
        <w:jc w:val="both"/>
      </w:pPr>
      <w:r>
        <w:rPr>
          <w:rFonts w:ascii="Times New Roman" w:hAnsi="Times New Roman"/>
          <w:b w:val="0"/>
          <w:i w:val="0"/>
          <w:color w:val="1E293B"/>
          <w:sz w:val="22"/>
        </w:rPr>
        <w:t>Документ: «Утверждённое ТЗ (с подписью ГосКомпании) + Дорожная карта проекта» — юридически значимое оформление проектного решения. Дорожная карта становится навигационным документом для всего Блока 2: на её основе ЦНТР будет отслеживать прогресс проекта, принимать решения о переходе между УГТ, оценивать соответствие фактического хода работ запланированному. Это критически важный документ для дашборда проекта в цифровой платформе.</w:t>
      </w:r>
    </w:p>
    <w:p>
      <w:pPr>
        <w:pStyle w:val="Heading2"/>
        <w:spacing w:before="400" w:after="160"/>
      </w:pPr>
      <w:r>
        <w:rPr>
          <w:rFonts w:ascii="Arial" w:hAnsi="Arial"/>
          <w:b/>
          <w:color w:val="0F172A"/>
          <w:sz w:val="30"/>
        </w:rPr>
        <w:t>Этап 5. Сбор группы + Паспорт + Обоснование</w:t>
      </w:r>
    </w:p>
    <w:p>
      <w:pPr>
        <w:spacing w:line="360" w:lineRule="auto" w:after="160"/>
        <w:ind w:firstLine="340"/>
        <w:jc w:val="both"/>
      </w:pPr>
      <w:r>
        <w:rPr>
          <w:rFonts w:ascii="Times New Roman" w:hAnsi="Times New Roman"/>
          <w:b w:val="0"/>
          <w:i w:val="0"/>
          <w:color w:val="1E293B"/>
          <w:sz w:val="22"/>
        </w:rPr>
        <w:t>Пятый этап — формирование производственной группы (исполнителей), паспорта проекта и технико-экономического обоснования (ТЭО). На этом этапе ЦНТР проводит активный поиск исполнителей среди R&amp;D-стартапов, научных организаций и серийных производителей, удовлетворяющих критериям отбора и согласованному ТЗ. Этап включает три подэтапа: 5.1 — поиск исполнителей (R&amp;D для УГТ 3–6, научные организации для УГТ 3–7, серийные производители для УГТ 7–9); 5.2 — формирование паспорта проекта со списком участников; 5.3 — документ об обосновании (ТЭО), подтверждаемый УГТ 3.</w:t>
      </w:r>
    </w:p>
    <w:p>
      <w:pPr>
        <w:spacing w:line="360" w:lineRule="auto" w:after="160"/>
        <w:ind w:firstLine="340"/>
        <w:jc w:val="both"/>
      </w:pPr>
      <w:r>
        <w:rPr>
          <w:rFonts w:ascii="Times New Roman" w:hAnsi="Times New Roman"/>
          <w:b w:val="0"/>
          <w:i w:val="0"/>
          <w:color w:val="1E293B"/>
          <w:sz w:val="22"/>
        </w:rPr>
        <w:t>Документ: «Паспорт проекта + ТЭО (технико-экономическое обоснование)» — комплексный документ, описывающий состав участников, их компетенции, бюджет проекта, источники финансирования, обоснование технико-экономической целесообразности. По завершении этапа проект достигает УГТ 3 — подтверждено на мелкомасштабных моделях в лаборатории. На этом этапе проводится КТ-1 — контрольная точка с решением go/no-go о переходе к Блоку 2.</w:t>
      </w:r>
    </w:p>
    <w:tbl>
      <w:tblPr>
        <w:tblW w:type="auto" w:w="0"/>
        <w:jc w:val="center"/>
        <w:tblLook w:firstColumn="1" w:firstRow="1" w:lastColumn="0" w:lastRow="0" w:noHBand="0" w:noVBand="1" w:val="04A0"/>
      </w:tblPr>
      <w:tblGrid>
        <w:gridCol w:w="9355"/>
      </w:tblGrid>
      <w:tr>
        <w:tc>
          <w:tcPr>
            <w:tcW w:type="dxa" w:w="9071"/>
            <w:shd w:fill="FEF3C7"/>
            <w:tcBorders>
              <w:top w:val="single" w:sz="8" w:color="D97706"/>
              <w:left w:val="single" w:sz="8" w:color="D97706"/>
              <w:bottom w:val="single" w:sz="8" w:color="D97706"/>
              <w:right w:val="single" w:sz="8" w:color="D97706"/>
            </w:tcBorders>
          </w:tcPr>
          <w:p>
            <w:pPr>
              <w:spacing w:before="160" w:after="80"/>
            </w:pPr>
            <w:r/>
            <w:r>
              <w:rPr>
                <w:rFonts w:ascii="Arial" w:hAnsi="Arial"/>
                <w:b/>
                <w:color w:val="78350F"/>
                <w:sz w:val="24"/>
              </w:rPr>
              <w:t>КТ-1 — главная контрольная точка</w:t>
            </w:r>
          </w:p>
          <w:p>
            <w:pPr>
              <w:spacing w:before="40" w:after="160" w:line="336" w:lineRule="auto"/>
            </w:pPr>
            <w:r>
              <w:rPr>
                <w:rFonts w:ascii="Times New Roman" w:hAnsi="Times New Roman"/>
                <w:color w:val="1E293B"/>
                <w:sz w:val="21"/>
              </w:rPr>
              <w:t>КТ-1 (верификация УГТ 3) — формальный ревью внешним аудитором (Минфин Удмуртской Республики или независимый аудитор) с решением go/no-go. Это единственная явно реализованная контрольная точка в финальной модели Блоков 1 и 2. КТ-2, КТ-3, КТ-4 упоминаются в ранних документах, но в финальной модели могут быть пересмотрены. Цифровая платформа должна быть архитектурно готова к 4 контрольным точкам, даже если в MVP v2 реализован только КТ-1.</w:t>
            </w:r>
          </w:p>
        </w:tc>
      </w:tr>
    </w:tbl>
    <w:p/>
    <w:p>
      <w:pPr>
        <w:pStyle w:val="Heading2"/>
        <w:spacing w:before="400" w:after="160"/>
      </w:pPr>
      <w:r>
        <w:rPr>
          <w:rFonts w:ascii="Arial" w:hAnsi="Arial"/>
          <w:b/>
          <w:color w:val="0F172A"/>
          <w:sz w:val="30"/>
        </w:rPr>
        <w:t>Этап 6. Поиск финансирования</w:t>
      </w:r>
    </w:p>
    <w:p>
      <w:pPr>
        <w:spacing w:line="360" w:lineRule="auto" w:after="160"/>
        <w:ind w:firstLine="340"/>
        <w:jc w:val="both"/>
      </w:pPr>
      <w:r>
        <w:rPr>
          <w:rFonts w:ascii="Times New Roman" w:hAnsi="Times New Roman"/>
          <w:b w:val="0"/>
          <w:i w:val="0"/>
          <w:color w:val="1E293B"/>
          <w:sz w:val="22"/>
        </w:rPr>
        <w:t>Шестой этап — структурирование и привлечение финансирования для реализации проекта на Блоке 2. На этом этапе ЦНТР активирует все 7 источников финансирования: собственные средства Центра, средства ГосКомпании-заказчика, средства компании-исполнителя, средства университета-партнёра, грантовые средства (ФАСИЕ, Минобрнауки, Минпромторга), субсидии от государства, внешние частные инвесторы. Параллельно готовится инвестиционный меморандум для внешних инвесторов.</w:t>
      </w:r>
    </w:p>
    <w:p>
      <w:pPr>
        <w:spacing w:line="360" w:lineRule="auto" w:after="160"/>
        <w:ind w:firstLine="340"/>
        <w:jc w:val="both"/>
      </w:pPr>
      <w:r>
        <w:rPr>
          <w:rFonts w:ascii="Times New Roman" w:hAnsi="Times New Roman"/>
          <w:b w:val="0"/>
          <w:i w:val="0"/>
          <w:color w:val="1E293B"/>
          <w:sz w:val="22"/>
        </w:rPr>
        <w:t>Документ: «Инвестиционный меморандум / Протокол утверждения бюджета» — фиксирует структуру финансирования проекта, доли каждого источника, условия выделения средств, график платежей. Этот документ критически важен для финансового модуля цифровой платформы: на его основе будет вестись учёт поступлений и расходов, контроль соответствия факта плану, формирование отчётности для стейкхолдеров.</w:t>
      </w:r>
    </w:p>
    <w:p>
      <w:pPr>
        <w:pStyle w:val="Heading2"/>
        <w:spacing w:before="400" w:after="160"/>
      </w:pPr>
      <w:r>
        <w:rPr>
          <w:rFonts w:ascii="Arial" w:hAnsi="Arial"/>
          <w:b/>
          <w:color w:val="0F172A"/>
          <w:sz w:val="30"/>
        </w:rPr>
        <w:t>Этап 7. Внутренний договор центра</w:t>
      </w:r>
    </w:p>
    <w:p>
      <w:pPr>
        <w:spacing w:line="360" w:lineRule="auto" w:after="160"/>
        <w:ind w:firstLine="340"/>
        <w:jc w:val="both"/>
      </w:pPr>
      <w:r>
        <w:rPr>
          <w:rFonts w:ascii="Times New Roman" w:hAnsi="Times New Roman"/>
          <w:b w:val="0"/>
          <w:i w:val="0"/>
          <w:color w:val="1E293B"/>
          <w:sz w:val="22"/>
        </w:rPr>
        <w:t>Седьмой, заключительный этап Блока 1 — подписание внутреннего договора центра о старте разработки продукта (о проектной деятельности). Этот договор — не гражданско-правовой договор, а внутренний административный акт Центра, фиксирующий старт проектной деятельности. Договор включает соглашение о научно-исследовательских работах (НИРах) и Патентах с ключевым условием — ИП-триггером: при непрохождении R&amp;D-исполнителя на УГТ 7 автоматически включается лицензия конструкторской документации (КД) Серийному производителю.</w:t>
      </w:r>
    </w:p>
    <w:p>
      <w:pPr>
        <w:spacing w:line="360" w:lineRule="auto" w:after="160"/>
        <w:ind w:firstLine="340"/>
        <w:jc w:val="both"/>
      </w:pPr>
      <w:r>
        <w:rPr>
          <w:rFonts w:ascii="Times New Roman" w:hAnsi="Times New Roman"/>
          <w:b w:val="0"/>
          <w:i w:val="0"/>
          <w:color w:val="1E293B"/>
          <w:sz w:val="22"/>
        </w:rPr>
        <w:t>Документ: «Внутренний договор центра о старте разработки продукта / о проектной деятельности» — главный юридический документ, открывающий Блок 2. ИП-триггер — уникальная страховка ЦНТР, отсутствующая у конкурентов (ФАСИЕ, АТР, GPR Consulting), которая защищает ГосКомпанию-заказчика от риска провала R&amp;D-исполнителя. По завершении этого этапа проект официально переходит на Блок 2 — этап разработки.</w:t>
      </w:r>
    </w:p>
    <w:p>
      <w:r>
        <w:br w:type="page"/>
      </w:r>
    </w:p>
    <w:p>
      <w:pPr>
        <w:pStyle w:val="Heading1"/>
        <w:spacing w:before="560" w:after="280"/>
        <w:pBdr>
          <w:bottom w:val="single" w:sz="8" w:space="4" w:color="2563EB"/>
        </w:pBdr>
      </w:pPr>
      <w:r>
        <w:rPr>
          <w:rFonts w:ascii="Arial" w:hAnsi="Arial"/>
          <w:b/>
          <w:color w:val="0F172A"/>
          <w:sz w:val="40"/>
        </w:rPr>
        <w:t>6. Блок 2 — Этап разработки</w:t>
      </w:r>
    </w:p>
    <w:p>
      <w:pPr>
        <w:spacing w:line="360" w:lineRule="auto" w:after="160"/>
        <w:ind w:firstLine="340"/>
        <w:jc w:val="both"/>
      </w:pPr>
      <w:r>
        <w:rPr>
          <w:rFonts w:ascii="Times New Roman" w:hAnsi="Times New Roman"/>
          <w:b w:val="0"/>
          <w:i w:val="0"/>
          <w:color w:val="1E293B"/>
          <w:sz w:val="22"/>
        </w:rPr>
        <w:t>Блок 2 — вторая часть пайплайна ЦНТР, охватывающая 8 элементов от старта разработки (УГТ 3) до финальной приёмки и отчётности по выручке через 3 года. Этот блок Центр ведёт за дополнительную плату — он является основной статьёй выручки ЦНТР (3–15 млн ₽ за полный проект). На этом блоке Центр выступает уже не модератором, а оператором: ведёт проект через все уровни готовности, обеспечивает испытания, верификацию, доработки, приёмку и пост-проектную отчётность.</w:t>
      </w:r>
    </w:p>
    <w:p>
      <w:pPr>
        <w:spacing w:line="360" w:lineRule="auto" w:after="160"/>
        <w:ind w:firstLine="340"/>
        <w:jc w:val="both"/>
      </w:pPr>
      <w:r>
        <w:rPr>
          <w:rFonts w:ascii="Times New Roman" w:hAnsi="Times New Roman"/>
          <w:b w:val="0"/>
          <w:i w:val="0"/>
          <w:color w:val="1E293B"/>
          <w:sz w:val="22"/>
        </w:rPr>
        <w:t>Главный результат Блока 2 — подписанный Акт приёма-передачи технологии в серийное производство, фиксирующий завершение разработки и передачу технологии серийному производителю. После этого начинается финальный элемент — отчётность через 3 года по выручке от реализованной продукции, которая подтверждает коммерческий успех разработки. Блок 2 — самый длинный и ресурсоёмкий этап пайплайна, требующий глубокой экспертизы ЦНТР в управлении НИОКР.</w:t>
      </w:r>
    </w:p>
    <w:p>
      <w:pPr>
        <w:pStyle w:val="Heading2"/>
        <w:spacing w:before="400" w:after="160"/>
      </w:pPr>
      <w:r>
        <w:rPr>
          <w:rFonts w:ascii="Arial" w:hAnsi="Arial"/>
          <w:b/>
          <w:color w:val="0F172A"/>
          <w:sz w:val="30"/>
        </w:rPr>
        <w:t>Элемент 1. Старт разработки (УГТ 3)</w:t>
      </w:r>
    </w:p>
    <w:p>
      <w:pPr>
        <w:spacing w:line="360" w:lineRule="auto" w:after="160"/>
        <w:ind w:firstLine="340"/>
        <w:jc w:val="both"/>
      </w:pPr>
      <w:r>
        <w:rPr>
          <w:rFonts w:ascii="Times New Roman" w:hAnsi="Times New Roman"/>
          <w:b w:val="0"/>
          <w:i w:val="0"/>
          <w:color w:val="1E293B"/>
          <w:sz w:val="22"/>
        </w:rPr>
        <w:t>Первый элемент Блока 2 — старт разработки. На этом этапе происходит передача утверждённого технического задания всем участникам рабочей группы (исполнителям, экспертам, менеджерам ЦНТР) и формальный запуск работ по переходу от УГТ 3 к УГТ 4. По завершении этого элемента участники получают доступ к полному пакету документов проекта (ТЗ, Дорожная карта, Паспорт, ТЭО, Внутренний договор) и начинают активную работу. Этот элемент — переходный от Блока 1 к Блоку 2, фиксирует смену режима работы от модерации к операционному управлению.</w:t>
      </w:r>
    </w:p>
    <w:p>
      <w:pPr>
        <w:spacing w:line="360" w:lineRule="auto" w:after="160"/>
        <w:ind w:firstLine="340"/>
        <w:jc w:val="both"/>
      </w:pPr>
      <w:r>
        <w:rPr>
          <w:rFonts w:ascii="Times New Roman" w:hAnsi="Times New Roman"/>
          <w:b w:val="0"/>
          <w:i w:val="0"/>
          <w:color w:val="1E293B"/>
          <w:sz w:val="22"/>
        </w:rPr>
        <w:t>УГТ-метка: «УГТ 3 — старт разработки» — подтверждено на мелкомасштабных моделях в лаборатории (стартовая точка разработки, подтверждена на Блоке 1). Подэтапы: 1.1 — передача утверждённого ТЗ всем участникам рабочей группы; 1.2 — запуск работ по переходу от УГТ 3 к УГТ 4. На этом этапе ЦНТР выдаёт исполнителям первое Мини-ТЗ — детализированное задание на первый этап разработки.</w:t>
      </w:r>
    </w:p>
    <w:p>
      <w:pPr>
        <w:pStyle w:val="Heading2"/>
        <w:spacing w:before="400" w:after="160"/>
      </w:pPr>
      <w:r>
        <w:rPr>
          <w:rFonts w:ascii="Arial" w:hAnsi="Arial"/>
          <w:b/>
          <w:color w:val="0F172A"/>
          <w:sz w:val="30"/>
        </w:rPr>
        <w:t>Элемент 2. УГТ 4 — Лабораторные испытания макета</w:t>
      </w:r>
    </w:p>
    <w:p>
      <w:pPr>
        <w:spacing w:line="360" w:lineRule="auto" w:after="160"/>
        <w:ind w:firstLine="340"/>
        <w:jc w:val="both"/>
      </w:pPr>
      <w:r>
        <w:rPr>
          <w:rFonts w:ascii="Times New Roman" w:hAnsi="Times New Roman"/>
          <w:b w:val="0"/>
          <w:i w:val="0"/>
          <w:color w:val="1E293B"/>
          <w:sz w:val="22"/>
        </w:rPr>
        <w:t>Второй элемент — лабораторные испытания макета. На этом этапе исполнители (обычно R&amp;D-стартап или научная организация) собирают лабораторный макет по техническому заданию и проводят первичную проверку технической осуществимости на лабораторном макете. Это первый реальный этап разработки: от теории к практике. Испытания проводятся по утверждённой методике, разработанной ЦНТР совместно с исполнителем.</w:t>
      </w:r>
    </w:p>
    <w:p>
      <w:pPr>
        <w:spacing w:line="360" w:lineRule="auto" w:after="160"/>
        <w:ind w:firstLine="340"/>
        <w:jc w:val="both"/>
      </w:pPr>
      <w:r>
        <w:rPr>
          <w:rFonts w:ascii="Times New Roman" w:hAnsi="Times New Roman"/>
          <w:b w:val="0"/>
          <w:i w:val="0"/>
          <w:color w:val="1E293B"/>
          <w:sz w:val="22"/>
        </w:rPr>
        <w:t>Документы: «Мини-ТЗ для каждого участника рабочей группы» (документ 1) — детализированное задание на этап; «Документ о верификации УГТ от сторонней компании» (документ 2) — акт верификации, подтверждающий достижение УГТ 4. Подэтапы: 2.1 — сборка лабораторного макета по ТЗ; 2.2 — лабораторные испытания по утверждённой методике. По завершении элемента проект достигает УГТ 4 — компонент и/или макет испытаны в лабораторном окружении.</w:t>
      </w:r>
    </w:p>
    <w:p>
      <w:pPr>
        <w:pStyle w:val="Heading2"/>
        <w:spacing w:before="400" w:after="160"/>
      </w:pPr>
      <w:r>
        <w:rPr>
          <w:rFonts w:ascii="Arial" w:hAnsi="Arial"/>
          <w:b/>
          <w:color w:val="0F172A"/>
          <w:sz w:val="30"/>
        </w:rPr>
        <w:t>Элемент 3. УГТ 5–6 — Полевые испытания макета</w:t>
      </w:r>
    </w:p>
    <w:p>
      <w:pPr>
        <w:spacing w:line="360" w:lineRule="auto" w:after="160"/>
        <w:ind w:firstLine="340"/>
        <w:jc w:val="both"/>
      </w:pPr>
      <w:r>
        <w:rPr>
          <w:rFonts w:ascii="Times New Roman" w:hAnsi="Times New Roman"/>
          <w:b w:val="0"/>
          <w:i w:val="0"/>
          <w:color w:val="1E293B"/>
          <w:sz w:val="22"/>
        </w:rPr>
        <w:t>Третий элемент — полевые испытания макета. На этом этапе макет, прошедший лабораторные испытания, тестируется в реальных условиях эксплуатации: на полигонах, в производственных условиях, в реальных режимах работы. Цель — проверить, что технология работает не только в идеальных лабораторных условиях, но и в реальном окружении, где много факторов неопределённости. Этот элемент объединяет два уровня готовности (УГТ 5 и УГТ 6) в один этап, поскольку они оба относятся к полевым испытаниям.</w:t>
      </w:r>
    </w:p>
    <w:p>
      <w:pPr>
        <w:spacing w:line="360" w:lineRule="auto" w:after="160"/>
        <w:ind w:firstLine="340"/>
        <w:jc w:val="both"/>
      </w:pPr>
      <w:r>
        <w:rPr>
          <w:rFonts w:ascii="Times New Roman" w:hAnsi="Times New Roman"/>
          <w:b w:val="0"/>
          <w:i w:val="0"/>
          <w:color w:val="1E293B"/>
          <w:sz w:val="22"/>
        </w:rPr>
        <w:t>Документы: аналогичны Этапу 2 — «Мини-ТЗ» (документ 1) и «Документ о верификации УГТ» (документ 2). Подэтапы: 3.1 — подготовка полигонов и условий испытаний; 3.2 — полевые испытания, сбор телеметрии и обратной связи. По завершении элемента проект достигает УГТ 5–6 — компонент и/или макет испытаны в окружении, близком к реальному; модель системы/подсистемы продемонстрированы в релевантном окружении.</w:t>
      </w:r>
    </w:p>
    <w:p>
      <w:pPr>
        <w:pStyle w:val="Heading2"/>
        <w:spacing w:before="400" w:after="160"/>
      </w:pPr>
      <w:r>
        <w:rPr>
          <w:rFonts w:ascii="Arial" w:hAnsi="Arial"/>
          <w:b/>
          <w:color w:val="0F172A"/>
          <w:sz w:val="30"/>
        </w:rPr>
        <w:t>Элемент 4. УГТ 7 — Эксплуатационные тесты</w:t>
      </w:r>
    </w:p>
    <w:p>
      <w:pPr>
        <w:spacing w:line="360" w:lineRule="auto" w:after="160"/>
        <w:ind w:firstLine="340"/>
        <w:jc w:val="both"/>
      </w:pPr>
      <w:r>
        <w:rPr>
          <w:rFonts w:ascii="Times New Roman" w:hAnsi="Times New Roman"/>
          <w:b w:val="0"/>
          <w:i w:val="0"/>
          <w:color w:val="1E293B"/>
          <w:sz w:val="22"/>
        </w:rPr>
        <w:t>Четвёртый элемент — эксплуатационные тесты прототипа. На этом этапе создаётся полноценный прототип системы (не макет, а прототип, близкий к серийному образцу), который проходит длительные эксплуатационные испытания в реальных режимах работы. Цель — выявить отказы, недочёты, проблемы, которые не проявились на более ранних стадиях, и провести итеративные доработки. Это критический этап: именно здесь может сработать ИП-триггер.</w:t>
      </w:r>
    </w:p>
    <w:p>
      <w:pPr>
        <w:spacing w:line="360" w:lineRule="auto" w:after="160"/>
        <w:ind w:firstLine="340"/>
        <w:jc w:val="both"/>
      </w:pPr>
      <w:r>
        <w:rPr>
          <w:rFonts w:ascii="Times New Roman" w:hAnsi="Times New Roman"/>
          <w:b w:val="0"/>
          <w:i w:val="0"/>
          <w:color w:val="1E293B"/>
          <w:sz w:val="22"/>
        </w:rPr>
        <w:t>Документы: «Мини-ТЗ» (документ 1) и «Документ о верификации УГТ» (документ 2). Подэтапы: 4.1 — цикл эксплуатации в штатных режимах; 4.2 — анализ отказов, доработки и итерации. По завершении элемента проект достигает УГТ 7 — прототип системы продемонстрирован в условиях эксплуатации. Если R&amp;D-исполнитель не может обеспечить достижение УГТ 7 (например, из-за технологических трудностей или недостатка компетенций), срабатывает ИП-триггер: автоматически включается лицензия конструкторской документации Серийному производителю, который продолжает разработку с уже достигнутого уровня.</w:t>
      </w:r>
    </w:p>
    <w:tbl>
      <w:tblPr>
        <w:tblW w:type="auto" w:w="0"/>
        <w:jc w:val="center"/>
        <w:tblLook w:firstColumn="1" w:firstRow="1" w:lastColumn="0" w:lastRow="0" w:noHBand="0" w:noVBand="1" w:val="04A0"/>
      </w:tblPr>
      <w:tblGrid>
        <w:gridCol w:w="9355"/>
      </w:tblGrid>
      <w:tr>
        <w:tc>
          <w:tcPr>
            <w:tcW w:type="dxa" w:w="9071"/>
            <w:shd w:fill="EDE9FE"/>
            <w:tcBorders>
              <w:top w:val="single" w:sz="8" w:color="7C3AED"/>
              <w:left w:val="single" w:sz="8" w:color="7C3AED"/>
              <w:bottom w:val="single" w:sz="8" w:color="7C3AED"/>
              <w:right w:val="single" w:sz="8" w:color="7C3AED"/>
            </w:tcBorders>
          </w:tcPr>
          <w:p>
            <w:pPr>
              <w:spacing w:before="160" w:after="80"/>
            </w:pPr>
            <w:r/>
            <w:r>
              <w:rPr>
                <w:rFonts w:ascii="Arial" w:hAnsi="Arial"/>
                <w:b/>
                <w:color w:val="4C1D95"/>
                <w:sz w:val="24"/>
              </w:rPr>
              <w:t>ИП-триггер — уникальная страховка ЦНТР</w:t>
            </w:r>
          </w:p>
          <w:p>
            <w:pPr>
              <w:spacing w:before="40" w:after="160" w:line="336" w:lineRule="auto"/>
            </w:pPr>
            <w:r>
              <w:rPr>
                <w:rFonts w:ascii="Times New Roman" w:hAnsi="Times New Roman"/>
                <w:color w:val="1E293B"/>
                <w:sz w:val="21"/>
              </w:rPr>
              <w:t>ИП-триггер — механизм автоматической передачи конструкторской документации (КД) серийному производителю при непрохождении R&amp;D-исполнителя на УГТ 7. Это уникальная страховка, отсутствующая у конкурентов (ФАСИЕ, АТР, GPR Consulting). ИП-триггер защищает ГосКомпанию-заказчика от риска провала R&amp;D-исполнителя и гарантирует продолжение разработки. Документально фиксируется во внутреннем договоре центра (Этап 7 Блока 1).</w:t>
            </w:r>
          </w:p>
        </w:tc>
      </w:tr>
    </w:tbl>
    <w:p/>
    <w:p>
      <w:pPr>
        <w:pStyle w:val="Heading2"/>
        <w:spacing w:before="400" w:after="160"/>
      </w:pPr>
      <w:r>
        <w:rPr>
          <w:rFonts w:ascii="Arial" w:hAnsi="Arial"/>
          <w:b/>
          <w:color w:val="0F172A"/>
          <w:sz w:val="30"/>
        </w:rPr>
        <w:t>Элемент 5. УГТ 8 — Квалификационные тесты</w:t>
      </w:r>
    </w:p>
    <w:p>
      <w:pPr>
        <w:spacing w:line="360" w:lineRule="auto" w:after="160"/>
        <w:ind w:firstLine="340"/>
        <w:jc w:val="both"/>
      </w:pPr>
      <w:r>
        <w:rPr>
          <w:rFonts w:ascii="Times New Roman" w:hAnsi="Times New Roman"/>
          <w:b w:val="0"/>
          <w:i w:val="0"/>
          <w:color w:val="1E293B"/>
          <w:sz w:val="22"/>
        </w:rPr>
        <w:t>Пятый элемент — квалификационные тесты. На этом этапе реальная система проходит полный цикл квалификационных испытаний по ГОСТ для подтверждения соответствия всем требованиям технического задания. Это формальная проверка: соответствует ли система спецификации, готова ли она к серийному производству. Квалификационные тесты проводятся по утверждённым методикам, обычно с привлечением внешних испытательных лабораторий и сертифицированных экспертов.</w:t>
      </w:r>
    </w:p>
    <w:p>
      <w:pPr>
        <w:spacing w:line="360" w:lineRule="auto" w:after="160"/>
        <w:ind w:firstLine="340"/>
        <w:jc w:val="both"/>
      </w:pPr>
      <w:r>
        <w:rPr>
          <w:rFonts w:ascii="Times New Roman" w:hAnsi="Times New Roman"/>
          <w:b w:val="0"/>
          <w:i w:val="0"/>
          <w:color w:val="1E293B"/>
          <w:sz w:val="22"/>
        </w:rPr>
        <w:t>Документы: «Мини-ТЗ» (документ 1) и «Документ о верификации УГТ» (документ 2). Подэтапы: 5.1 — полный цикл квалификационных тестов по ГОСТ; 5.2 — подтверждение соответствия спецификации. По завершении элемента проект достигает УГТ 8 — реальная система завершена и квалифицирована. Это предпоследний уровень готовности: система готова к серийному производству, но требуется финальная проверка в реальных производственных условиях.</w:t>
      </w:r>
    </w:p>
    <w:p>
      <w:pPr>
        <w:pStyle w:val="Heading2"/>
        <w:spacing w:before="400" w:after="160"/>
      </w:pPr>
      <w:r>
        <w:rPr>
          <w:rFonts w:ascii="Arial" w:hAnsi="Arial"/>
          <w:b/>
          <w:color w:val="0F172A"/>
          <w:sz w:val="30"/>
        </w:rPr>
        <w:t>Элемент 6. УГТ 9 — Реальные производственные тесты</w:t>
      </w:r>
    </w:p>
    <w:p>
      <w:pPr>
        <w:spacing w:line="360" w:lineRule="auto" w:after="160"/>
        <w:ind w:firstLine="340"/>
        <w:jc w:val="both"/>
      </w:pPr>
      <w:r>
        <w:rPr>
          <w:rFonts w:ascii="Times New Roman" w:hAnsi="Times New Roman"/>
          <w:b w:val="0"/>
          <w:i w:val="0"/>
          <w:color w:val="1E293B"/>
          <w:sz w:val="22"/>
        </w:rPr>
        <w:t>Шестой элемент — реальные производственные тесты. На этом этапе система запускается в реальном производственном цикле серийного производителя для подтверждения серийной пригодности. Это финальная проверка перед приёмкой: может ли технология производиться серийно с заданными характеристиками качества, в заданные сроки, с заданной себестоимостью. По результатам этого этапа принимается решение о приёмке технологии.</w:t>
      </w:r>
    </w:p>
    <w:p>
      <w:pPr>
        <w:spacing w:line="360" w:lineRule="auto" w:after="160"/>
        <w:ind w:firstLine="340"/>
        <w:jc w:val="both"/>
      </w:pPr>
      <w:r>
        <w:rPr>
          <w:rFonts w:ascii="Times New Roman" w:hAnsi="Times New Roman"/>
          <w:b w:val="0"/>
          <w:i w:val="0"/>
          <w:color w:val="1E293B"/>
          <w:sz w:val="22"/>
        </w:rPr>
        <w:t>Документы: «Мини-ТЗ» (документ 1) и «Документ о верификации УГТ» (документ 2). Подэтапы: 6.1 — запуск в реальном производственном цикле; 6.2 — подтверждение серийной пригодности. По завершении элемента проект достигает УГТ 9 — реальная система подтверждена путём успешной эксплуатации. Это финальный уровень готовности: технология готова к серийному производству и коммерческой эксплуатации.</w:t>
      </w:r>
    </w:p>
    <w:p>
      <w:pPr>
        <w:pStyle w:val="Heading2"/>
        <w:spacing w:before="400" w:after="160"/>
      </w:pPr>
      <w:r>
        <w:rPr>
          <w:rFonts w:ascii="Arial" w:hAnsi="Arial"/>
          <w:b/>
          <w:color w:val="0F172A"/>
          <w:sz w:val="30"/>
        </w:rPr>
        <w:t>Элемент 7. ★ Приёмка финальная</w:t>
      </w:r>
    </w:p>
    <w:p>
      <w:pPr>
        <w:spacing w:line="360" w:lineRule="auto" w:after="160"/>
        <w:ind w:firstLine="340"/>
        <w:jc w:val="both"/>
      </w:pPr>
      <w:r>
        <w:rPr>
          <w:rFonts w:ascii="Times New Roman" w:hAnsi="Times New Roman"/>
          <w:b w:val="0"/>
          <w:i w:val="0"/>
          <w:color w:val="1E293B"/>
          <w:sz w:val="22"/>
        </w:rPr>
        <w:t>Седьмой элемент — финальная приёмка разработанной технологии и передача её в серийное производство. На этом этапе ГосКомпания-заказчик, ЦНТР и серийный производитель подписывают Акт приёма-передачи технологии — юридический документ, фиксирующий завершение разработки и переход технологии от стадии разработки к стадии серийного производства. Это формальное завершение проекта разработки.</w:t>
      </w:r>
    </w:p>
    <w:p>
      <w:pPr>
        <w:spacing w:line="360" w:lineRule="auto" w:after="160"/>
        <w:ind w:firstLine="340"/>
        <w:jc w:val="both"/>
      </w:pPr>
      <w:r>
        <w:rPr>
          <w:rFonts w:ascii="Times New Roman" w:hAnsi="Times New Roman"/>
          <w:b w:val="0"/>
          <w:i w:val="0"/>
          <w:color w:val="1E293B"/>
          <w:sz w:val="22"/>
        </w:rPr>
        <w:t>Документ: «Акт приёма-передачи технологии в серийное производство». Подэтапы: 7.1 — подписание акта приёма-передачи; 7.2 — передача технологии серийному производителю. Этот элемент — важная веха: после него начинается коммерческая эксплуатация технологии, и через 3 года будет формироваться отчётность по выручке от реализованной продукции. В цифровой платформе этот элемент должен быть выделен визуально (например, фиолетовым цветом, как финальная точка разработки).</w:t>
      </w:r>
    </w:p>
    <w:p>
      <w:pPr>
        <w:pStyle w:val="Heading2"/>
        <w:spacing w:before="400" w:after="160"/>
      </w:pPr>
      <w:r>
        <w:rPr>
          <w:rFonts w:ascii="Arial" w:hAnsi="Arial"/>
          <w:b/>
          <w:color w:val="0F172A"/>
          <w:sz w:val="30"/>
        </w:rPr>
        <w:t>Элемент 8. 📊 Отчётность через 3 года</w:t>
      </w:r>
    </w:p>
    <w:p>
      <w:pPr>
        <w:spacing w:line="360" w:lineRule="auto" w:after="160"/>
        <w:ind w:firstLine="340"/>
        <w:jc w:val="both"/>
      </w:pPr>
      <w:r>
        <w:rPr>
          <w:rFonts w:ascii="Times New Roman" w:hAnsi="Times New Roman"/>
          <w:b w:val="0"/>
          <w:i w:val="0"/>
          <w:color w:val="1E293B"/>
          <w:sz w:val="22"/>
        </w:rPr>
        <w:t>Восьмой, заключительный элемент — отчётность по выручке от реализованной продукции через 3 года после приёмки. На этом этапе ЦНТР собирает данные о коммерческом успехе разработанной технологии: сколько продукции произведено, какая выручка получена, какие корректировки потребовались. Эта отчётность важна для оценки эффективности работы Центра, для формирования кейсов для будущих клиентов и для отчётности перед Минфином Удмуртской Республики (если использовались бюджетные средства).</w:t>
      </w:r>
    </w:p>
    <w:p>
      <w:pPr>
        <w:spacing w:line="360" w:lineRule="auto" w:after="160"/>
        <w:ind w:firstLine="340"/>
        <w:jc w:val="both"/>
      </w:pPr>
      <w:r>
        <w:rPr>
          <w:rFonts w:ascii="Times New Roman" w:hAnsi="Times New Roman"/>
          <w:b w:val="0"/>
          <w:i w:val="0"/>
          <w:color w:val="1E293B"/>
          <w:sz w:val="22"/>
        </w:rPr>
        <w:t>Подэтапы: 8.1 — сбор данных о выручке от реализации продукции; 8.2 — подготовка итогового отчёта для стейкхолдеров. По завершении этого элемента проект считается полностью завершённым — от идеи (УГТ 1) до серийного производства и коммерческого подтверждения (УГТ 9 + 3 года эксплуатации). Полный цикл занимает в среднем 3–5 лет от старта Блока 1 до завершения отчётности по выручке.</w:t>
      </w:r>
    </w:p>
    <w:p>
      <w:r>
        <w:br w:type="page"/>
      </w:r>
    </w:p>
    <w:p>
      <w:pPr>
        <w:pStyle w:val="Heading1"/>
        <w:spacing w:before="560" w:after="280"/>
        <w:pBdr>
          <w:bottom w:val="single" w:sz="8" w:space="4" w:color="2563EB"/>
        </w:pBdr>
      </w:pPr>
      <w:r>
        <w:rPr>
          <w:rFonts w:ascii="Arial" w:hAnsi="Arial"/>
          <w:b/>
          <w:color w:val="0F172A"/>
          <w:sz w:val="40"/>
        </w:rPr>
        <w:t>7. Контрольные точки и условия возврата</w:t>
      </w:r>
    </w:p>
    <w:p>
      <w:pPr>
        <w:spacing w:line="360" w:lineRule="auto" w:after="160"/>
        <w:ind w:firstLine="340"/>
        <w:jc w:val="both"/>
      </w:pPr>
      <w:r>
        <w:rPr>
          <w:rFonts w:ascii="Times New Roman" w:hAnsi="Times New Roman"/>
          <w:b w:val="0"/>
          <w:i w:val="0"/>
          <w:color w:val="1E293B"/>
          <w:sz w:val="22"/>
        </w:rPr>
        <w:t>Контрольные точки (КТ) — формальные ревью внешним аудитором с решением go/no-go о переходе проекта на следующий этап. В методологии ЦНТР предусмотрено 4 контрольные точки (КТ-1…КТ-4), но в финальной модели Блоков 1 и 2 явно реализован только КТ-1 (верификация УГТ 3 на Этапе 5 Блока 1). Остальные контрольные точки (КТ-2, КТ-3, КТ-4) упоминаются в ранних документах, но в финальной модели могут быть пересмотрены или убраны — это открытый вопрос для агентства-планировщика и владельца продукта.</w:t>
      </w:r>
    </w:p>
    <w:p>
      <w:pPr>
        <w:pStyle w:val="Heading2"/>
        <w:spacing w:before="400" w:after="160"/>
      </w:pPr>
      <w:r>
        <w:rPr>
          <w:rFonts w:ascii="Arial" w:hAnsi="Arial"/>
          <w:b/>
          <w:color w:val="0F172A"/>
          <w:sz w:val="30"/>
        </w:rPr>
        <w:t>7.1. Контрольные точки — описание</w:t>
      </w:r>
    </w:p>
    <w:tbl>
      <w:tblPr>
        <w:tblW w:type="auto" w:w="0"/>
        <w:jc w:val="center"/>
        <w:tblLook w:firstColumn="1" w:firstRow="1" w:lastColumn="0" w:lastRow="0" w:noHBand="0" w:noVBand="1" w:val="04A0"/>
      </w:tblPr>
      <w:tblGrid>
        <w:gridCol w:w="1871"/>
        <w:gridCol w:w="1871"/>
        <w:gridCol w:w="1871"/>
        <w:gridCol w:w="1871"/>
        <w:gridCol w:w="1871"/>
      </w:tblGrid>
      <w:tr>
        <w:tc>
          <w:tcPr>
            <w:tcW w:type="dxa" w:w="680"/>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КТ</w:t>
            </w:r>
          </w:p>
        </w:tc>
        <w:tc>
          <w:tcPr>
            <w:tcW w:type="dxa" w:w="2268"/>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Когда проводится</w:t>
            </w:r>
          </w:p>
        </w:tc>
        <w:tc>
          <w:tcPr>
            <w:tcW w:type="dxa" w:w="2268"/>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Аудитор</w:t>
            </w:r>
          </w:p>
        </w:tc>
        <w:tc>
          <w:tcPr>
            <w:tcW w:type="dxa" w:w="1134"/>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Решение</w:t>
            </w:r>
          </w:p>
        </w:tc>
        <w:tc>
          <w:tcPr>
            <w:tcW w:type="dxa" w:w="2721"/>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Что после</w:t>
            </w:r>
          </w:p>
        </w:tc>
      </w:tr>
      <w:tr>
        <w:tc>
          <w:tcPr>
            <w:tcW w:type="dxa" w:w="680"/>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КТ-1</w:t>
            </w:r>
          </w:p>
        </w:tc>
        <w:tc>
          <w:tcPr>
            <w:tcW w:type="dxa" w:w="2268"/>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Этап 5 Блока 1 (подтверждение УГТ 3)</w:t>
            </w:r>
          </w:p>
        </w:tc>
        <w:tc>
          <w:tcPr>
            <w:tcW w:type="dxa" w:w="2268"/>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Минфин Удмуртской Республики или независимый аудитор</w:t>
            </w:r>
          </w:p>
        </w:tc>
        <w:tc>
          <w:tcPr>
            <w:tcW w:type="dxa" w:w="113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go / no-go</w:t>
            </w:r>
          </w:p>
        </w:tc>
        <w:tc>
          <w:tcPr>
            <w:tcW w:type="dxa" w:w="272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go → переход к Блоку 2; no-go → возврат на доработку</w:t>
            </w:r>
          </w:p>
        </w:tc>
      </w:tr>
      <w:tr>
        <w:tc>
          <w:tcPr>
            <w:tcW w:type="dxa" w:w="680"/>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КТ-2</w:t>
            </w:r>
          </w:p>
        </w:tc>
        <w:tc>
          <w:tcPr>
            <w:tcW w:type="dxa" w:w="2268"/>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TBD — возможно УГТ 5–6 (полевые испытания)</w:t>
            </w:r>
          </w:p>
        </w:tc>
        <w:tc>
          <w:tcPr>
            <w:tcW w:type="dxa" w:w="2268"/>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TBD</w:t>
            </w:r>
          </w:p>
        </w:tc>
        <w:tc>
          <w:tcPr>
            <w:tcW w:type="dxa" w:w="113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TBD</w:t>
            </w:r>
          </w:p>
        </w:tc>
        <w:tc>
          <w:tcPr>
            <w:tcW w:type="dxa" w:w="272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TBD</w:t>
            </w:r>
          </w:p>
        </w:tc>
      </w:tr>
      <w:tr>
        <w:tc>
          <w:tcPr>
            <w:tcW w:type="dxa" w:w="680"/>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КТ-3</w:t>
            </w:r>
          </w:p>
        </w:tc>
        <w:tc>
          <w:tcPr>
            <w:tcW w:type="dxa" w:w="2268"/>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TBD — возможно УГТ 7 (эксплуатационные тесты)</w:t>
            </w:r>
          </w:p>
        </w:tc>
        <w:tc>
          <w:tcPr>
            <w:tcW w:type="dxa" w:w="2268"/>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TBD</w:t>
            </w:r>
          </w:p>
        </w:tc>
        <w:tc>
          <w:tcPr>
            <w:tcW w:type="dxa" w:w="113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TBD</w:t>
            </w:r>
          </w:p>
        </w:tc>
        <w:tc>
          <w:tcPr>
            <w:tcW w:type="dxa" w:w="272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TBD</w:t>
            </w:r>
          </w:p>
        </w:tc>
      </w:tr>
      <w:tr>
        <w:tc>
          <w:tcPr>
            <w:tcW w:type="dxa" w:w="680"/>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КТ-4</w:t>
            </w:r>
          </w:p>
        </w:tc>
        <w:tc>
          <w:tcPr>
            <w:tcW w:type="dxa" w:w="2268"/>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TBD — возможно УГТ 9 / приёмка</w:t>
            </w:r>
          </w:p>
        </w:tc>
        <w:tc>
          <w:tcPr>
            <w:tcW w:type="dxa" w:w="2268"/>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TBD</w:t>
            </w:r>
          </w:p>
        </w:tc>
        <w:tc>
          <w:tcPr>
            <w:tcW w:type="dxa" w:w="113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TBD</w:t>
            </w:r>
          </w:p>
        </w:tc>
        <w:tc>
          <w:tcPr>
            <w:tcW w:type="dxa" w:w="272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TBD</w:t>
            </w:r>
          </w:p>
        </w:tc>
      </w:tr>
    </w:tbl>
    <w:p>
      <w:pPr>
        <w:spacing w:line="360" w:lineRule="auto" w:after="160"/>
        <w:ind w:firstLine="340"/>
        <w:jc w:val="both"/>
      </w:pPr>
      <w:r>
        <w:rPr>
          <w:rFonts w:ascii="Times New Roman" w:hAnsi="Times New Roman"/>
          <w:b w:val="0"/>
          <w:i w:val="0"/>
          <w:color w:val="1E293B"/>
          <w:sz w:val="22"/>
        </w:rPr>
        <w:t>Цифровая платформа должна быть архитектурно готова к 4 контрольным точкам, даже если в MVP v2 реализован только КТ-1. Добавление КТ-2, КТ-3, КТ-4 позже не должно требовать переработки структуры данных — должны быть просто добавлены новые типы контрольных точек с тем же интерфейсом.</w:t>
      </w:r>
    </w:p>
    <w:p>
      <w:pPr>
        <w:pStyle w:val="Heading2"/>
        <w:spacing w:before="400" w:after="160"/>
      </w:pPr>
      <w:r>
        <w:rPr>
          <w:rFonts w:ascii="Arial" w:hAnsi="Arial"/>
          <w:b/>
          <w:color w:val="0F172A"/>
          <w:sz w:val="30"/>
        </w:rPr>
        <w:t>7.2. Условия возврата (loop-backs)</w:t>
      </w:r>
    </w:p>
    <w:p>
      <w:pPr>
        <w:spacing w:line="360" w:lineRule="auto" w:after="160"/>
        <w:ind w:firstLine="340"/>
        <w:jc w:val="both"/>
      </w:pPr>
      <w:r>
        <w:rPr>
          <w:rFonts w:ascii="Times New Roman" w:hAnsi="Times New Roman"/>
          <w:b w:val="0"/>
          <w:i w:val="0"/>
          <w:color w:val="1E293B"/>
          <w:sz w:val="22"/>
        </w:rPr>
        <w:t>Условия возврата — механизмы возврата проекта на предыдущий этап при невыполнении требований текущего. Возвраты — нормальная часть инновационного процесса: не все проекты проходят линейно от УГТ 1 до УГТ 9. ЦНТР явно предусматривает 4 условия возврата в пайплайне, каждое из которых должно быть отражено в цифровой платформе как возможность изменить статус проекта.</w:t>
      </w:r>
    </w:p>
    <w:tbl>
      <w:tblPr>
        <w:tblW w:type="auto" w:w="0"/>
        <w:jc w:val="center"/>
        <w:tblLook w:firstColumn="1" w:firstRow="1" w:lastColumn="0" w:lastRow="0" w:noHBand="0" w:noVBand="1" w:val="04A0"/>
      </w:tblPr>
      <w:tblGrid>
        <w:gridCol w:w="2339"/>
        <w:gridCol w:w="2339"/>
        <w:gridCol w:w="2339"/>
        <w:gridCol w:w="2339"/>
      </w:tblGrid>
      <w:tr>
        <w:tc>
          <w:tcPr>
            <w:tcW w:type="dxa" w:w="1417"/>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Этап</w:t>
            </w:r>
          </w:p>
        </w:tc>
        <w:tc>
          <w:tcPr>
            <w:tcW w:type="dxa" w:w="2551"/>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Условие возврата</w:t>
            </w:r>
          </w:p>
        </w:tc>
        <w:tc>
          <w:tcPr>
            <w:tcW w:type="dxa" w:w="2551"/>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Куда возвращается</w:t>
            </w:r>
          </w:p>
        </w:tc>
        <w:tc>
          <w:tcPr>
            <w:tcW w:type="dxa" w:w="2551"/>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Документ-триггер</w:t>
            </w:r>
          </w:p>
        </w:tc>
      </w:tr>
      <w:tr>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Этап 1 (Блок 1)</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Технические трудности на этапе определения компетенций</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К началу Этапа 1</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Внутренний протокол ЦНТР</w:t>
            </w:r>
          </w:p>
        </w:tc>
      </w:tr>
      <w:tr>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Этап 3.1 (Блок 1)</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Неутверждение ТЗ ГосКомпанией</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На Этап 2 (корректировка состава экспертов)</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Протокол неутверждения</w:t>
            </w:r>
          </w:p>
        </w:tc>
      </w:tr>
      <w:tr>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Этап 4.1 (Блок 1)</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Невозможность утверждения ТЗ подписью ГосКомпании</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На Этап 3 (переработка ТЗ)</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Протокол отказа от подписания</w:t>
            </w:r>
          </w:p>
        </w:tc>
      </w:tr>
      <w:tr>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Этап 5 (Блок 1)</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Непрохождение КТ-1 (УГТ 3 не подтверждён)</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На Этап 5.1 (перепоиск исполнителей)</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Акт КТ-1 с решением no-go</w:t>
            </w:r>
          </w:p>
        </w:tc>
      </w:tr>
      <w:tr>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Этап 4 (Блок 2)</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Непрохождение УГТ 7 — срабатывает ИП-триггер</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К Серийному производителю (через лицензию КД)</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Активация ИП-триггера</w:t>
            </w:r>
          </w:p>
        </w:tc>
      </w:tr>
    </w:tbl>
    <w:tbl>
      <w:tblPr>
        <w:tblW w:type="auto" w:w="0"/>
        <w:jc w:val="center"/>
        <w:tblLook w:firstColumn="1" w:firstRow="1" w:lastColumn="0" w:lastRow="0" w:noHBand="0" w:noVBand="1" w:val="04A0"/>
      </w:tblPr>
      <w:tblGrid>
        <w:gridCol w:w="9355"/>
      </w:tblGrid>
      <w:tr>
        <w:tc>
          <w:tcPr>
            <w:tcW w:type="dxa" w:w="9071"/>
            <w:shd w:fill="FEE2E2"/>
            <w:tcBorders>
              <w:top w:val="single" w:sz="8" w:color="DC2626"/>
              <w:left w:val="single" w:sz="8" w:color="DC2626"/>
              <w:bottom w:val="single" w:sz="8" w:color="DC2626"/>
              <w:right w:val="single" w:sz="8" w:color="DC2626"/>
            </w:tcBorders>
          </w:tcPr>
          <w:p>
            <w:pPr>
              <w:spacing w:before="160" w:after="80"/>
            </w:pPr>
            <w:r/>
            <w:r>
              <w:rPr>
                <w:rFonts w:ascii="Arial" w:hAnsi="Arial"/>
                <w:b/>
                <w:color w:val="991B1B"/>
                <w:sz w:val="24"/>
              </w:rPr>
              <w:t>Важное замечание для агента-планировщика</w:t>
            </w:r>
          </w:p>
          <w:p>
            <w:pPr>
              <w:spacing w:before="40" w:after="160" w:line="336" w:lineRule="auto"/>
            </w:pPr>
            <w:r>
              <w:rPr>
                <w:rFonts w:ascii="Times New Roman" w:hAnsi="Times New Roman"/>
                <w:color w:val="1E293B"/>
                <w:sz w:val="21"/>
              </w:rPr>
              <w:t>Возвраты — не исключение, а нормальная часть процесса. Цифровая платформа должна поддерживать возвраты как first-class функцию: возможность изменить статус проекта, сохранить историю предыдущих попыток, сформировать отчёт о причинах возврата. Это критично для адекватного отражения реальности инновационного процесса.</w:t>
            </w:r>
          </w:p>
        </w:tc>
      </w:tr>
    </w:tbl>
    <w:p/>
    <w:p>
      <w:r>
        <w:br w:type="page"/>
      </w:r>
    </w:p>
    <w:p>
      <w:pPr>
        <w:pStyle w:val="Heading1"/>
        <w:spacing w:before="560" w:after="280"/>
        <w:pBdr>
          <w:bottom w:val="single" w:sz="8" w:space="4" w:color="2563EB"/>
        </w:pBdr>
      </w:pPr>
      <w:r>
        <w:rPr>
          <w:rFonts w:ascii="Arial" w:hAnsi="Arial"/>
          <w:b/>
          <w:color w:val="0F172A"/>
          <w:sz w:val="40"/>
        </w:rPr>
        <w:t>8. Документооборот — полный перечень</w:t>
      </w:r>
    </w:p>
    <w:p>
      <w:pPr>
        <w:spacing w:line="360" w:lineRule="auto" w:after="160"/>
        <w:ind w:firstLine="340"/>
        <w:jc w:val="both"/>
      </w:pPr>
      <w:r>
        <w:rPr>
          <w:rFonts w:ascii="Times New Roman" w:hAnsi="Times New Roman"/>
          <w:b w:val="0"/>
          <w:i w:val="0"/>
          <w:color w:val="1E293B"/>
          <w:sz w:val="22"/>
        </w:rPr>
        <w:t>Документооборот — критическая часть пайплайна ЦНТР. Полный цикл проекта от УГТ 1 до УГТ 9 + 3 года эксплуатации включает 20+ документов, каждый из которых генерируется, согласовывается, подписывается и хранится в определённый момент времени. Цифровая платформа должна обеспечивать полный документооборот как одно из ключевых УТП — это то, чего нет ни у одного конкурента в России.</w:t>
      </w:r>
    </w:p>
    <w:p>
      <w:pPr>
        <w:pStyle w:val="Heading2"/>
        <w:spacing w:before="400" w:after="160"/>
      </w:pPr>
      <w:r>
        <w:rPr>
          <w:rFonts w:ascii="Arial" w:hAnsi="Arial"/>
          <w:b/>
          <w:color w:val="0F172A"/>
          <w:sz w:val="30"/>
        </w:rPr>
        <w:t>8.1. Документы Блока 1 (7 документов)</w:t>
      </w:r>
    </w:p>
    <w:tbl>
      <w:tblPr>
        <w:tblW w:type="auto" w:w="0"/>
        <w:jc w:val="center"/>
        <w:tblLook w:firstColumn="1" w:firstRow="1" w:lastColumn="0" w:lastRow="0" w:noHBand="0" w:noVBand="1" w:val="04A0"/>
      </w:tblPr>
      <w:tblGrid>
        <w:gridCol w:w="1871"/>
        <w:gridCol w:w="1871"/>
        <w:gridCol w:w="1871"/>
        <w:gridCol w:w="1871"/>
        <w:gridCol w:w="1871"/>
      </w:tblGrid>
      <w:tr>
        <w:tc>
          <w:tcPr>
            <w:tcW w:type="dxa" w:w="454"/>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w:t>
            </w:r>
          </w:p>
        </w:tc>
        <w:tc>
          <w:tcPr>
            <w:tcW w:type="dxa" w:w="2551"/>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Документ</w:t>
            </w:r>
          </w:p>
        </w:tc>
        <w:tc>
          <w:tcPr>
            <w:tcW w:type="dxa" w:w="1020"/>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Этап</w:t>
            </w:r>
          </w:p>
        </w:tc>
        <w:tc>
          <w:tcPr>
            <w:tcW w:type="dxa" w:w="1984"/>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Кто подписывает</w:t>
            </w:r>
          </w:p>
        </w:tc>
        <w:tc>
          <w:tcPr>
            <w:tcW w:type="dxa" w:w="3061"/>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Назначение</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1</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Договор о намерениях + список компетенций</w:t>
            </w:r>
          </w:p>
        </w:tc>
        <w:tc>
          <w:tcPr>
            <w:tcW w:type="dxa" w:w="1020"/>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Этап 1</w:t>
            </w:r>
          </w:p>
        </w:tc>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ЦНТР + ГосКомпания</w:t>
            </w:r>
          </w:p>
        </w:tc>
        <w:tc>
          <w:tcPr>
            <w:tcW w:type="dxa" w:w="306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Фиксация первичной договорённости и компетенций</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2</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Протокол утверждения экспертной группы</w:t>
            </w:r>
          </w:p>
        </w:tc>
        <w:tc>
          <w:tcPr>
            <w:tcW w:type="dxa" w:w="1020"/>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Этап 2</w:t>
            </w:r>
          </w:p>
        </w:tc>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ЦНТР</w:t>
            </w:r>
          </w:p>
        </w:tc>
        <w:tc>
          <w:tcPr>
            <w:tcW w:type="dxa" w:w="306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Состав экспертов для разработки ТЗ</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3</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Техническое задание (ТЗ)</w:t>
            </w:r>
          </w:p>
        </w:tc>
        <w:tc>
          <w:tcPr>
            <w:tcW w:type="dxa" w:w="1020"/>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Этап 3</w:t>
            </w:r>
          </w:p>
        </w:tc>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ЦНТР + эксперты</w:t>
            </w:r>
          </w:p>
        </w:tc>
        <w:tc>
          <w:tcPr>
            <w:tcW w:type="dxa" w:w="306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Основной документ разработки</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4</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Отчёт маркетингового исследования</w:t>
            </w:r>
          </w:p>
        </w:tc>
        <w:tc>
          <w:tcPr>
            <w:tcW w:type="dxa" w:w="1020"/>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Этап 3</w:t>
            </w:r>
          </w:p>
        </w:tc>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ЦНТР (маркетологи)</w:t>
            </w:r>
          </w:p>
        </w:tc>
        <w:tc>
          <w:tcPr>
            <w:tcW w:type="dxa" w:w="306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Анализ рынка, конкурентов, импортозамещения</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5</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Утверждённое ТЗ (с подписью ГК)</w:t>
            </w:r>
          </w:p>
        </w:tc>
        <w:tc>
          <w:tcPr>
            <w:tcW w:type="dxa" w:w="1020"/>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Этап 4</w:t>
            </w:r>
          </w:p>
        </w:tc>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ГосКомпания</w:t>
            </w:r>
          </w:p>
        </w:tc>
        <w:tc>
          <w:tcPr>
            <w:tcW w:type="dxa" w:w="306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Юридически значимое утверждение</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6</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Дорожная карта проекта</w:t>
            </w:r>
          </w:p>
        </w:tc>
        <w:tc>
          <w:tcPr>
            <w:tcW w:type="dxa" w:w="1020"/>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Этап 4</w:t>
            </w:r>
          </w:p>
        </w:tc>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ЦНТР</w:t>
            </w:r>
          </w:p>
        </w:tc>
        <w:tc>
          <w:tcPr>
            <w:tcW w:type="dxa" w:w="306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Матрица переходов УГТ, КЭТ, риски</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7</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Паспорт проекта</w:t>
            </w:r>
          </w:p>
        </w:tc>
        <w:tc>
          <w:tcPr>
            <w:tcW w:type="dxa" w:w="1020"/>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Этап 5</w:t>
            </w:r>
          </w:p>
        </w:tc>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ЦНТР + участники</w:t>
            </w:r>
          </w:p>
        </w:tc>
        <w:tc>
          <w:tcPr>
            <w:tcW w:type="dxa" w:w="306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Список участников, компетенции, роли</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8</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ТЭО (технико-экономическое обоснование)</w:t>
            </w:r>
          </w:p>
        </w:tc>
        <w:tc>
          <w:tcPr>
            <w:tcW w:type="dxa" w:w="1020"/>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Этап 5</w:t>
            </w:r>
          </w:p>
        </w:tc>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ЦНТР + финансисты</w:t>
            </w:r>
          </w:p>
        </w:tc>
        <w:tc>
          <w:tcPr>
            <w:tcW w:type="dxa" w:w="306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Обоснование целесообразности и бюджета</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9</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Инвестиционный меморандум</w:t>
            </w:r>
          </w:p>
        </w:tc>
        <w:tc>
          <w:tcPr>
            <w:tcW w:type="dxa" w:w="1020"/>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Этап 6</w:t>
            </w:r>
          </w:p>
        </w:tc>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ЦНТР + инвесторы</w:t>
            </w:r>
          </w:p>
        </w:tc>
        <w:tc>
          <w:tcPr>
            <w:tcW w:type="dxa" w:w="306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Документ для внешних инвесторов</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10</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Внутренний договор центра</w:t>
            </w:r>
          </w:p>
        </w:tc>
        <w:tc>
          <w:tcPr>
            <w:tcW w:type="dxa" w:w="1020"/>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Этап 7</w:t>
            </w:r>
          </w:p>
        </w:tc>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ЦНТР + ГосКомпания + Исполнитель</w:t>
            </w:r>
          </w:p>
        </w:tc>
        <w:tc>
          <w:tcPr>
            <w:tcW w:type="dxa" w:w="306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Старт проектной деятельности + ИП-триггер</w:t>
            </w:r>
          </w:p>
        </w:tc>
      </w:tr>
    </w:tbl>
    <w:p>
      <w:pPr>
        <w:pStyle w:val="Heading2"/>
        <w:spacing w:before="400" w:after="160"/>
      </w:pPr>
      <w:r>
        <w:rPr>
          <w:rFonts w:ascii="Arial" w:hAnsi="Arial"/>
          <w:b/>
          <w:color w:val="0F172A"/>
          <w:sz w:val="30"/>
        </w:rPr>
        <w:t>8.2. Документы Блока 2 (11+ документов)</w:t>
      </w:r>
    </w:p>
    <w:tbl>
      <w:tblPr>
        <w:tblW w:type="auto" w:w="0"/>
        <w:jc w:val="center"/>
        <w:tblLook w:firstColumn="1" w:firstRow="1" w:lastColumn="0" w:lastRow="0" w:noHBand="0" w:noVBand="1" w:val="04A0"/>
      </w:tblPr>
      <w:tblGrid>
        <w:gridCol w:w="1871"/>
        <w:gridCol w:w="1871"/>
        <w:gridCol w:w="1871"/>
        <w:gridCol w:w="1871"/>
        <w:gridCol w:w="1871"/>
      </w:tblGrid>
      <w:tr>
        <w:tc>
          <w:tcPr>
            <w:tcW w:type="dxa" w:w="454"/>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w:t>
            </w:r>
          </w:p>
        </w:tc>
        <w:tc>
          <w:tcPr>
            <w:tcW w:type="dxa" w:w="2551"/>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Документ</w:t>
            </w:r>
          </w:p>
        </w:tc>
        <w:tc>
          <w:tcPr>
            <w:tcW w:type="dxa" w:w="1020"/>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Элемент</w:t>
            </w:r>
          </w:p>
        </w:tc>
        <w:tc>
          <w:tcPr>
            <w:tcW w:type="dxa" w:w="1984"/>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Кто подписывает</w:t>
            </w:r>
          </w:p>
        </w:tc>
        <w:tc>
          <w:tcPr>
            <w:tcW w:type="dxa" w:w="3061"/>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Назначение</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11</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Мини-ТЗ Фазы 1 (УГТ 4)</w:t>
            </w:r>
          </w:p>
        </w:tc>
        <w:tc>
          <w:tcPr>
            <w:tcW w:type="dxa" w:w="1020"/>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Элемент 2</w:t>
            </w:r>
          </w:p>
        </w:tc>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ЦНТР + R&amp;D</w:t>
            </w:r>
          </w:p>
        </w:tc>
        <w:tc>
          <w:tcPr>
            <w:tcW w:type="dxa" w:w="306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Детализированное задание на УГТ 4</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12</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Документ о верификации УГТ 4</w:t>
            </w:r>
          </w:p>
        </w:tc>
        <w:tc>
          <w:tcPr>
            <w:tcW w:type="dxa" w:w="1020"/>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Элемент 2</w:t>
            </w:r>
          </w:p>
        </w:tc>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Сторонняя компания</w:t>
            </w:r>
          </w:p>
        </w:tc>
        <w:tc>
          <w:tcPr>
            <w:tcW w:type="dxa" w:w="306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Акт верификации достижения УГТ 4</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13</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Мини-ТЗ Фазы 2 (УГТ 5–6)</w:t>
            </w:r>
          </w:p>
        </w:tc>
        <w:tc>
          <w:tcPr>
            <w:tcW w:type="dxa" w:w="1020"/>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Элемент 3</w:t>
            </w:r>
          </w:p>
        </w:tc>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ЦНТР + R&amp;D</w:t>
            </w:r>
          </w:p>
        </w:tc>
        <w:tc>
          <w:tcPr>
            <w:tcW w:type="dxa" w:w="306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Детализированное задание на УГТ 5–6</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14</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Документ о верификации УГТ 5–6</w:t>
            </w:r>
          </w:p>
        </w:tc>
        <w:tc>
          <w:tcPr>
            <w:tcW w:type="dxa" w:w="1020"/>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Элемент 3</w:t>
            </w:r>
          </w:p>
        </w:tc>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Сторонняя компания</w:t>
            </w:r>
          </w:p>
        </w:tc>
        <w:tc>
          <w:tcPr>
            <w:tcW w:type="dxa" w:w="306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Акт верификации достижения УГТ 5–6</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15</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Мини-ТЗ Фазы 3 (УГТ 7)</w:t>
            </w:r>
          </w:p>
        </w:tc>
        <w:tc>
          <w:tcPr>
            <w:tcW w:type="dxa" w:w="1020"/>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Элемент 4</w:t>
            </w:r>
          </w:p>
        </w:tc>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ЦНТР + R&amp;D</w:t>
            </w:r>
          </w:p>
        </w:tc>
        <w:tc>
          <w:tcPr>
            <w:tcW w:type="dxa" w:w="306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Детализированное задание на УГТ 7</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16</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Документ о верификации УГТ 7</w:t>
            </w:r>
          </w:p>
        </w:tc>
        <w:tc>
          <w:tcPr>
            <w:tcW w:type="dxa" w:w="1020"/>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Элемент 4</w:t>
            </w:r>
          </w:p>
        </w:tc>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Сторонняя компания</w:t>
            </w:r>
          </w:p>
        </w:tc>
        <w:tc>
          <w:tcPr>
            <w:tcW w:type="dxa" w:w="306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Акт верификации достижения УГТ 7</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17</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Мини-ТЗ Фазы 4 (УГТ 8)</w:t>
            </w:r>
          </w:p>
        </w:tc>
        <w:tc>
          <w:tcPr>
            <w:tcW w:type="dxa" w:w="1020"/>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Элемент 5</w:t>
            </w:r>
          </w:p>
        </w:tc>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ЦНТР + R&amp;D</w:t>
            </w:r>
          </w:p>
        </w:tc>
        <w:tc>
          <w:tcPr>
            <w:tcW w:type="dxa" w:w="306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Детализированное задание на УГТ 8</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18</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Документ о верификации УГТ 8</w:t>
            </w:r>
          </w:p>
        </w:tc>
        <w:tc>
          <w:tcPr>
            <w:tcW w:type="dxa" w:w="1020"/>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Элемент 5</w:t>
            </w:r>
          </w:p>
        </w:tc>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Сторонняя компания</w:t>
            </w:r>
          </w:p>
        </w:tc>
        <w:tc>
          <w:tcPr>
            <w:tcW w:type="dxa" w:w="306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Акт верификации достижения УГТ 8</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19</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Мини-ТЗ Фазы 5 (УГТ 9)</w:t>
            </w:r>
          </w:p>
        </w:tc>
        <w:tc>
          <w:tcPr>
            <w:tcW w:type="dxa" w:w="1020"/>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Элемент 6</w:t>
            </w:r>
          </w:p>
        </w:tc>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ЦНТР + Производитель</w:t>
            </w:r>
          </w:p>
        </w:tc>
        <w:tc>
          <w:tcPr>
            <w:tcW w:type="dxa" w:w="306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Детализированное задание на УГТ 9</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20</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Документ о верификации УГТ 9</w:t>
            </w:r>
          </w:p>
        </w:tc>
        <w:tc>
          <w:tcPr>
            <w:tcW w:type="dxa" w:w="1020"/>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Элемент 6</w:t>
            </w:r>
          </w:p>
        </w:tc>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Сторонняя компания</w:t>
            </w:r>
          </w:p>
        </w:tc>
        <w:tc>
          <w:tcPr>
            <w:tcW w:type="dxa" w:w="306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Акт верификации достижения УГТ 9</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21</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Акт приёма-передачи технологии</w:t>
            </w:r>
          </w:p>
        </w:tc>
        <w:tc>
          <w:tcPr>
            <w:tcW w:type="dxa" w:w="1020"/>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Элемент 7</w:t>
            </w:r>
          </w:p>
        </w:tc>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ГК + ЦНТР + Производитель</w:t>
            </w:r>
          </w:p>
        </w:tc>
        <w:tc>
          <w:tcPr>
            <w:tcW w:type="dxa" w:w="306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Финальная приёмка разработки</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22</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Отчёт по выручке (через 3 года)</w:t>
            </w:r>
          </w:p>
        </w:tc>
        <w:tc>
          <w:tcPr>
            <w:tcW w:type="dxa" w:w="1020"/>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Элемент 8</w:t>
            </w:r>
          </w:p>
        </w:tc>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Производитель + ЦНТР</w:t>
            </w:r>
          </w:p>
        </w:tc>
        <w:tc>
          <w:tcPr>
            <w:tcW w:type="dxa" w:w="306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Отчётность по коммерческому успеху</w:t>
            </w:r>
          </w:p>
        </w:tc>
      </w:tr>
    </w:tbl>
    <w:p>
      <w:pPr>
        <w:pStyle w:val="Heading2"/>
        <w:spacing w:before="400" w:after="160"/>
      </w:pPr>
      <w:r>
        <w:rPr>
          <w:rFonts w:ascii="Arial" w:hAnsi="Arial"/>
          <w:b/>
          <w:color w:val="0F172A"/>
          <w:sz w:val="30"/>
        </w:rPr>
        <w:t>8.3. Требования к цифровому документообороту</w:t>
      </w:r>
    </w:p>
    <w:p>
      <w:pPr>
        <w:spacing w:line="360" w:lineRule="auto" w:after="160"/>
        <w:ind w:firstLine="340"/>
        <w:jc w:val="both"/>
      </w:pPr>
      <w:r>
        <w:rPr>
          <w:rFonts w:ascii="Times New Roman" w:hAnsi="Times New Roman"/>
          <w:b w:val="0"/>
          <w:i w:val="0"/>
          <w:color w:val="1E293B"/>
          <w:sz w:val="22"/>
        </w:rPr>
        <w:t>Полный документооборот на платформе ЦНТР — это УТП (уникальное ценностное предложение), которого нет ни у одного конкурента в России. Требования к документообороту включают: генерацию документов по шаблонам ЦНТР с подстановкой данных проекта, хранение всех версий документов с возможностью отката, согласование документов с цепочкой approvals (кто согласовал, когда, с какими комментариями), audit trail (полная история изменений каждого документа), электронное подписание (на MVP v2 — простое accept через платформу, на v3 — юридически значимая подпись через УКЭП).</w:t>
      </w:r>
    </w:p>
    <w:tbl>
      <w:tblPr>
        <w:tblW w:type="auto" w:w="0"/>
        <w:jc w:val="center"/>
        <w:tblLook w:firstColumn="1" w:firstRow="1" w:lastColumn="0" w:lastRow="0" w:noHBand="0" w:noVBand="1" w:val="04A0"/>
      </w:tblPr>
      <w:tblGrid>
        <w:gridCol w:w="9355"/>
      </w:tblGrid>
      <w:tr>
        <w:tc>
          <w:tcPr>
            <w:tcW w:type="dxa" w:w="9071"/>
            <w:shd w:fill="D1FAE5"/>
            <w:tcBorders>
              <w:top w:val="single" w:sz="8" w:color="059669"/>
              <w:left w:val="single" w:sz="8" w:color="059669"/>
              <w:bottom w:val="single" w:sz="8" w:color="059669"/>
              <w:right w:val="single" w:sz="8" w:color="059669"/>
            </w:tcBorders>
          </w:tcPr>
          <w:p>
            <w:pPr>
              <w:spacing w:before="160" w:after="80"/>
            </w:pPr>
            <w:r/>
            <w:r>
              <w:rPr>
                <w:rFonts w:ascii="Arial" w:hAnsi="Arial"/>
                <w:b/>
                <w:color w:val="065F46"/>
                <w:sz w:val="24"/>
              </w:rPr>
              <w:t>Полный документооборот = главное УТП платформы</w:t>
            </w:r>
          </w:p>
          <w:p>
            <w:pPr>
              <w:spacing w:before="40" w:after="160" w:line="336" w:lineRule="auto"/>
            </w:pPr>
            <w:r>
              <w:rPr>
                <w:rFonts w:ascii="Times New Roman" w:hAnsi="Times New Roman"/>
                <w:color w:val="1E293B"/>
                <w:sz w:val="21"/>
              </w:rPr>
              <w:t>Ни один конкурент в РФ не предлагает полного цикла документооборота по ГОСТ Р 58048 на платформе. Это создаёт уникальное конкурентное преимущество, которое защищает ЦНТР от ценовой конкуренции и создаёт барьер для входа. Архитектура платформы должна обеспечивать документооборот как first-class функцию, а не как дополнение.</w:t>
            </w:r>
          </w:p>
        </w:tc>
      </w:tr>
    </w:tbl>
    <w:p/>
    <w:p>
      <w:r>
        <w:br w:type="page"/>
      </w:r>
    </w:p>
    <w:p>
      <w:r>
        <w:br w:type="page"/>
      </w:r>
    </w:p>
    <w:p/>
    <w:p/>
    <w:p/>
    <w:p>
      <w:pPr>
        <w:jc w:val="center"/>
      </w:pPr>
      <w:r>
        <w:rPr>
          <w:rFonts w:ascii="Arial" w:hAnsi="Arial"/>
          <w:b/>
          <w:color w:val="2563EB"/>
          <w:sz w:val="28"/>
        </w:rPr>
        <w:t>ЧАСТЬ III</w:t>
      </w:r>
    </w:p>
    <w:p>
      <w:pPr>
        <w:jc w:val="center"/>
      </w:pPr>
      <w:r>
        <w:rPr>
          <w:rFonts w:ascii="Arial" w:hAnsi="Arial"/>
          <w:b/>
          <w:color w:val="0F172A"/>
          <w:sz w:val="48"/>
        </w:rPr>
        <w:t>Экосистема и участники</w:t>
      </w:r>
    </w:p>
    <w:p>
      <w:pPr>
        <w:spacing w:before="400"/>
        <w:jc w:val="center"/>
      </w:pPr>
      <w:r>
        <w:rPr>
          <w:rFonts w:ascii="Arial" w:hAnsi="Arial"/>
          <w:color w:val="2563EB"/>
          <w:sz w:val="28"/>
        </w:rPr>
        <w:t>◆ ◆ ◆</w:t>
      </w:r>
    </w:p>
    <w:p>
      <w:r>
        <w:br w:type="page"/>
      </w:r>
    </w:p>
    <w:p>
      <w:pPr>
        <w:pStyle w:val="Heading1"/>
        <w:spacing w:before="560" w:after="280"/>
        <w:pBdr>
          <w:bottom w:val="single" w:sz="8" w:space="4" w:color="2563EB"/>
        </w:pBdr>
      </w:pPr>
      <w:r>
        <w:rPr>
          <w:rFonts w:ascii="Arial" w:hAnsi="Arial"/>
          <w:b/>
          <w:color w:val="0F172A"/>
          <w:sz w:val="40"/>
        </w:rPr>
        <w:t>9. Категории участников — кто и зачем приходит в ЦНТР</w:t>
      </w:r>
    </w:p>
    <w:p>
      <w:pPr>
        <w:spacing w:line="360" w:lineRule="auto" w:after="160"/>
        <w:ind w:firstLine="340"/>
        <w:jc w:val="both"/>
      </w:pPr>
      <w:r>
        <w:rPr>
          <w:rFonts w:ascii="Times New Roman" w:hAnsi="Times New Roman"/>
          <w:b w:val="0"/>
          <w:i w:val="0"/>
          <w:color w:val="1E293B"/>
          <w:sz w:val="22"/>
        </w:rPr>
        <w:t>ЦНТР объединяет несколько категорий участников, каждая из которых приходит в Центр со своими целями и ожиданиями. Понимание этих категорий критически важно для проектирования личных кабинетов платформы — каждая категория должна иметь свой интерфейс с функциями, соответствующими её роли. Ниже описаны 5 основных категорий участников экосистемы ЦНТР.</w:t>
      </w:r>
    </w:p>
    <w:p>
      <w:pPr>
        <w:pStyle w:val="Heading2"/>
        <w:spacing w:before="400" w:after="160"/>
      </w:pPr>
      <w:r>
        <w:rPr>
          <w:rFonts w:ascii="Arial" w:hAnsi="Arial"/>
          <w:b/>
          <w:color w:val="0F172A"/>
          <w:sz w:val="30"/>
        </w:rPr>
        <w:t>9.1. Государственные компании-заказчики (ГосКомпании)</w:t>
      </w:r>
    </w:p>
    <w:p>
      <w:pPr>
        <w:spacing w:line="360" w:lineRule="auto" w:after="160"/>
        <w:ind w:firstLine="340"/>
        <w:jc w:val="both"/>
      </w:pPr>
      <w:r>
        <w:rPr>
          <w:rFonts w:ascii="Times New Roman" w:hAnsi="Times New Roman"/>
          <w:b w:val="0"/>
          <w:i w:val="0"/>
          <w:color w:val="1E293B"/>
          <w:sz w:val="22"/>
        </w:rPr>
        <w:t>Государственные компании — главный заказчик инновационных разработок в Удмуртии. Это предприятия оборонно-промышленного комплекса (КЭМЗ, ИЭМЗ «Купол», Сарапульский радиозавод) и крупные гражданские предприятия (Ижевский автомобильный завод, Ижевский мотозавод, электромеханические заводы). Их потребность: найти исполнителя под свою технологическую задачу и довести проект до серийного производства с минимальными рисками. Их боль: сложно найти качественных исполнителей среди R&amp;D-стартапов и ВУЗов, сложно оценить их реальную компетентность, сложно управлять проектом через 9 уровней готовности.</w:t>
      </w:r>
    </w:p>
    <w:p>
      <w:pPr>
        <w:spacing w:line="360" w:lineRule="auto" w:after="160"/>
        <w:ind w:firstLine="340"/>
        <w:jc w:val="both"/>
      </w:pPr>
      <w:r>
        <w:rPr>
          <w:rFonts w:ascii="Times New Roman" w:hAnsi="Times New Roman"/>
          <w:b w:val="0"/>
          <w:i w:val="0"/>
          <w:color w:val="1E293B"/>
          <w:sz w:val="22"/>
        </w:rPr>
        <w:t>Что ГосКомпании хотят от ЦНТР: реестр проверенных исполнителей с верифицированными компетенциями; управление проектом через все УГТ с прозрачным прогрессом; контроль документов и бюджета; помощь в структурировании требований к разработке; юридическое и финансовое сопровождение сделок; страхование от провала R&amp;D-исполнителя через ИП-триггер. ГосКомпании готовы платить за полный Блок 2 (3–15 млн ₽ за проект) и за отдельные экспертные услуги.</w:t>
      </w:r>
    </w:p>
    <w:p>
      <w:pPr>
        <w:pStyle w:val="Heading2"/>
        <w:spacing w:before="400" w:after="160"/>
      </w:pPr>
      <w:r>
        <w:rPr>
          <w:rFonts w:ascii="Arial" w:hAnsi="Arial"/>
          <w:b/>
          <w:color w:val="0F172A"/>
          <w:sz w:val="30"/>
        </w:rPr>
        <w:t>9.2. R&amp;D-стартапы и инновационные компании</w:t>
      </w:r>
    </w:p>
    <w:p>
      <w:pPr>
        <w:spacing w:line="360" w:lineRule="auto" w:after="160"/>
        <w:ind w:firstLine="340"/>
        <w:jc w:val="both"/>
      </w:pPr>
      <w:r>
        <w:rPr>
          <w:rFonts w:ascii="Times New Roman" w:hAnsi="Times New Roman"/>
          <w:b w:val="0"/>
          <w:i w:val="0"/>
          <w:color w:val="1E293B"/>
          <w:sz w:val="22"/>
        </w:rPr>
        <w:t>R&amp;D-стартапы — исполнители инновационных разработок, специализирующиеся на уровнях УГТ 3–6 (от лабораторных испытаний до системного прототипа). Это небольшие компании (5–30 человек) с сильной технической экспертизой, но ограниченными ресурсами для самостоятельного поиска заказов и управления полным циклом разработки. Их потребность: получать заказы от крупных ГосКомпаний, вести проекты через УГТ 3–6, получать финансирование на ранних стадиях. Их боль: сложно найти крупных заказчиков, сложно доказать свою компетентность, сложно управлять проектом по методологии ГОСТ Р 58048.</w:t>
      </w:r>
    </w:p>
    <w:p>
      <w:pPr>
        <w:spacing w:line="360" w:lineRule="auto" w:after="160"/>
        <w:ind w:firstLine="340"/>
        <w:jc w:val="both"/>
      </w:pPr>
      <w:r>
        <w:rPr>
          <w:rFonts w:ascii="Times New Roman" w:hAnsi="Times New Roman"/>
          <w:b w:val="0"/>
          <w:i w:val="0"/>
          <w:color w:val="1E293B"/>
          <w:sz w:val="22"/>
        </w:rPr>
        <w:t>Что R&amp;D-стартапы хотят от ЦНТР: доступ к реестру ГосКомпаний-заказчиков с их технологическими задачами; помощь в структурировании проектной документации (ТЗ, ТЭО, отчёты по УГТ); доступ к шаблонам документов; помощь в получении грантов ФАСИЕ; помощь в защите интеллектуальной собственности (патенты, лицензии); помощь в поиске финансирования (инвесторы, кредиты). R&amp;D-стартапы готовы платить комиссию со сделок, оплату за подписку на AI-ассистент и платформу, оплату за экспертные услуги.</w:t>
      </w:r>
    </w:p>
    <w:p>
      <w:pPr>
        <w:pStyle w:val="Heading2"/>
        <w:spacing w:before="400" w:after="160"/>
      </w:pPr>
      <w:r>
        <w:rPr>
          <w:rFonts w:ascii="Arial" w:hAnsi="Arial"/>
          <w:b/>
          <w:color w:val="0F172A"/>
          <w:sz w:val="30"/>
        </w:rPr>
        <w:t>9.3. Научные организации (ВУЗы и НИИ)</w:t>
      </w:r>
    </w:p>
    <w:p>
      <w:pPr>
        <w:spacing w:line="360" w:lineRule="auto" w:after="160"/>
        <w:ind w:firstLine="340"/>
        <w:jc w:val="both"/>
      </w:pPr>
      <w:r>
        <w:rPr>
          <w:rFonts w:ascii="Times New Roman" w:hAnsi="Times New Roman"/>
          <w:b w:val="0"/>
          <w:i w:val="0"/>
          <w:color w:val="1E293B"/>
          <w:sz w:val="22"/>
        </w:rPr>
        <w:t>Научные организации — ВУЗы (ИжГТУ, УдГУ, ИжГСХА) и НИИ (Институт прикладной механики УрО РАН, Удмуртский НИИСХ) — поставщики научных идей и исполнители научно-исследовательских работ (НИР) в проектах ЦНТР. Они работают на уровнях УГТ 3–7 (от лабораторных моделей до полевых испытаний). Их потребность: получать НИР-контракты от ГосКомпаний, проводить научные исследования в рамках проектов ЦНТР, публиковать результаты, обучать студентов и аспирантов на реальных проектах. Их боль: сложно коммерциализировать научные разработки, сложно найти промышленных партнёров, сложно управлять проектной документацией.</w:t>
      </w:r>
    </w:p>
    <w:p>
      <w:pPr>
        <w:spacing w:line="360" w:lineRule="auto" w:after="160"/>
        <w:ind w:firstLine="340"/>
        <w:jc w:val="both"/>
      </w:pPr>
      <w:r>
        <w:rPr>
          <w:rFonts w:ascii="Times New Roman" w:hAnsi="Times New Roman"/>
          <w:b w:val="0"/>
          <w:i w:val="0"/>
          <w:color w:val="1E293B"/>
          <w:sz w:val="22"/>
        </w:rPr>
        <w:t>Что научные организации хотят от ЦНТР: доступ к реестру ГосКомпаний-заказчиков; помощь в коммерциализации научных разработок; помощь в получении грантов Минобрнауки; доступ к производственной инфраструктуре (испытательные полигоны, лаборатории); помощь в защите интеллектуальной собственности; сертификат аккредитованного эксперта УГТ. Научные организации готовы платить за подписку на платформу, за сертификацию экспертов, за помощь в грантах.</w:t>
      </w:r>
    </w:p>
    <w:p>
      <w:pPr>
        <w:pStyle w:val="Heading2"/>
        <w:spacing w:before="400" w:after="160"/>
      </w:pPr>
      <w:r>
        <w:rPr>
          <w:rFonts w:ascii="Arial" w:hAnsi="Arial"/>
          <w:b/>
          <w:color w:val="0F172A"/>
          <w:sz w:val="30"/>
        </w:rPr>
        <w:t>9.4. Серийные производители</w:t>
      </w:r>
    </w:p>
    <w:p>
      <w:pPr>
        <w:spacing w:line="360" w:lineRule="auto" w:after="160"/>
        <w:ind w:firstLine="340"/>
        <w:jc w:val="both"/>
      </w:pPr>
      <w:r>
        <w:rPr>
          <w:rFonts w:ascii="Times New Roman" w:hAnsi="Times New Roman"/>
          <w:b w:val="0"/>
          <w:i w:val="0"/>
          <w:color w:val="1E293B"/>
          <w:sz w:val="22"/>
        </w:rPr>
        <w:t>Серийные производители — завершающая сторона пайплайна ЦНТР, работающая на уровнях УГТ 7–9 (от эксплуатационных тестов до реальных производственных тестов). Это заводы, способные производить продукцию серийно по готовой конструкторской документации. В Удмуртии это как предприятия ВПК, так и гражданские производители. Их потребность: получать готовые технологии (УГТ 7+) для серийного производства, участвовать в тестировании прототипов на своих мощностях, лицензировать конструкторскую документацию. Их боль: сложно найти готовые к производству технологии, сложно оценить готовность технологии к серийному производству, сложно интегрировать чужую КД в свои производственные процессы.</w:t>
      </w:r>
    </w:p>
    <w:p>
      <w:pPr>
        <w:spacing w:line="360" w:lineRule="auto" w:after="160"/>
        <w:ind w:firstLine="340"/>
        <w:jc w:val="both"/>
      </w:pPr>
      <w:r>
        <w:rPr>
          <w:rFonts w:ascii="Times New Roman" w:hAnsi="Times New Roman"/>
          <w:b w:val="0"/>
          <w:i w:val="0"/>
          <w:color w:val="1E293B"/>
          <w:sz w:val="22"/>
        </w:rPr>
        <w:t>Что серийные производители хотят от ЦНТР: доступ к реестру готовых технологий (УГТ 7+); помощь в оценке серийной пригодности технологий; помощь в интеграции КД в производство; помощь в лицензировании технологий; премиум-размещение в каталоге исполнителей (для лоббирования); доступ к инвестициям для модернизации производства. Серийные производители готовы платить за лицензии КД, за премиум-размещение в каталоге, за помощь в получении земельных участков под производство.</w:t>
      </w:r>
    </w:p>
    <w:p>
      <w:pPr>
        <w:pStyle w:val="Heading2"/>
        <w:spacing w:before="400" w:after="160"/>
      </w:pPr>
      <w:r>
        <w:rPr>
          <w:rFonts w:ascii="Arial" w:hAnsi="Arial"/>
          <w:b/>
          <w:color w:val="0F172A"/>
          <w:sz w:val="30"/>
        </w:rPr>
        <w:t>9.5. Эксперты УГТ и аудиторы</w:t>
      </w:r>
    </w:p>
    <w:p>
      <w:pPr>
        <w:spacing w:line="360" w:lineRule="auto" w:after="160"/>
        <w:ind w:firstLine="340"/>
        <w:jc w:val="both"/>
      </w:pPr>
      <w:r>
        <w:rPr>
          <w:rFonts w:ascii="Times New Roman" w:hAnsi="Times New Roman"/>
          <w:b w:val="0"/>
          <w:i w:val="0"/>
          <w:color w:val="1E293B"/>
          <w:sz w:val="22"/>
        </w:rPr>
        <w:t>Эксперты УГТ — сертифицированные специалисты, проводящие верификацию уровней готовности технологий в контрольных точках. Это могут быть как внутренние эксперты ЦНТР, так и внешние (из ВУЗов, НИИ, промышленных предприятий). Аудиторы Минфина Удмуртской Республики — проводят формальный аудит КТ-1 (верификация УГТ 3) с решением go/no-go. Эти участники не являются постоянными участниками проектов, а привлекаются на конкретные контрольные точки.</w:t>
      </w:r>
    </w:p>
    <w:p>
      <w:pPr>
        <w:spacing w:line="360" w:lineRule="auto" w:after="160"/>
        <w:ind w:firstLine="340"/>
        <w:jc w:val="both"/>
      </w:pPr>
      <w:r>
        <w:rPr>
          <w:rFonts w:ascii="Times New Roman" w:hAnsi="Times New Roman"/>
          <w:b w:val="0"/>
          <w:i w:val="0"/>
          <w:color w:val="1E293B"/>
          <w:sz w:val="22"/>
        </w:rPr>
        <w:t>Что эксперты и аудиторы хотят от ЦНТР: доступ к проектным документам в момент контрольной точки; чёткие чек-листы для верификации; инструменты для загрузки актов верификации; систему управления расписанием верификаций; годовую сертификацию эксперта УГТ. Эксперты и аудиторы готовы платить за сертификацию (годовая аккредитация) и получать оплату за конкретные верификации.</w:t>
      </w:r>
    </w:p>
    <w:p>
      <w:r>
        <w:br w:type="page"/>
      </w:r>
    </w:p>
    <w:p>
      <w:pPr>
        <w:pStyle w:val="Heading1"/>
        <w:spacing w:before="560" w:after="280"/>
        <w:pBdr>
          <w:bottom w:val="single" w:sz="8" w:space="4" w:color="2563EB"/>
        </w:pBdr>
      </w:pPr>
      <w:r>
        <w:rPr>
          <w:rFonts w:ascii="Arial" w:hAnsi="Arial"/>
          <w:b/>
          <w:color w:val="0F172A"/>
          <w:sz w:val="40"/>
        </w:rPr>
        <w:t>10. Экосистема 50+ организаций Удмуртии</w:t>
      </w:r>
    </w:p>
    <w:p>
      <w:pPr>
        <w:spacing w:line="360" w:lineRule="auto" w:after="160"/>
        <w:ind w:firstLine="340"/>
        <w:jc w:val="both"/>
      </w:pPr>
      <w:r>
        <w:rPr>
          <w:rFonts w:ascii="Times New Roman" w:hAnsi="Times New Roman"/>
          <w:b w:val="0"/>
          <w:i w:val="0"/>
          <w:color w:val="1E293B"/>
          <w:sz w:val="22"/>
        </w:rPr>
        <w:t>ЦНТР поддерживает экосистему из 50+ организаций Удмуртской Республики, разделённых на 8 категорий. Каждая организация выполняет свою роль в пайплайне проектов ЦНТР. Чем больше организаций участвует в экосистеме, тем ценнее становится ЦНТР для каждого нового участника — это сетевой эффект, создающий конкурентный барьер для входа других игроков. Ниже приведены основные категории организаций-партнёров и их представители.</w:t>
      </w:r>
    </w:p>
    <w:p>
      <w:pPr>
        <w:pStyle w:val="Heading2"/>
        <w:spacing w:before="400" w:after="160"/>
      </w:pPr>
      <w:r>
        <w:rPr>
          <w:rFonts w:ascii="Arial" w:hAnsi="Arial"/>
          <w:b/>
          <w:color w:val="0F172A"/>
          <w:sz w:val="30"/>
        </w:rPr>
        <w:t>10.1. Категории организаций-партнёров</w:t>
      </w:r>
    </w:p>
    <w:tbl>
      <w:tblPr>
        <w:tblW w:type="auto" w:w="0"/>
        <w:jc w:val="center"/>
        <w:tblLook w:firstColumn="1" w:firstRow="1" w:lastColumn="0" w:lastRow="0" w:noHBand="0" w:noVBand="1" w:val="04A0"/>
      </w:tblPr>
      <w:tblGrid>
        <w:gridCol w:w="3118"/>
        <w:gridCol w:w="3118"/>
        <w:gridCol w:w="3118"/>
      </w:tblGrid>
      <w:tr>
        <w:tc>
          <w:tcPr>
            <w:tcW w:type="dxa" w:w="1984"/>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Категория</w:t>
            </w:r>
          </w:p>
        </w:tc>
        <w:tc>
          <w:tcPr>
            <w:tcW w:type="dxa" w:w="3118"/>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Представители</w:t>
            </w:r>
          </w:p>
        </w:tc>
        <w:tc>
          <w:tcPr>
            <w:tcW w:type="dxa" w:w="3969"/>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Роль в пайплайне</w:t>
            </w:r>
          </w:p>
        </w:tc>
      </w:tr>
      <w:tr>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ВУЗы</w:t>
            </w:r>
          </w:p>
        </w:tc>
        <w:tc>
          <w:tcPr>
            <w:tcW w:type="dxa" w:w="3118"/>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ИжГТУ, УдГУ, ИжГСХА</w:t>
            </w:r>
          </w:p>
        </w:tc>
        <w:tc>
          <w:tcPr>
            <w:tcW w:type="dxa" w:w="3969"/>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Поставщики научных идей (УГТ 1–3), исполнители НИР (УГТ 3–7)</w:t>
            </w:r>
          </w:p>
        </w:tc>
      </w:tr>
      <w:tr>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НИИ</w:t>
            </w:r>
          </w:p>
        </w:tc>
        <w:tc>
          <w:tcPr>
            <w:tcW w:type="dxa" w:w="3118"/>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Институт прикладной механики УрО РАН, Удмуртский НИИСХ</w:t>
            </w:r>
          </w:p>
        </w:tc>
        <w:tc>
          <w:tcPr>
            <w:tcW w:type="dxa" w:w="3969"/>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Научная экспертиза, лабораторные испытания, верификация УГТ</w:t>
            </w:r>
          </w:p>
        </w:tc>
      </w:tr>
      <w:tr>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R&amp;D-стартапы</w:t>
            </w:r>
          </w:p>
        </w:tc>
        <w:tc>
          <w:tcPr>
            <w:tcW w:type="dxa" w:w="3118"/>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Региональные технологические компании</w:t>
            </w:r>
          </w:p>
        </w:tc>
        <w:tc>
          <w:tcPr>
            <w:tcW w:type="dxa" w:w="3969"/>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Исполнители разработки (УГТ 3–6), прототипирование</w:t>
            </w:r>
          </w:p>
        </w:tc>
      </w:tr>
      <w:tr>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Серийные производители ВПК</w:t>
            </w:r>
          </w:p>
        </w:tc>
        <w:tc>
          <w:tcPr>
            <w:tcW w:type="dxa" w:w="3118"/>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КЭМЗ, ИЭМЗ «Купол», Сарапульский радиозавод</w:t>
            </w:r>
          </w:p>
        </w:tc>
        <w:tc>
          <w:tcPr>
            <w:tcW w:type="dxa" w:w="3969"/>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Серийное производство (УГТ 7–9), испытательные полигоны</w:t>
            </w:r>
          </w:p>
        </w:tc>
      </w:tr>
      <w:tr>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Серийные производители гражданские</w:t>
            </w:r>
          </w:p>
        </w:tc>
        <w:tc>
          <w:tcPr>
            <w:tcW w:type="dxa" w:w="3118"/>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Ижевский автозавод, Ижевский мотозавод</w:t>
            </w:r>
          </w:p>
        </w:tc>
        <w:tc>
          <w:tcPr>
            <w:tcW w:type="dxa" w:w="3969"/>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Серийное производство гражданской продукции (УГТ 7–9)</w:t>
            </w:r>
          </w:p>
        </w:tc>
      </w:tr>
      <w:tr>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Государственные органы</w:t>
            </w:r>
          </w:p>
        </w:tc>
        <w:tc>
          <w:tcPr>
            <w:tcW w:type="dxa" w:w="3118"/>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Минфин УР, Минобрнауки УР, Минпромторг УР</w:t>
            </w:r>
          </w:p>
        </w:tc>
        <w:tc>
          <w:tcPr>
            <w:tcW w:type="dxa" w:w="3969"/>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Аудит КТ-1, согласование грантов, регуляторная поддержка</w:t>
            </w:r>
          </w:p>
        </w:tc>
      </w:tr>
      <w:tr>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Финансовые институты</w:t>
            </w:r>
          </w:p>
        </w:tc>
        <w:tc>
          <w:tcPr>
            <w:tcW w:type="dxa" w:w="3118"/>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ФАСИЕ, Фонд развития УР, банки-партнёры</w:t>
            </w:r>
          </w:p>
        </w:tc>
        <w:tc>
          <w:tcPr>
            <w:tcW w:type="dxa" w:w="3969"/>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Гранты, субсидии, кредиты, инвестиции</w:t>
            </w:r>
          </w:p>
        </w:tc>
      </w:tr>
      <w:tr>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Инфраструктурные партнёры</w:t>
            </w:r>
          </w:p>
        </w:tc>
        <w:tc>
          <w:tcPr>
            <w:tcW w:type="dxa" w:w="3118"/>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Лаборатории, испытательные полигоны, технопарки</w:t>
            </w:r>
          </w:p>
        </w:tc>
        <w:tc>
          <w:tcPr>
            <w:tcW w:type="dxa" w:w="3969"/>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Аренда инфраструктуры для испытаний и тестов</w:t>
            </w:r>
          </w:p>
        </w:tc>
      </w:tr>
      <w:tr>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Юридические и патентные партнёры</w:t>
            </w:r>
          </w:p>
        </w:tc>
        <w:tc>
          <w:tcPr>
            <w:tcW w:type="dxa" w:w="3118"/>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Патентные поверенные, юридические фирмы</w:t>
            </w:r>
          </w:p>
        </w:tc>
        <w:tc>
          <w:tcPr>
            <w:tcW w:type="dxa" w:w="3969"/>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Патентный поиск, регистрация ТЗ, лицензионные договоры</w:t>
            </w:r>
          </w:p>
        </w:tc>
      </w:tr>
    </w:tbl>
    <w:p>
      <w:pPr>
        <w:pStyle w:val="Heading2"/>
        <w:spacing w:before="400" w:after="160"/>
      </w:pPr>
      <w:r>
        <w:rPr>
          <w:rFonts w:ascii="Arial" w:hAnsi="Arial"/>
          <w:b/>
          <w:color w:val="0F172A"/>
          <w:sz w:val="30"/>
        </w:rPr>
        <w:t>10.2. Сетевой эффект экосистемы</w:t>
      </w:r>
    </w:p>
    <w:p>
      <w:pPr>
        <w:spacing w:line="360" w:lineRule="auto" w:after="160"/>
        <w:ind w:firstLine="340"/>
        <w:jc w:val="both"/>
      </w:pPr>
      <w:r>
        <w:rPr>
          <w:rFonts w:ascii="Times New Roman" w:hAnsi="Times New Roman"/>
          <w:b w:val="0"/>
          <w:i w:val="0"/>
          <w:color w:val="1E293B"/>
          <w:sz w:val="22"/>
        </w:rPr>
        <w:t>Сетевой эффект — ключевое стратегическое преимущество экосистемы ЦНТР. Чем больше организаций участвует в экосистеме, тем ценнее становится ЦНТР для каждого нового участника: ГосКомпании получают доступ к большему числу исполнителей, исполнители — к большему числу заказов, инвесторы — к большему числу технологий. Этот эффект создаёт конкурентный барьер для входа других игроков: новому конкуренту пришлось бы одновременно привлечь значительное число организаций с обеих сторон рынка (заказчики и исполнители), что практически невозможно без методологии и инфраструктуры.</w:t>
      </w:r>
    </w:p>
    <w:tbl>
      <w:tblPr>
        <w:tblW w:type="auto" w:w="0"/>
        <w:jc w:val="center"/>
        <w:tblLook w:firstColumn="1" w:firstRow="1" w:lastColumn="0" w:lastRow="0" w:noHBand="0" w:noVBand="1" w:val="04A0"/>
      </w:tblPr>
      <w:tblGrid>
        <w:gridCol w:w="9355"/>
      </w:tblGrid>
      <w:tr>
        <w:tc>
          <w:tcPr>
            <w:tcW w:type="dxa" w:w="9071"/>
            <w:shd w:fill="D1FAE5"/>
            <w:tcBorders>
              <w:top w:val="single" w:sz="8" w:color="059669"/>
              <w:left w:val="single" w:sz="8" w:color="059669"/>
              <w:bottom w:val="single" w:sz="8" w:color="059669"/>
              <w:right w:val="single" w:sz="8" w:color="059669"/>
            </w:tcBorders>
          </w:tcPr>
          <w:p>
            <w:pPr>
              <w:spacing w:before="160" w:after="80"/>
            </w:pPr>
            <w:r/>
            <w:r>
              <w:rPr>
                <w:rFonts w:ascii="Arial" w:hAnsi="Arial"/>
                <w:b/>
                <w:color w:val="065F46"/>
                <w:sz w:val="24"/>
              </w:rPr>
              <w:t>Стратегическое значение экосистемы</w:t>
            </w:r>
          </w:p>
          <w:p>
            <w:pPr>
              <w:spacing w:before="40" w:after="160" w:line="336" w:lineRule="auto"/>
            </w:pPr>
            <w:r>
              <w:rPr>
                <w:rFonts w:ascii="Times New Roman" w:hAnsi="Times New Roman"/>
                <w:color w:val="1E293B"/>
                <w:sz w:val="21"/>
              </w:rPr>
              <w:t>Экосистема 50+ организаций — это не просто «реестр партнёров», а стратегический актив ЦНТР. Чем дольше работает Центр, тем больше организаций в экосистеме, тем ценнее реестр для подписчиков (инвесторов, ГосКомпаний, внешних агрегаторов через API). Это создаёт накопительное конкурентное преимущество, которое невозможно быстро воспроизвести. Цифровая платформа должна обеспечивать развитие экосистемы через удобный онбординг новых организаций, рейтинги и отзывы, алгоритмическое матчмейкинг.</w:t>
            </w:r>
          </w:p>
        </w:tc>
      </w:tr>
    </w:tbl>
    <w:p/>
    <w:p>
      <w:r>
        <w:br w:type="page"/>
      </w:r>
    </w:p>
    <w:p>
      <w:pPr>
        <w:pStyle w:val="Heading1"/>
        <w:spacing w:before="560" w:after="280"/>
        <w:pBdr>
          <w:bottom w:val="single" w:sz="8" w:space="4" w:color="2563EB"/>
        </w:pBdr>
      </w:pPr>
      <w:r>
        <w:rPr>
          <w:rFonts w:ascii="Arial" w:hAnsi="Arial"/>
          <w:b/>
          <w:color w:val="0F172A"/>
          <w:sz w:val="40"/>
        </w:rPr>
        <w:t>11. Роли пользователей будущей платформы</w:t>
      </w:r>
    </w:p>
    <w:p>
      <w:pPr>
        <w:spacing w:line="360" w:lineRule="auto" w:after="160"/>
        <w:ind w:firstLine="340"/>
        <w:jc w:val="both"/>
      </w:pPr>
      <w:r>
        <w:rPr>
          <w:rFonts w:ascii="Times New Roman" w:hAnsi="Times New Roman"/>
          <w:b w:val="0"/>
          <w:i w:val="0"/>
          <w:color w:val="1E293B"/>
          <w:sz w:val="22"/>
        </w:rPr>
        <w:t>На основе категорий участников экосистемы выделяются 9 типов пользовательских ролей для цифровой платформы. Каждая роль соответствует отдельному типу личного кабинета (ЛК) с уникальным набором функций. Роли могут пересекаться (например, эксперт УГТ может быть одновременно представителем ВУЗа), но интерфейс ЛК для каждой роли — отдельный. Ниже описаны все 9 ролей с их ключевыми потребностями и функциями.</w:t>
      </w:r>
    </w:p>
    <w:tbl>
      <w:tblPr>
        <w:tblW w:type="auto" w:w="0"/>
        <w:jc w:val="center"/>
        <w:tblLook w:firstColumn="1" w:firstRow="1" w:lastColumn="0" w:lastRow="0" w:noHBand="0" w:noVBand="1" w:val="04A0"/>
      </w:tblPr>
      <w:tblGrid>
        <w:gridCol w:w="2339"/>
        <w:gridCol w:w="2339"/>
        <w:gridCol w:w="2339"/>
        <w:gridCol w:w="2339"/>
      </w:tblGrid>
      <w:tr>
        <w:tc>
          <w:tcPr>
            <w:tcW w:type="dxa" w:w="1984"/>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Роль</w:t>
            </w:r>
          </w:p>
        </w:tc>
        <w:tc>
          <w:tcPr>
            <w:tcW w:type="dxa" w:w="2268"/>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Главная потребность</w:t>
            </w:r>
          </w:p>
        </w:tc>
        <w:tc>
          <w:tcPr>
            <w:tcW w:type="dxa" w:w="3685"/>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Ключевые функции ЛК</w:t>
            </w:r>
          </w:p>
        </w:tc>
        <w:tc>
          <w:tcPr>
            <w:tcW w:type="dxa" w:w="1134"/>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Приоритет</w:t>
            </w:r>
          </w:p>
        </w:tc>
      </w:tr>
      <w:tr>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ГосКомпания-заказчик</w:t>
            </w:r>
          </w:p>
        </w:tc>
        <w:tc>
          <w:tcPr>
            <w:tcW w:type="dxa" w:w="2268"/>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Найти исполнителя и довести проект до производства</w:t>
            </w:r>
          </w:p>
        </w:tc>
        <w:tc>
          <w:tcPr>
            <w:tcW w:type="dxa" w:w="368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Создание проекта, загрузка ТЗ, дашборд, согласование документов, оплата</w:t>
            </w:r>
          </w:p>
        </w:tc>
        <w:tc>
          <w:tcPr>
            <w:tcW w:type="dxa" w:w="1134"/>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P0 (MVP v2)</w:t>
            </w:r>
          </w:p>
        </w:tc>
      </w:tr>
      <w:tr>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R&amp;D-исполнитель</w:t>
            </w:r>
          </w:p>
        </w:tc>
        <w:tc>
          <w:tcPr>
            <w:tcW w:type="dxa" w:w="2268"/>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Получить заказ и провести проект через УГТ 3–6</w:t>
            </w:r>
          </w:p>
        </w:tc>
        <w:tc>
          <w:tcPr>
            <w:tcW w:type="dxa" w:w="368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Профиль компетенций, отклик на проекты, загрузка отчётов, шаблоны</w:t>
            </w:r>
          </w:p>
        </w:tc>
        <w:tc>
          <w:tcPr>
            <w:tcW w:type="dxa" w:w="1134"/>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P0 (MVP v2)</w:t>
            </w:r>
          </w:p>
        </w:tc>
      </w:tr>
      <w:tr>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Научная организация (ВУЗ/НИИ)</w:t>
            </w:r>
          </w:p>
        </w:tc>
        <w:tc>
          <w:tcPr>
            <w:tcW w:type="dxa" w:w="2268"/>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Получить НИР-контракт и провести проект через УГТ 3–7</w:t>
            </w:r>
          </w:p>
        </w:tc>
        <w:tc>
          <w:tcPr>
            <w:tcW w:type="dxa" w:w="368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Профиль, отклики, научные отчёты, публикация кейсов</w:t>
            </w:r>
          </w:p>
        </w:tc>
        <w:tc>
          <w:tcPr>
            <w:tcW w:type="dxa" w:w="1134"/>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P2 (v3)</w:t>
            </w:r>
          </w:p>
        </w:tc>
      </w:tr>
      <w:tr>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Серийный производитель</w:t>
            </w:r>
          </w:p>
        </w:tc>
        <w:tc>
          <w:tcPr>
            <w:tcW w:type="dxa" w:w="2268"/>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Получить готовую технологию (УГТ 7+) и запустить в производство</w:t>
            </w:r>
          </w:p>
        </w:tc>
        <w:tc>
          <w:tcPr>
            <w:tcW w:type="dxa" w:w="368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Каталог технологий, запрос КД, организация испытаний, приёмка</w:t>
            </w:r>
          </w:p>
        </w:tc>
        <w:tc>
          <w:tcPr>
            <w:tcW w:type="dxa" w:w="1134"/>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P1 (MVP v2)</w:t>
            </w:r>
          </w:p>
        </w:tc>
      </w:tr>
      <w:tr>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Эксперт УГТ</w:t>
            </w:r>
          </w:p>
        </w:tc>
        <w:tc>
          <w:tcPr>
            <w:tcW w:type="dxa" w:w="2268"/>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Проводить верификацию УГТ по запросу ЦНТР</w:t>
            </w:r>
          </w:p>
        </w:tc>
        <w:tc>
          <w:tcPr>
            <w:tcW w:type="dxa" w:w="368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Расписание, чек-листы, акты верификации, история</w:t>
            </w:r>
          </w:p>
        </w:tc>
        <w:tc>
          <w:tcPr>
            <w:tcW w:type="dxa" w:w="1134"/>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P1 (MVP v2)</w:t>
            </w:r>
          </w:p>
        </w:tc>
      </w:tr>
      <w:tr>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Аудитор Минфина (КТ)</w:t>
            </w:r>
          </w:p>
        </w:tc>
        <w:tc>
          <w:tcPr>
            <w:tcW w:type="dxa" w:w="2268"/>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Подтверждать контрольные точки go/no-go</w:t>
            </w:r>
          </w:p>
        </w:tc>
        <w:tc>
          <w:tcPr>
            <w:tcW w:type="dxa" w:w="368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Доступ к документам проекта, чек-листы КТ, акты аудита</w:t>
            </w:r>
          </w:p>
        </w:tc>
        <w:tc>
          <w:tcPr>
            <w:tcW w:type="dxa" w:w="1134"/>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P2 (v3)</w:t>
            </w:r>
          </w:p>
        </w:tc>
      </w:tr>
      <w:tr>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Инвестор</w:t>
            </w:r>
          </w:p>
        </w:tc>
        <w:tc>
          <w:tcPr>
            <w:tcW w:type="dxa" w:w="2268"/>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Искать технологии для инвестиций</w:t>
            </w:r>
          </w:p>
        </w:tc>
        <w:tc>
          <w:tcPr>
            <w:tcW w:type="dxa" w:w="368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Подписка на реестр, фильтры, аналитика, запрос контактов</w:t>
            </w:r>
          </w:p>
        </w:tc>
        <w:tc>
          <w:tcPr>
            <w:tcW w:type="dxa" w:w="1134"/>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P2 (v3)</w:t>
            </w:r>
          </w:p>
        </w:tc>
      </w:tr>
      <w:tr>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Администратор ЦНТР</w:t>
            </w:r>
          </w:p>
        </w:tc>
        <w:tc>
          <w:tcPr>
            <w:tcW w:type="dxa" w:w="2268"/>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Управлять платформой и всеми проектами</w:t>
            </w:r>
          </w:p>
        </w:tc>
        <w:tc>
          <w:tcPr>
            <w:tcW w:type="dxa" w:w="368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Дашборд всех проектов, пользователи, биллинг, отчётность</w:t>
            </w:r>
          </w:p>
        </w:tc>
        <w:tc>
          <w:tcPr>
            <w:tcW w:type="dxa" w:w="1134"/>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P0 (MVP v2)</w:t>
            </w:r>
          </w:p>
        </w:tc>
      </w:tr>
      <w:tr>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Менеджер ЦНТР</w:t>
            </w:r>
          </w:p>
        </w:tc>
        <w:tc>
          <w:tcPr>
            <w:tcW w:type="dxa" w:w="2268"/>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Вести конкретные проекты от имени Центра</w:t>
            </w:r>
          </w:p>
        </w:tc>
        <w:tc>
          <w:tcPr>
            <w:tcW w:type="dxa" w:w="368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Назначенные проекты, общение, документы, контроль сроков</w:t>
            </w:r>
          </w:p>
        </w:tc>
        <w:tc>
          <w:tcPr>
            <w:tcW w:type="dxa" w:w="1134"/>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P0 (MVP v2)</w:t>
            </w:r>
          </w:p>
        </w:tc>
      </w:tr>
    </w:tbl>
    <w:p>
      <w:pPr>
        <w:spacing w:line="360" w:lineRule="auto" w:after="160"/>
        <w:ind w:firstLine="340"/>
        <w:jc w:val="both"/>
      </w:pPr>
      <w:r>
        <w:rPr>
          <w:rFonts w:ascii="Times New Roman" w:hAnsi="Times New Roman"/>
          <w:b w:val="0"/>
          <w:i w:val="0"/>
          <w:color w:val="1E293B"/>
          <w:sz w:val="22"/>
        </w:rPr>
        <w:t>Приоритет P0 (MVP v2) — обязательные для реализации в первой версии платформы. Приоритет P1 — желательны, но могут быть реализованы в упрощённом виде. Приоритет P2 — откладываются на v3 (6–12 месяцев после MVP v2). Такой приоритет позволяет сосредоточиться на ключевых пользователях и запустить рабочую платформу за 1.5 месяца.</w:t>
      </w:r>
    </w:p>
    <w:p>
      <w:r>
        <w:br w:type="page"/>
      </w:r>
    </w:p>
    <w:p>
      <w:r>
        <w:br w:type="page"/>
      </w:r>
    </w:p>
    <w:p/>
    <w:p/>
    <w:p/>
    <w:p>
      <w:pPr>
        <w:jc w:val="center"/>
      </w:pPr>
      <w:r>
        <w:rPr>
          <w:rFonts w:ascii="Arial" w:hAnsi="Arial"/>
          <w:b/>
          <w:color w:val="2563EB"/>
          <w:sz w:val="28"/>
        </w:rPr>
        <w:t>ЧАСТЬ IV</w:t>
      </w:r>
    </w:p>
    <w:p>
      <w:pPr>
        <w:jc w:val="center"/>
      </w:pPr>
      <w:r>
        <w:rPr>
          <w:rFonts w:ascii="Arial" w:hAnsi="Arial"/>
          <w:b/>
          <w:color w:val="0F172A"/>
          <w:sz w:val="48"/>
        </w:rPr>
        <w:t>Бизнес-модель и монетизация</w:t>
      </w:r>
    </w:p>
    <w:p>
      <w:pPr>
        <w:spacing w:before="400"/>
        <w:jc w:val="center"/>
      </w:pPr>
      <w:r>
        <w:rPr>
          <w:rFonts w:ascii="Arial" w:hAnsi="Arial"/>
          <w:color w:val="2563EB"/>
          <w:sz w:val="28"/>
        </w:rPr>
        <w:t>◆ ◆ ◆</w:t>
      </w:r>
    </w:p>
    <w:p>
      <w:r>
        <w:br w:type="page"/>
      </w:r>
    </w:p>
    <w:p>
      <w:pPr>
        <w:pStyle w:val="Heading1"/>
        <w:spacing w:before="560" w:after="280"/>
        <w:pBdr>
          <w:bottom w:val="single" w:sz="8" w:space="4" w:color="2563EB"/>
        </w:pBdr>
      </w:pPr>
      <w:r>
        <w:rPr>
          <w:rFonts w:ascii="Arial" w:hAnsi="Arial"/>
          <w:b/>
          <w:color w:val="0F172A"/>
          <w:sz w:val="40"/>
        </w:rPr>
        <w:t>12. 24 платные услуги — каталог</w:t>
      </w:r>
    </w:p>
    <w:p>
      <w:pPr>
        <w:spacing w:line="360" w:lineRule="auto" w:after="160"/>
        <w:ind w:firstLine="340"/>
        <w:jc w:val="both"/>
      </w:pPr>
      <w:r>
        <w:rPr>
          <w:rFonts w:ascii="Times New Roman" w:hAnsi="Times New Roman"/>
          <w:b w:val="0"/>
          <w:i w:val="0"/>
          <w:color w:val="1E293B"/>
          <w:sz w:val="22"/>
        </w:rPr>
        <w:t>ЦНТР оказывает 24 платные услуги, сгруппированные в 7 контуров монетизации. Каталог услуг — основной источник выручки Центра, обеспечивающий путь к самоокупаемости. Большинство услуг оказываются офлайн (экспертами ЦНТР), но 8 из 24 услуг невозможно оказывать без цифровой платформы (SaaS-подписки, API, AI-ассистент, комиссии). Ещё 10 услуг платформа повышает маржинальность через автоматизацию. Итого — платформа напрямую или косвенно влияет на 70% целевой выручки.</w:t>
      </w:r>
    </w:p>
    <w:p>
      <w:pPr>
        <w:pStyle w:val="Heading2"/>
        <w:spacing w:before="400" w:after="160"/>
      </w:pPr>
      <w:r>
        <w:rPr>
          <w:rFonts w:ascii="Arial" w:hAnsi="Arial"/>
          <w:b/>
          <w:color w:val="0F172A"/>
          <w:sz w:val="30"/>
        </w:rPr>
        <w:t>12.1. Полный список 24 услуг</w:t>
      </w:r>
    </w:p>
    <w:tbl>
      <w:tblPr>
        <w:tblW w:type="auto" w:w="0"/>
        <w:jc w:val="center"/>
        <w:tblLook w:firstColumn="1" w:firstRow="1" w:lastColumn="0" w:lastRow="0" w:noHBand="0" w:noVBand="1" w:val="04A0"/>
      </w:tblPr>
      <w:tblGrid>
        <w:gridCol w:w="2339"/>
        <w:gridCol w:w="2339"/>
        <w:gridCol w:w="2339"/>
        <w:gridCol w:w="2339"/>
      </w:tblGrid>
      <w:tr>
        <w:tc>
          <w:tcPr>
            <w:tcW w:type="dxa" w:w="454"/>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w:t>
            </w:r>
          </w:p>
        </w:tc>
        <w:tc>
          <w:tcPr>
            <w:tcW w:type="dxa" w:w="2835"/>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Услуга</w:t>
            </w:r>
          </w:p>
        </w:tc>
        <w:tc>
          <w:tcPr>
            <w:tcW w:type="dxa" w:w="4535"/>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Краткое описание</w:t>
            </w:r>
          </w:p>
        </w:tc>
        <w:tc>
          <w:tcPr>
            <w:tcW w:type="dxa" w:w="1247"/>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Зависимость от платформы</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1</w:t>
            </w:r>
          </w:p>
        </w:tc>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Доведение до статуса МТК</w:t>
            </w:r>
          </w:p>
        </w:tc>
        <w:tc>
          <w:tcPr>
            <w:tcW w:type="dxa" w:w="45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Подготовка и сопровождение получения статуса межотраслевой технологической кооперации</w:t>
            </w:r>
          </w:p>
        </w:tc>
        <w:tc>
          <w:tcPr>
            <w:tcW w:type="dxa" w:w="1247"/>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Низкая</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2</w:t>
            </w:r>
          </w:p>
        </w:tc>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API-доступ к платформе</w:t>
            </w:r>
          </w:p>
        </w:tc>
        <w:tc>
          <w:tcPr>
            <w:tcW w:type="dxa" w:w="45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Агрегация исполнителей и заказчиков через программный интерфейс</w:t>
            </w:r>
          </w:p>
        </w:tc>
        <w:tc>
          <w:tcPr>
            <w:tcW w:type="dxa" w:w="1247"/>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Критическая</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3</w:t>
            </w:r>
          </w:p>
        </w:tc>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Matchmaking-сессия</w:t>
            </w:r>
          </w:p>
        </w:tc>
        <w:tc>
          <w:tcPr>
            <w:tcW w:type="dxa" w:w="45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Поиск партнёра под конкретный проект или технологию</w:t>
            </w:r>
          </w:p>
        </w:tc>
        <w:tc>
          <w:tcPr>
            <w:tcW w:type="dxa" w:w="1247"/>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Средняя</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4</w:t>
            </w:r>
          </w:p>
        </w:tc>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Премиум-размещение в каталоге</w:t>
            </w:r>
          </w:p>
        </w:tc>
        <w:tc>
          <w:tcPr>
            <w:tcW w:type="dxa" w:w="45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Лоббирование производителей через приоритетное размещение</w:t>
            </w:r>
          </w:p>
        </w:tc>
        <w:tc>
          <w:tcPr>
            <w:tcW w:type="dxa" w:w="1247"/>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Критическая</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5</w:t>
            </w:r>
          </w:p>
        </w:tc>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Подписка на реестр технологий</w:t>
            </w:r>
          </w:p>
        </w:tc>
        <w:tc>
          <w:tcPr>
            <w:tcW w:type="dxa" w:w="45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Ведение реестра созданных технологий и ноу-хау</w:t>
            </w:r>
          </w:p>
        </w:tc>
        <w:tc>
          <w:tcPr>
            <w:tcW w:type="dxa" w:w="1247"/>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Критическая</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6</w:t>
            </w:r>
          </w:p>
        </w:tc>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Вебинары / мастер-классы / оффлайн-мероприятия</w:t>
            </w:r>
          </w:p>
        </w:tc>
        <w:tc>
          <w:tcPr>
            <w:tcW w:type="dxa" w:w="45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Образовательные и сетевые мероприятия</w:t>
            </w:r>
          </w:p>
        </w:tc>
        <w:tc>
          <w:tcPr>
            <w:tcW w:type="dxa" w:w="1247"/>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Низкая</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7</w:t>
            </w:r>
          </w:p>
        </w:tc>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Сертификация эксперта УГТ (годовая)</w:t>
            </w:r>
          </w:p>
        </w:tc>
        <w:tc>
          <w:tcPr>
            <w:tcW w:type="dxa" w:w="45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Аккредитация экспертов для верификации УГТ</w:t>
            </w:r>
          </w:p>
        </w:tc>
        <w:tc>
          <w:tcPr>
            <w:tcW w:type="dxa" w:w="1247"/>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Средняя</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8</w:t>
            </w:r>
          </w:p>
        </w:tc>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Доведение до резидентства в NOBEL</w:t>
            </w:r>
          </w:p>
        </w:tc>
        <w:tc>
          <w:tcPr>
            <w:tcW w:type="dxa" w:w="45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Сопровождение получения резидентства в сети NOBEL</w:t>
            </w:r>
          </w:p>
        </w:tc>
        <w:tc>
          <w:tcPr>
            <w:tcW w:type="dxa" w:w="1247"/>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Низкая</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9</w:t>
            </w:r>
          </w:p>
        </w:tc>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Анализ конкурентов</w:t>
            </w:r>
          </w:p>
        </w:tc>
        <w:tc>
          <w:tcPr>
            <w:tcW w:type="dxa" w:w="45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Исследование конкурентов по конкретной технологии</w:t>
            </w:r>
          </w:p>
        </w:tc>
        <w:tc>
          <w:tcPr>
            <w:tcW w:type="dxa" w:w="1247"/>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Низкая</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10</w:t>
            </w:r>
          </w:p>
        </w:tc>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Маркетинговое исследование рынка</w:t>
            </w:r>
          </w:p>
        </w:tc>
        <w:tc>
          <w:tcPr>
            <w:tcW w:type="dxa" w:w="45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Анализ рынка, спроса, импортозамещения</w:t>
            </w:r>
          </w:p>
        </w:tc>
        <w:tc>
          <w:tcPr>
            <w:tcW w:type="dxa" w:w="1247"/>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Низкая</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11</w:t>
            </w:r>
          </w:p>
        </w:tc>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Помощь в получении земельного участка под производство</w:t>
            </w:r>
          </w:p>
        </w:tc>
        <w:tc>
          <w:tcPr>
            <w:tcW w:type="dxa" w:w="45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Сопровождение получения земли без торгов и льготной аренды</w:t>
            </w:r>
          </w:p>
        </w:tc>
        <w:tc>
          <w:tcPr>
            <w:tcW w:type="dxa" w:w="1247"/>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Низкая</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12</w:t>
            </w:r>
          </w:p>
        </w:tc>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Организация питч-сессий перед частными инвесторами</w:t>
            </w:r>
          </w:p>
        </w:tc>
        <w:tc>
          <w:tcPr>
            <w:tcW w:type="dxa" w:w="45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Подготовка и проведение питчей перед инвесторами</w:t>
            </w:r>
          </w:p>
        </w:tc>
        <w:tc>
          <w:tcPr>
            <w:tcW w:type="dxa" w:w="1247"/>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Средняя</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13</w:t>
            </w:r>
          </w:p>
        </w:tc>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Доведение проекта до гранта</w:t>
            </w:r>
          </w:p>
        </w:tc>
        <w:tc>
          <w:tcPr>
            <w:tcW w:type="dxa" w:w="45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Полное сопровождение заявки на грант ФАСИЕ</w:t>
            </w:r>
          </w:p>
        </w:tc>
        <w:tc>
          <w:tcPr>
            <w:tcW w:type="dxa" w:w="1247"/>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Низкая</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14</w:t>
            </w:r>
          </w:p>
        </w:tc>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Получение статуса резидента ОЭЗ «Ижевск»</w:t>
            </w:r>
          </w:p>
        </w:tc>
        <w:tc>
          <w:tcPr>
            <w:tcW w:type="dxa" w:w="45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Сопровождение получения резидентства в Особой экономической зоне</w:t>
            </w:r>
          </w:p>
        </w:tc>
        <w:tc>
          <w:tcPr>
            <w:tcW w:type="dxa" w:w="1247"/>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Низкая</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15</w:t>
            </w:r>
          </w:p>
        </w:tc>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Помощь в регистрации товарного знака</w:t>
            </w:r>
          </w:p>
        </w:tc>
        <w:tc>
          <w:tcPr>
            <w:tcW w:type="dxa" w:w="45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Регистрация ТЗ в Роспатенте</w:t>
            </w:r>
          </w:p>
        </w:tc>
        <w:tc>
          <w:tcPr>
            <w:tcW w:type="dxa" w:w="1247"/>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Средняя</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16</w:t>
            </w:r>
          </w:p>
        </w:tc>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Разработка КД</w:t>
            </w:r>
          </w:p>
        </w:tc>
        <w:tc>
          <w:tcPr>
            <w:tcW w:type="dxa" w:w="45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Разработка конструкторской документации на изделие</w:t>
            </w:r>
          </w:p>
        </w:tc>
        <w:tc>
          <w:tcPr>
            <w:tcW w:type="dxa" w:w="1247"/>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Средняя</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17</w:t>
            </w:r>
          </w:p>
        </w:tc>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Доведение до патента</w:t>
            </w:r>
          </w:p>
        </w:tc>
        <w:tc>
          <w:tcPr>
            <w:tcW w:type="dxa" w:w="45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Полный цикл патентования: поиск → заявка → сопровождение</w:t>
            </w:r>
          </w:p>
        </w:tc>
        <w:tc>
          <w:tcPr>
            <w:tcW w:type="dxa" w:w="1247"/>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Средняя</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18</w:t>
            </w:r>
          </w:p>
        </w:tc>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Патентный поиск</w:t>
            </w:r>
          </w:p>
        </w:tc>
        <w:tc>
          <w:tcPr>
            <w:tcW w:type="dxa" w:w="45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Поиск по международным базам для выявления аналогов</w:t>
            </w:r>
          </w:p>
        </w:tc>
        <w:tc>
          <w:tcPr>
            <w:tcW w:type="dxa" w:w="1247"/>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Средняя</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19</w:t>
            </w:r>
          </w:p>
        </w:tc>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Технический аудит производства</w:t>
            </w:r>
          </w:p>
        </w:tc>
        <w:tc>
          <w:tcPr>
            <w:tcW w:type="dxa" w:w="45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Аудит производственных процессов и оборудования</w:t>
            </w:r>
          </w:p>
        </w:tc>
        <w:tc>
          <w:tcPr>
            <w:tcW w:type="dxa" w:w="1247"/>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Низкая</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20</w:t>
            </w:r>
          </w:p>
        </w:tc>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Консультация по коммерциализации</w:t>
            </w:r>
          </w:p>
        </w:tc>
        <w:tc>
          <w:tcPr>
            <w:tcW w:type="dxa" w:w="45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Часовые консультации по стратегии вывода технологии на рынок</w:t>
            </w:r>
          </w:p>
        </w:tc>
        <w:tc>
          <w:tcPr>
            <w:tcW w:type="dxa" w:w="1247"/>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Низкая</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21</w:t>
            </w:r>
          </w:p>
        </w:tc>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Сопровождение по этапам УГТ</w:t>
            </w:r>
          </w:p>
        </w:tc>
        <w:tc>
          <w:tcPr>
            <w:tcW w:type="dxa" w:w="45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Набор услуг, вариативных в зависимости от УГТ (1–9)</w:t>
            </w:r>
          </w:p>
        </w:tc>
        <w:tc>
          <w:tcPr>
            <w:tcW w:type="dxa" w:w="1247"/>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Высокая</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22</w:t>
            </w:r>
          </w:p>
        </w:tc>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Юридическое сопровождение сделки</w:t>
            </w:r>
          </w:p>
        </w:tc>
        <w:tc>
          <w:tcPr>
            <w:tcW w:type="dxa" w:w="45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Сопровождение сделок между исполнителями и заказчиками</w:t>
            </w:r>
          </w:p>
        </w:tc>
        <w:tc>
          <w:tcPr>
            <w:tcW w:type="dxa" w:w="1247"/>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Средняя</w:t>
            </w:r>
          </w:p>
        </w:tc>
      </w:tr>
      <w:tr>
        <w:tc>
          <w:tcPr>
            <w:tcW w:type="dxa" w:w="45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23</w:t>
            </w:r>
          </w:p>
        </w:tc>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Проектный AI-ассистент (SaaS)</w:t>
            </w:r>
          </w:p>
        </w:tc>
        <w:tc>
          <w:tcPr>
            <w:tcW w:type="dxa" w:w="4535"/>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Микросервис: AI-агент на подписке для автономного ведения проекта</w:t>
            </w:r>
          </w:p>
        </w:tc>
        <w:tc>
          <w:tcPr>
            <w:tcW w:type="dxa" w:w="1247"/>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Критическая</w:t>
            </w:r>
          </w:p>
        </w:tc>
      </w:tr>
      <w:tr>
        <w:tc>
          <w:tcPr>
            <w:tcW w:type="dxa" w:w="45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24</w:t>
            </w:r>
          </w:p>
        </w:tc>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Комиссия со сделок</w:t>
            </w:r>
          </w:p>
        </w:tc>
        <w:tc>
          <w:tcPr>
            <w:tcW w:type="dxa" w:w="4535"/>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Процент с транзакций, заключённых через платформу ЦНТР</w:t>
            </w:r>
          </w:p>
        </w:tc>
        <w:tc>
          <w:tcPr>
            <w:tcW w:type="dxa" w:w="1247"/>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Критическая</w:t>
            </w:r>
          </w:p>
        </w:tc>
      </w:tr>
    </w:tbl>
    <w:p>
      <w:r>
        <w:br w:type="page"/>
      </w:r>
    </w:p>
    <w:p>
      <w:pPr>
        <w:pStyle w:val="Heading1"/>
        <w:spacing w:before="560" w:after="280"/>
        <w:pBdr>
          <w:bottom w:val="single" w:sz="8" w:space="4" w:color="2563EB"/>
        </w:pBdr>
      </w:pPr>
      <w:r>
        <w:rPr>
          <w:rFonts w:ascii="Arial" w:hAnsi="Arial"/>
          <w:b/>
          <w:color w:val="0F172A"/>
          <w:sz w:val="40"/>
        </w:rPr>
        <w:t>13. 7 контуров монетизации</w:t>
      </w:r>
    </w:p>
    <w:p>
      <w:pPr>
        <w:spacing w:line="360" w:lineRule="auto" w:after="160"/>
        <w:ind w:firstLine="340"/>
        <w:jc w:val="both"/>
      </w:pPr>
      <w:r>
        <w:rPr>
          <w:rFonts w:ascii="Times New Roman" w:hAnsi="Times New Roman"/>
          <w:b w:val="0"/>
          <w:i w:val="0"/>
          <w:color w:val="1E293B"/>
          <w:sz w:val="22"/>
        </w:rPr>
        <w:t>24 услуги сгруппированы в 7 контуров монетизации по характеру предоставления услуги и источнику дохода. Группировка помогает понять, какие услуги обеспечивают масштабируемую выручку (SaaS, комиссии), а какие — линейную (часы экспертов). Это критично для проектирования биллинга платформы и финансовой модели.</w:t>
      </w:r>
    </w:p>
    <w:tbl>
      <w:tblPr>
        <w:tblW w:type="auto" w:w="0"/>
        <w:jc w:val="center"/>
        <w:tblLook w:firstColumn="1" w:firstRow="1" w:lastColumn="0" w:lastRow="0" w:noHBand="0" w:noVBand="1" w:val="04A0"/>
      </w:tblPr>
      <w:tblGrid>
        <w:gridCol w:w="2339"/>
        <w:gridCol w:w="2339"/>
        <w:gridCol w:w="2339"/>
        <w:gridCol w:w="2339"/>
      </w:tblGrid>
      <w:tr>
        <w:tc>
          <w:tcPr>
            <w:tcW w:type="dxa" w:w="2268"/>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Контур</w:t>
            </w:r>
          </w:p>
        </w:tc>
        <w:tc>
          <w:tcPr>
            <w:tcW w:type="dxa" w:w="1417"/>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Услуги</w:t>
            </w:r>
          </w:p>
        </w:tc>
        <w:tc>
          <w:tcPr>
            <w:tcW w:type="dxa" w:w="2551"/>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Модель оплаты</w:t>
            </w:r>
          </w:p>
        </w:tc>
        <w:tc>
          <w:tcPr>
            <w:tcW w:type="dxa" w:w="2835"/>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Масштабируемость</w:t>
            </w:r>
          </w:p>
        </w:tc>
      </w:tr>
      <w:tr>
        <w:tc>
          <w:tcPr>
            <w:tcW w:type="dxa" w:w="2268"/>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A. Платформа и подписки (SaaS)</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2, 4, 5, 23</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Подписка (месячная/годовая)</w:t>
            </w:r>
          </w:p>
        </w:tc>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Высокая — повторяющаяся выручка</w:t>
            </w:r>
          </w:p>
        </w:tc>
      </w:tr>
      <w:tr>
        <w:tc>
          <w:tcPr>
            <w:tcW w:type="dxa" w:w="2268"/>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B. Экспертные услуги</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9, 10, 18, 19, 20, 21</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Фикс. (проектная) или часовая</w:t>
            </w:r>
          </w:p>
        </w:tc>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Линейная — ограничена количеством экспертов</w:t>
            </w:r>
          </w:p>
        </w:tc>
      </w:tr>
      <w:tr>
        <w:tc>
          <w:tcPr>
            <w:tcW w:type="dxa" w:w="2268"/>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C. Доведение до статусов</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1, 8, 11, 13, 14</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Фикс. + success fee</w:t>
            </w:r>
          </w:p>
        </w:tc>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Линейная — высокий чек</w:t>
            </w:r>
          </w:p>
        </w:tc>
      </w:tr>
      <w:tr>
        <w:tc>
          <w:tcPr>
            <w:tcW w:type="dxa" w:w="2268"/>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D. IP и юр. сопровождение</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15, 16, 17, 22</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Фикс. + % от сделки</w:t>
            </w:r>
          </w:p>
        </w:tc>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Линейная + потенциал комиссий</w:t>
            </w:r>
          </w:p>
        </w:tc>
      </w:tr>
      <w:tr>
        <w:tc>
          <w:tcPr>
            <w:tcW w:type="dxa" w:w="2268"/>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E. Образование и сертификация</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6, 7</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Билет / подписка</w:t>
            </w:r>
          </w:p>
        </w:tc>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Высокая — массовые мероприятия</w:t>
            </w:r>
          </w:p>
        </w:tc>
      </w:tr>
      <w:tr>
        <w:tc>
          <w:tcPr>
            <w:tcW w:type="dxa" w:w="2268"/>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F. Маркетинг и мероприятия</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3, 12</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Фикс. + success fee</w:t>
            </w:r>
          </w:p>
        </w:tc>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Линейная + сетевой эффект</w:t>
            </w:r>
          </w:p>
        </w:tc>
      </w:tr>
      <w:tr>
        <w:tc>
          <w:tcPr>
            <w:tcW w:type="dxa" w:w="2268"/>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G. Комиссии</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24</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3–7% от суммы контракта</w:t>
            </w:r>
          </w:p>
        </w:tc>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Высокая — масштабируется с транзакциями</w:t>
            </w:r>
          </w:p>
        </w:tc>
      </w:tr>
    </w:tbl>
    <w:tbl>
      <w:tblPr>
        <w:tblW w:type="auto" w:w="0"/>
        <w:jc w:val="center"/>
        <w:tblLook w:firstColumn="1" w:firstRow="1" w:lastColumn="0" w:lastRow="0" w:noHBand="0" w:noVBand="1" w:val="04A0"/>
      </w:tblPr>
      <w:tblGrid>
        <w:gridCol w:w="9355"/>
      </w:tblGrid>
      <w:tr>
        <w:tc>
          <w:tcPr>
            <w:tcW w:type="dxa" w:w="9071"/>
            <w:shd w:fill="EDE9FE"/>
            <w:tcBorders>
              <w:top w:val="single" w:sz="8" w:color="7C3AED"/>
              <w:left w:val="single" w:sz="8" w:color="7C3AED"/>
              <w:bottom w:val="single" w:sz="8" w:color="7C3AED"/>
              <w:right w:val="single" w:sz="8" w:color="7C3AED"/>
            </w:tcBorders>
          </w:tcPr>
          <w:p>
            <w:pPr>
              <w:spacing w:before="160" w:after="80"/>
            </w:pPr>
            <w:r/>
            <w:r>
              <w:rPr>
                <w:rFonts w:ascii="Arial" w:hAnsi="Arial"/>
                <w:b/>
                <w:color w:val="4C1D95"/>
                <w:sz w:val="24"/>
              </w:rPr>
              <w:t>AI-ассистент (услуга 23) — флагман</w:t>
            </w:r>
          </w:p>
          <w:p>
            <w:pPr>
              <w:spacing w:before="40" w:after="160" w:line="336" w:lineRule="auto"/>
            </w:pPr>
            <w:r>
              <w:rPr>
                <w:rFonts w:ascii="Times New Roman" w:hAnsi="Times New Roman"/>
                <w:color w:val="1E293B"/>
                <w:sz w:val="21"/>
              </w:rPr>
              <w:t>AI-ассистент — флагманский продукт ЦНТР, выделенный отдельно. При 50 подписчиках со средним чеком 250 тыс. ₽/год он генерирует 12.5 млн ₽/год практически без переменных затрат. При масштабировании до 300–500 подписчиков — 150–500 млн ₽/год. Это самый масштабируемый источник дохода, который невозможно оказывать без платформы.</w:t>
            </w:r>
          </w:p>
        </w:tc>
      </w:tr>
    </w:tbl>
    <w:p/>
    <w:p>
      <w:r>
        <w:br w:type="page"/>
      </w:r>
    </w:p>
    <w:p>
      <w:pPr>
        <w:pStyle w:val="Heading1"/>
        <w:spacing w:before="560" w:after="280"/>
        <w:pBdr>
          <w:bottom w:val="single" w:sz="8" w:space="4" w:color="2563EB"/>
        </w:pBdr>
      </w:pPr>
      <w:r>
        <w:rPr>
          <w:rFonts w:ascii="Arial" w:hAnsi="Arial"/>
          <w:b/>
          <w:color w:val="0F172A"/>
          <w:sz w:val="40"/>
        </w:rPr>
        <w:t>14. Финансовая модель — 3 сценария</w:t>
      </w:r>
    </w:p>
    <w:p>
      <w:pPr>
        <w:spacing w:line="360" w:lineRule="auto" w:after="160"/>
        <w:ind w:firstLine="340"/>
        <w:jc w:val="both"/>
      </w:pPr>
      <w:r>
        <w:rPr>
          <w:rFonts w:ascii="Times New Roman" w:hAnsi="Times New Roman"/>
          <w:b w:val="0"/>
          <w:i w:val="0"/>
          <w:color w:val="1E293B"/>
          <w:sz w:val="22"/>
        </w:rPr>
        <w:t>Для оценки пути к самоокупаемости рассмотрены три сценария развития ЦНТР. Базовое допущение: операционный бюджет Центра, который необходимо покрыть платными услугами, составляет 50–80 млн ₽ в год (включая ФОТ команды из 8–12 человек, аренду, маркетинг, развитие платформы). Ниже приведены три сценария с разной стратегией монетизации.</w:t>
      </w:r>
    </w:p>
    <w:p>
      <w:pPr>
        <w:pStyle w:val="Heading2"/>
        <w:spacing w:before="400" w:after="160"/>
      </w:pPr>
      <w:r>
        <w:rPr>
          <w:rFonts w:ascii="Arial" w:hAnsi="Arial"/>
          <w:b/>
          <w:color w:val="0F172A"/>
          <w:sz w:val="30"/>
        </w:rPr>
        <w:t>14.1. Сценарий A — «Тяжёлый» (47 млн ₽/год)</w:t>
      </w:r>
    </w:p>
    <w:p>
      <w:pPr>
        <w:spacing w:line="360" w:lineRule="auto" w:after="160"/>
        <w:ind w:firstLine="340"/>
        <w:jc w:val="both"/>
      </w:pPr>
      <w:r>
        <w:rPr>
          <w:rFonts w:ascii="Times New Roman" w:hAnsi="Times New Roman"/>
          <w:b w:val="0"/>
          <w:i w:val="0"/>
          <w:color w:val="1E293B"/>
          <w:sz w:val="22"/>
        </w:rPr>
        <w:t>Стратегия: фокус на 3–5 крупных проектов Блока 2 в год с чеком 5 млн ₽ и выше. Минимум массовых услуг. Подходит для команды с сильными экспертами ГОСТ 58048 и связями в ВПК-секторе. Целевая выручка — 47.3 млн ₽/год (8 проектов × 5 млн ₽ за полный Блок 2 + приёмка + отчётность + внутренние договоры).</w:t>
      </w:r>
    </w:p>
    <w:p>
      <w:pPr>
        <w:spacing w:line="360" w:lineRule="auto" w:after="160"/>
        <w:ind w:firstLine="340"/>
        <w:jc w:val="both"/>
      </w:pPr>
      <w:r>
        <w:rPr>
          <w:rFonts w:ascii="Times New Roman" w:hAnsi="Times New Roman"/>
          <w:b w:val="0"/>
          <w:i w:val="0"/>
          <w:color w:val="1E293B"/>
          <w:sz w:val="22"/>
        </w:rPr>
        <w:t>Риски: мало клиентов (зависимость от 2–3 якорных заказов), длинный цикл продаж (3–9 месяцев), высокий риск кассовых разрывов при задержке оплат. Не достигает целевого оборота 50 млн ₽. Рекомендуется только как дополнение к сценариям B или C.</w:t>
      </w:r>
    </w:p>
    <w:p>
      <w:pPr>
        <w:pStyle w:val="Heading2"/>
        <w:spacing w:before="400" w:after="160"/>
      </w:pPr>
      <w:r>
        <w:rPr>
          <w:rFonts w:ascii="Arial" w:hAnsi="Arial"/>
          <w:b/>
          <w:color w:val="0F172A"/>
          <w:sz w:val="30"/>
        </w:rPr>
        <w:t>14.2. Сценарий B — «Широкий» (58.9 млн ₽/год)</w:t>
      </w:r>
    </w:p>
    <w:p>
      <w:pPr>
        <w:spacing w:line="360" w:lineRule="auto" w:after="160"/>
        <w:ind w:firstLine="340"/>
        <w:jc w:val="both"/>
      </w:pPr>
      <w:r>
        <w:rPr>
          <w:rFonts w:ascii="Times New Roman" w:hAnsi="Times New Roman"/>
          <w:b w:val="0"/>
          <w:i w:val="0"/>
          <w:color w:val="1E293B"/>
          <w:sz w:val="22"/>
        </w:rPr>
        <w:t>Стратегия: фокус на массовых экспертных услугах с низким чеком и коротким циклом продаж. Большое количество клиентов (200+ в год), диверсифицированный поток. Требует сильного маркетинга и большой команды экспертов. Целевая выручка — 58.9 млн ₽/год (200 экспресс-оценок УГТ + 300 консультаций + 50 диагностик + 40 ТЗ + 80 патентных поисков + 30 грантов + 30 маркетинговых исследований + 200 курсов + 15 подписок).</w:t>
      </w:r>
    </w:p>
    <w:p>
      <w:pPr>
        <w:spacing w:line="360" w:lineRule="auto" w:after="160"/>
        <w:ind w:firstLine="340"/>
        <w:jc w:val="both"/>
      </w:pPr>
      <w:r>
        <w:rPr>
          <w:rFonts w:ascii="Times New Roman" w:hAnsi="Times New Roman"/>
          <w:b w:val="0"/>
          <w:i w:val="0"/>
          <w:color w:val="1E293B"/>
          <w:sz w:val="22"/>
        </w:rPr>
        <w:t>Плюсы: диверсификация (нет зависимости от крупных клиентов), короткий цикл продаж, стабильный денежный поток. Минусы: требуется большая команда экспертов (10–15 человек), значительные расходы на маркетинг, высокая операционная нагрузка. Достигает целевого оборота, но требует значительных операционных расходов.</w:t>
      </w:r>
    </w:p>
    <w:p>
      <w:pPr>
        <w:pStyle w:val="Heading2"/>
        <w:spacing w:before="400" w:after="160"/>
      </w:pPr>
      <w:r>
        <w:rPr>
          <w:rFonts w:ascii="Arial" w:hAnsi="Arial"/>
          <w:b/>
          <w:color w:val="0F172A"/>
          <w:sz w:val="30"/>
        </w:rPr>
        <w:t>14.3. Сценарий C — «Смешанный» (57 млн ₽/год) — РЕКОМЕНДУЕМЫЙ</w:t>
      </w:r>
    </w:p>
    <w:p>
      <w:pPr>
        <w:spacing w:line="360" w:lineRule="auto" w:after="160"/>
        <w:ind w:firstLine="340"/>
        <w:jc w:val="both"/>
      </w:pPr>
      <w:r>
        <w:rPr>
          <w:rFonts w:ascii="Times New Roman" w:hAnsi="Times New Roman"/>
          <w:b w:val="0"/>
          <w:i w:val="0"/>
          <w:color w:val="1E293B"/>
          <w:sz w:val="22"/>
        </w:rPr>
        <w:t>Стратегия: баланс между крупными проектами (якорный доход) и массовыми услугами (стабильный поток), плюс комиссии и подписки (будущий SaaS). Целевая выручка — 57 млн ₽/год (3 проекта Блока 2 × 5 млн ₽ + массовые экспертные услуги + гранты + патентные поиски + курсы + подписки + комиссии + инфраструктурная аренда).</w:t>
      </w:r>
    </w:p>
    <w:tbl>
      <w:tblPr>
        <w:tblW w:type="auto" w:w="0"/>
        <w:jc w:val="center"/>
        <w:tblLook w:firstColumn="1" w:firstRow="1" w:lastColumn="0" w:lastRow="0" w:noHBand="0" w:noVBand="1" w:val="04A0"/>
      </w:tblPr>
      <w:tblGrid>
        <w:gridCol w:w="1871"/>
        <w:gridCol w:w="1871"/>
        <w:gridCol w:w="1871"/>
        <w:gridCol w:w="1871"/>
        <w:gridCol w:w="1871"/>
      </w:tblGrid>
      <w:tr>
        <w:tc>
          <w:tcPr>
            <w:tcW w:type="dxa" w:w="2835"/>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Источник дохода</w:t>
            </w:r>
          </w:p>
        </w:tc>
        <w:tc>
          <w:tcPr>
            <w:tcW w:type="dxa" w:w="1134"/>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Кол-во</w:t>
            </w:r>
          </w:p>
        </w:tc>
        <w:tc>
          <w:tcPr>
            <w:tcW w:type="dxa" w:w="1701"/>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Средний чек</w:t>
            </w:r>
          </w:p>
        </w:tc>
        <w:tc>
          <w:tcPr>
            <w:tcW w:type="dxa" w:w="1701"/>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Выручка</w:t>
            </w:r>
          </w:p>
        </w:tc>
        <w:tc>
          <w:tcPr>
            <w:tcW w:type="dxa" w:w="1701"/>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Доля</w:t>
            </w:r>
          </w:p>
        </w:tc>
      </w:tr>
      <w:tr>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Блок 2 (полный цикл)</w:t>
            </w:r>
          </w:p>
        </w:tc>
        <w:tc>
          <w:tcPr>
            <w:tcW w:type="dxa" w:w="113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3</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5 млн ₽</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15 млн ₽</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26%</w:t>
            </w:r>
          </w:p>
        </w:tc>
      </w:tr>
      <w:tr>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Экспресс-оценка УГТ</w:t>
            </w:r>
          </w:p>
        </w:tc>
        <w:tc>
          <w:tcPr>
            <w:tcW w:type="dxa" w:w="113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100</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40 тыс. ₽</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4 млн ₽</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7%</w:t>
            </w:r>
          </w:p>
        </w:tc>
      </w:tr>
      <w:tr>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Полная диагностика УГТ</w:t>
            </w:r>
          </w:p>
        </w:tc>
        <w:tc>
          <w:tcPr>
            <w:tcW w:type="dxa" w:w="113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30</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200 тыс. ₽</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6 млн ₽</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11%</w:t>
            </w:r>
          </w:p>
        </w:tc>
      </w:tr>
      <w:tr>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ТЗ + дорожные карты</w:t>
            </w:r>
          </w:p>
        </w:tc>
        <w:tc>
          <w:tcPr>
            <w:tcW w:type="dxa" w:w="113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20</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250 тыс. ₽</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5 млн ₽</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9%</w:t>
            </w:r>
          </w:p>
        </w:tc>
      </w:tr>
      <w:tr>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Гранты ФАСИЕ (success)</w:t>
            </w:r>
          </w:p>
        </w:tc>
        <w:tc>
          <w:tcPr>
            <w:tcW w:type="dxa" w:w="113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25</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6% × 3 млн ₽</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4.5 млн ₽</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8%</w:t>
            </w:r>
          </w:p>
        </w:tc>
      </w:tr>
      <w:tr>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Патентный поиск + IP</w:t>
            </w:r>
          </w:p>
        </w:tc>
        <w:tc>
          <w:tcPr>
            <w:tcW w:type="dxa" w:w="113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50</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50 тыс. ₽</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2.5 млн ₽</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4%</w:t>
            </w:r>
          </w:p>
        </w:tc>
      </w:tr>
      <w:tr>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Маркетинг + аналитика</w:t>
            </w:r>
          </w:p>
        </w:tc>
        <w:tc>
          <w:tcPr>
            <w:tcW w:type="dxa" w:w="113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20</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200 тыс. ₽</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4 млн ₽</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7%</w:t>
            </w:r>
          </w:p>
        </w:tc>
      </w:tr>
      <w:tr>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Курсы + тренинги</w:t>
            </w:r>
          </w:p>
        </w:tc>
        <w:tc>
          <w:tcPr>
            <w:tcW w:type="dxa" w:w="113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100</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40 тыс. ₽</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4 млн ₽</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7%</w:t>
            </w:r>
          </w:p>
        </w:tc>
      </w:tr>
      <w:tr>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Подписки (реестры + AI)</w:t>
            </w:r>
          </w:p>
        </w:tc>
        <w:tc>
          <w:tcPr>
            <w:tcW w:type="dxa" w:w="113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10</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200 тыс. ₽</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2 млн ₽</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4%</w:t>
            </w:r>
          </w:p>
        </w:tc>
      </w:tr>
      <w:tr>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Комиссии со сделок</w:t>
            </w:r>
          </w:p>
        </w:tc>
        <w:tc>
          <w:tcPr>
            <w:tcW w:type="dxa" w:w="113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8</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500 тыс. ₽</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4 млн ₽</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7%</w:t>
            </w:r>
          </w:p>
        </w:tc>
      </w:tr>
      <w:tr>
        <w:tc>
          <w:tcPr>
            <w:tcW w:type="dxa" w:w="2835"/>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Инфраструктура (аренда)</w:t>
            </w:r>
          </w:p>
        </w:tc>
        <w:tc>
          <w:tcPr>
            <w:tcW w:type="dxa" w:w="1134"/>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200 дней</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30 тыс. ₽</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6 млн ₽</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11%</w:t>
            </w:r>
          </w:p>
        </w:tc>
      </w:tr>
      <w:tr>
        <w:tc>
          <w:tcPr>
            <w:tcW w:type="dxa" w:w="2835"/>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ИТОГО</w:t>
            </w:r>
          </w:p>
        </w:tc>
        <w:tc>
          <w:tcPr>
            <w:tcW w:type="dxa" w:w="1134"/>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57 млн ₽</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100%</w:t>
            </w:r>
          </w:p>
        </w:tc>
      </w:tr>
    </w:tbl>
    <w:tbl>
      <w:tblPr>
        <w:tblW w:type="auto" w:w="0"/>
        <w:jc w:val="center"/>
        <w:tblLook w:firstColumn="1" w:firstRow="1" w:lastColumn="0" w:lastRow="0" w:noHBand="0" w:noVBand="1" w:val="04A0"/>
      </w:tblPr>
      <w:tblGrid>
        <w:gridCol w:w="9355"/>
      </w:tblGrid>
      <w:tr>
        <w:tc>
          <w:tcPr>
            <w:tcW w:type="dxa" w:w="9071"/>
            <w:shd w:fill="D1FAE5"/>
            <w:tcBorders>
              <w:top w:val="single" w:sz="8" w:color="059669"/>
              <w:left w:val="single" w:sz="8" w:color="059669"/>
              <w:bottom w:val="single" w:sz="8" w:color="059669"/>
              <w:right w:val="single" w:sz="8" w:color="059669"/>
            </w:tcBorders>
          </w:tcPr>
          <w:p>
            <w:pPr>
              <w:spacing w:before="160" w:after="80"/>
            </w:pPr>
            <w:r/>
            <w:r>
              <w:rPr>
                <w:rFonts w:ascii="Arial" w:hAnsi="Arial"/>
                <w:b/>
                <w:color w:val="065F46"/>
                <w:sz w:val="24"/>
              </w:rPr>
              <w:t>Почему сценарий C оптимален</w:t>
            </w:r>
          </w:p>
          <w:p>
            <w:pPr>
              <w:spacing w:before="40" w:after="160" w:line="336" w:lineRule="auto"/>
            </w:pPr>
            <w:r>
              <w:rPr>
                <w:rFonts w:ascii="Times New Roman" w:hAnsi="Times New Roman"/>
                <w:color w:val="1E293B"/>
                <w:sz w:val="21"/>
              </w:rPr>
              <w:t>1) Три крупных проекта дают якорный доход 15 млн ₽, покрывающий базовые операционные расходы. 2) Массовые услуги обеспечивают денежный поток в течение года. 3) Комиссии и подписки — задел на будущее, когда платформа ТЕХНОЗРЕЛОСТЬ будет готова к масштабированию. 4) Инфраструктурная аренда использует уже существующие партнёрства. Сценарий достигает целевого оборота 57 млн ₽ при умеренной нагрузке на команду.</w:t>
            </w:r>
          </w:p>
        </w:tc>
      </w:tr>
    </w:tbl>
    <w:p/>
    <w:p>
      <w:r>
        <w:br w:type="page"/>
      </w:r>
    </w:p>
    <w:p>
      <w:pPr>
        <w:pStyle w:val="Heading1"/>
        <w:spacing w:before="560" w:after="280"/>
        <w:pBdr>
          <w:bottom w:val="single" w:sz="8" w:space="4" w:color="2563EB"/>
        </w:pBdr>
      </w:pPr>
      <w:r>
        <w:rPr>
          <w:rFonts w:ascii="Arial" w:hAnsi="Arial"/>
          <w:b/>
          <w:color w:val="0F172A"/>
          <w:sz w:val="40"/>
        </w:rPr>
        <w:t>15. Цель: самоокупаемость и независимость от субсидий</w:t>
      </w:r>
    </w:p>
    <w:p>
      <w:pPr>
        <w:spacing w:line="360" w:lineRule="auto" w:after="160"/>
        <w:ind w:firstLine="340"/>
        <w:jc w:val="both"/>
      </w:pPr>
      <w:r>
        <w:rPr>
          <w:rFonts w:ascii="Times New Roman" w:hAnsi="Times New Roman"/>
          <w:b w:val="0"/>
          <w:i w:val="0"/>
          <w:color w:val="1E293B"/>
          <w:sz w:val="22"/>
        </w:rPr>
        <w:t>ЦНТР сегодня финансируется преимущественно из бюджета Удмуртской Республики и федеральных субсидий. Это создаёт три стратегических риска: (1) зависимость от политического цикла и бюджетных решений; (2) ограниченность масштабирования рамками выделенного финансирования; (3) отсутствие рыночной дисциплины — без необходимости зарабатывать Центр не оптимизирует услуги под реальные потребности клиентов. Цифровая платформа — главный инструмент устранения этих рисков и выхода на самоокупаемость.</w:t>
      </w:r>
    </w:p>
    <w:p>
      <w:pPr>
        <w:pStyle w:val="Heading2"/>
        <w:spacing w:before="400" w:after="160"/>
      </w:pPr>
      <w:r>
        <w:rPr>
          <w:rFonts w:ascii="Arial" w:hAnsi="Arial"/>
          <w:b/>
          <w:color w:val="0F172A"/>
          <w:sz w:val="30"/>
        </w:rPr>
        <w:t>15.1. Почему без платформы невозможно выйти на самоокупаемость</w:t>
      </w:r>
    </w:p>
    <w:p>
      <w:pPr>
        <w:spacing w:line="360" w:lineRule="auto" w:after="160"/>
        <w:ind w:firstLine="340"/>
        <w:jc w:val="both"/>
      </w:pPr>
      <w:r>
        <w:rPr>
          <w:rFonts w:ascii="Times New Roman" w:hAnsi="Times New Roman"/>
          <w:b w:val="0"/>
          <w:i w:val="0"/>
          <w:color w:val="1E293B"/>
          <w:sz w:val="22"/>
        </w:rPr>
        <w:t>Без цифровой платформы 24 платные услуги ЦНТР остаются ручными процессами. Каждый проект ведётся менеджерами вручную: документы создаются в Word, согласование идёт через email, прогресс отслеживается в Excel. При такой модели ЦНТР может обслужить не более 10–15 клиентов в год, что соответствует выручке 10–15 млн ₽. Это критически ниже целевых 50–80 млн ₽. Платформа позволяет автоматизировать документооборот, вести десятки проектов параллельно, монетизировать экосистему через подписки и комиссии, оказывать AI-ассистентом услуги тысячам пользователей одновременно.</w:t>
      </w:r>
    </w:p>
    <w:p>
      <w:pPr>
        <w:pStyle w:val="Heading2"/>
        <w:spacing w:before="400" w:after="160"/>
      </w:pPr>
      <w:r>
        <w:rPr>
          <w:rFonts w:ascii="Arial" w:hAnsi="Arial"/>
          <w:b/>
          <w:color w:val="0F172A"/>
          <w:sz w:val="30"/>
        </w:rPr>
        <w:t>15.2. Структура выручки по зависимости от платформы</w:t>
      </w:r>
    </w:p>
    <w:tbl>
      <w:tblPr>
        <w:tblW w:type="auto" w:w="0"/>
        <w:jc w:val="center"/>
        <w:tblLook w:firstColumn="1" w:firstRow="1" w:lastColumn="0" w:lastRow="0" w:noHBand="0" w:noVBand="1" w:val="04A0"/>
      </w:tblPr>
      <w:tblGrid>
        <w:gridCol w:w="2339"/>
        <w:gridCol w:w="2339"/>
        <w:gridCol w:w="2339"/>
        <w:gridCol w:w="2339"/>
      </w:tblGrid>
      <w:tr>
        <w:tc>
          <w:tcPr>
            <w:tcW w:type="dxa" w:w="3118"/>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Зависимость от платформы</w:t>
            </w:r>
          </w:p>
        </w:tc>
        <w:tc>
          <w:tcPr>
            <w:tcW w:type="dxa" w:w="1417"/>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Доля выручки</w:t>
            </w:r>
          </w:p>
        </w:tc>
        <w:tc>
          <w:tcPr>
            <w:tcW w:type="dxa" w:w="1417"/>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Сумма (млн ₽)</w:t>
            </w:r>
          </w:p>
        </w:tc>
        <w:tc>
          <w:tcPr>
            <w:tcW w:type="dxa" w:w="3118"/>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Примеры источников</w:t>
            </w:r>
          </w:p>
        </w:tc>
      </w:tr>
      <w:tr>
        <w:tc>
          <w:tcPr>
            <w:tcW w:type="dxa" w:w="3118"/>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Критическая — без платформы невозможно</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30%</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17</w:t>
            </w:r>
          </w:p>
        </w:tc>
        <w:tc>
          <w:tcPr>
            <w:tcW w:type="dxa" w:w="3118"/>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SaaS-подписки (AI-ассистент, реестры, API) + комиссии со сделок</w:t>
            </w:r>
          </w:p>
        </w:tc>
      </w:tr>
      <w:tr>
        <w:tc>
          <w:tcPr>
            <w:tcW w:type="dxa" w:w="3118"/>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Высокая — платформа кратно повышает маржу</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40%</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23</w:t>
            </w:r>
          </w:p>
        </w:tc>
        <w:tc>
          <w:tcPr>
            <w:tcW w:type="dxa" w:w="3118"/>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Документооборот, биллинг, автоматизация экспертных услуг</w:t>
            </w:r>
          </w:p>
        </w:tc>
      </w:tr>
      <w:tr>
        <w:tc>
          <w:tcPr>
            <w:tcW w:type="dxa" w:w="3118"/>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Средняя — платформа расширяет охват</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20%</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11</w:t>
            </w:r>
          </w:p>
        </w:tc>
        <w:tc>
          <w:tcPr>
            <w:tcW w:type="dxa" w:w="3118"/>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Маркетинговые исследования, образование, сертификация</w:t>
            </w:r>
          </w:p>
        </w:tc>
      </w:tr>
      <w:tr>
        <w:tc>
          <w:tcPr>
            <w:tcW w:type="dxa" w:w="3118"/>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Низкая — офлайн, но платформа помогает</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10%</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6</w:t>
            </w:r>
          </w:p>
        </w:tc>
        <w:tc>
          <w:tcPr>
            <w:tcW w:type="dxa" w:w="3118"/>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Гранты ФАСИЕ, патентный поиск, технический аудит</w:t>
            </w:r>
          </w:p>
        </w:tc>
      </w:tr>
    </w:tbl>
    <w:tbl>
      <w:tblPr>
        <w:tblW w:type="auto" w:w="0"/>
        <w:jc w:val="center"/>
        <w:tblLook w:firstColumn="1" w:firstRow="1" w:lastColumn="0" w:lastRow="0" w:noHBand="0" w:noVBand="1" w:val="04A0"/>
      </w:tblPr>
      <w:tblGrid>
        <w:gridCol w:w="9355"/>
      </w:tblGrid>
      <w:tr>
        <w:tc>
          <w:tcPr>
            <w:tcW w:type="dxa" w:w="9071"/>
            <w:shd w:fill="DBEAFE"/>
            <w:tcBorders>
              <w:top w:val="single" w:sz="8" w:color="2563EB"/>
              <w:left w:val="single" w:sz="8" w:color="2563EB"/>
              <w:bottom w:val="single" w:sz="8" w:color="2563EB"/>
              <w:right w:val="single" w:sz="8" w:color="2563EB"/>
            </w:tcBorders>
          </w:tcPr>
          <w:p>
            <w:pPr>
              <w:spacing w:before="160" w:after="80"/>
            </w:pPr>
            <w:r/>
            <w:r>
              <w:rPr>
                <w:rFonts w:ascii="Arial" w:hAnsi="Arial"/>
                <w:b/>
                <w:color w:val="1E40AF"/>
                <w:sz w:val="24"/>
              </w:rPr>
              <w:t>Главный финансовый аргумент</w:t>
            </w:r>
          </w:p>
          <w:p>
            <w:pPr>
              <w:spacing w:before="40" w:after="160" w:line="336" w:lineRule="auto"/>
            </w:pPr>
            <w:r>
              <w:rPr>
                <w:rFonts w:ascii="Times New Roman" w:hAnsi="Times New Roman"/>
                <w:color w:val="1E293B"/>
                <w:sz w:val="21"/>
              </w:rPr>
              <w:t>Без цифровой платформы ЦНТР не выходит с субсидий на самоокупаемость. Это не вопрос «хотим ли мы IT» — это вопрос финансовой устойчивости. 30% целевой выручки (17 млн ₽/год) критически невозможны без платформы (SaaS + комиссии + AI). Ещё 40% — платформа кратно повышает маржинальность. Инвестиция в платформу (1.5 млн ₽ на MVP v2 + 200–500 тыс. ₽/мес инфраструктуры) окупается за 1–2 года через SaaS-подписки и комиссии.</w:t>
            </w:r>
          </w:p>
        </w:tc>
      </w:tr>
    </w:tbl>
    <w:p/>
    <w:p>
      <w:r>
        <w:br w:type="page"/>
      </w:r>
    </w:p>
    <w:p>
      <w:r>
        <w:br w:type="page"/>
      </w:r>
    </w:p>
    <w:p/>
    <w:p/>
    <w:p/>
    <w:p>
      <w:pPr>
        <w:jc w:val="center"/>
      </w:pPr>
      <w:r>
        <w:rPr>
          <w:rFonts w:ascii="Arial" w:hAnsi="Arial"/>
          <w:b/>
          <w:color w:val="2563EB"/>
          <w:sz w:val="28"/>
        </w:rPr>
        <w:t>ЧАСТЬ V</w:t>
      </w:r>
    </w:p>
    <w:p>
      <w:pPr>
        <w:jc w:val="center"/>
      </w:pPr>
      <w:r>
        <w:rPr>
          <w:rFonts w:ascii="Arial" w:hAnsi="Arial"/>
          <w:b/>
          <w:color w:val="0F172A"/>
          <w:sz w:val="48"/>
        </w:rPr>
        <w:t>Зачем нужна цифровая платформа</w:t>
      </w:r>
    </w:p>
    <w:p>
      <w:pPr>
        <w:spacing w:before="400"/>
        <w:jc w:val="center"/>
      </w:pPr>
      <w:r>
        <w:rPr>
          <w:rFonts w:ascii="Arial" w:hAnsi="Arial"/>
          <w:color w:val="2563EB"/>
          <w:sz w:val="28"/>
        </w:rPr>
        <w:t>◆ ◆ ◆</w:t>
      </w:r>
    </w:p>
    <w:p>
      <w:r>
        <w:br w:type="page"/>
      </w:r>
    </w:p>
    <w:p>
      <w:pPr>
        <w:pStyle w:val="Heading1"/>
        <w:spacing w:before="560" w:after="280"/>
        <w:pBdr>
          <w:bottom w:val="single" w:sz="8" w:space="4" w:color="2563EB"/>
        </w:pBdr>
      </w:pPr>
      <w:r>
        <w:rPr>
          <w:rFonts w:ascii="Arial" w:hAnsi="Arial"/>
          <w:b/>
          <w:color w:val="0F172A"/>
          <w:sz w:val="40"/>
        </w:rPr>
        <w:t>16. Проблема — почему без платформы нельзя масштабироваться</w:t>
      </w:r>
    </w:p>
    <w:p>
      <w:pPr>
        <w:spacing w:line="360" w:lineRule="auto" w:after="160"/>
        <w:ind w:firstLine="340"/>
        <w:jc w:val="both"/>
      </w:pPr>
      <w:r>
        <w:rPr>
          <w:rFonts w:ascii="Times New Roman" w:hAnsi="Times New Roman"/>
          <w:b w:val="0"/>
          <w:i w:val="0"/>
          <w:color w:val="1E293B"/>
          <w:sz w:val="22"/>
        </w:rPr>
        <w:t>Сегодня ЦНТР работает преимущественно офлайн: методология и пайплайн описаны в документах Word и PDF, проекты ведутся через email и Excel, документооборот осуществляется в бумажном виде. Этой модели достаточно для пилотных 5–10 проектов в год, но она не масштабируется до объёмов, обеспечивающих самоокупаемость. Ниже описаны 6 ключевых проблем, которые невозможно решить без цифровой платформы.</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Проблема 1. Документооборот не масштабируется. </w:t>
      </w:r>
      <w:r>
        <w:rPr>
          <w:rFonts w:ascii="Times New Roman" w:hAnsi="Times New Roman"/>
          <w:color w:val="1E293B"/>
          <w:sz w:val="22"/>
        </w:rPr>
        <w:t>20+ документов на каждый проект, генерируемых в Word вручную, делают невозможным ведение более 10 проектов одновременно. Документы теряются, версии путаются, согласования затягиваются на недели. Без автоматизации документооборота ЦНТР не может обслуживать более 10 клиентов в год.</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Проблема 2. Реестр технологий не существует как система. </w:t>
      </w:r>
      <w:r>
        <w:rPr>
          <w:rFonts w:ascii="Times New Roman" w:hAnsi="Times New Roman"/>
          <w:color w:val="1E293B"/>
          <w:sz w:val="22"/>
        </w:rPr>
        <w:t>Реестр созданных в период работы Центра технологий и ноу-хау — это потенциально ценнейший актив, привлекающий инвесторов. Но без цифровой платформы он остаётся набором PDF-отчётов, которые невозможно искать, фильтровать, агрегировать. Подписка на реестр (услуга 5) невозможна без платформы.</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Проблема 3. AI-ассистент невозможен без платформы. </w:t>
      </w:r>
      <w:r>
        <w:rPr>
          <w:rFonts w:ascii="Times New Roman" w:hAnsi="Times New Roman"/>
          <w:color w:val="1E293B"/>
          <w:sz w:val="22"/>
        </w:rPr>
        <w:t>AI-ассистент (услуга 23) — флагманский SaaS-продукт ЦНТР с потенциалом 12.5 млн ₽/год при 50 подписчиках. Но AI-ассистент требует RAG-базы с документами Центра, векторной БД, интеграции с GigaChat, биллинга подписок. Без платформы эти компоненты невозможно реализовать.</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Проблема 4. Комиссии со сделок невозможно собирать. </w:t>
      </w:r>
      <w:r>
        <w:rPr>
          <w:rFonts w:ascii="Times New Roman" w:hAnsi="Times New Roman"/>
          <w:color w:val="1E293B"/>
          <w:sz w:val="22"/>
        </w:rPr>
        <w:t>Комиссия 3–7% со сделок (услуга 24) — критический масштабируемый источник дохода. Но собирать комиссию можно только если сделка проходит через платформу: с зарегистрированными участниками, эскроу-счётом, автоматическим удержанием. Без платформы комиссии собирать невозможно.</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Проблема 5. SaaS-подписки невозможны без платформы. </w:t>
      </w:r>
      <w:r>
        <w:rPr>
          <w:rFonts w:ascii="Times New Roman" w:hAnsi="Times New Roman"/>
          <w:color w:val="1E293B"/>
          <w:sz w:val="22"/>
        </w:rPr>
        <w:t>API-доступ (услуга 2), премиум-размещение в каталоге (услуга 4), подписка на реестр (услуга 5) — все SaaS-услуги требуют программной инфраструктуры с аутентификацией, биллингом, rate limiting. Без платформы эти услуги нельзя оказывать.</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Проблема 6. Управление десятками проектов параллельно невозможно. </w:t>
      </w:r>
      <w:r>
        <w:rPr>
          <w:rFonts w:ascii="Times New Roman" w:hAnsi="Times New Roman"/>
          <w:color w:val="1E293B"/>
          <w:sz w:val="22"/>
        </w:rPr>
        <w:t>ЦНТР планирует довести до 50–80 активных проектов одновременно для достижения целевой выручки. Управление таким количеством проектов без цифровой платформы — невозможно: менеджеры утонут в координации, сроки будут сорваны, документы потеряны. Платформа с дашбордом проектов, автоматическими уведомлениями, контролем сроков — единственное решение.</w:t>
      </w:r>
    </w:p>
    <w:tbl>
      <w:tblPr>
        <w:tblW w:type="auto" w:w="0"/>
        <w:jc w:val="center"/>
        <w:tblLook w:firstColumn="1" w:firstRow="1" w:lastColumn="0" w:lastRow="0" w:noHBand="0" w:noVBand="1" w:val="04A0"/>
      </w:tblPr>
      <w:tblGrid>
        <w:gridCol w:w="9355"/>
      </w:tblGrid>
      <w:tr>
        <w:tc>
          <w:tcPr>
            <w:tcW w:type="dxa" w:w="9071"/>
            <w:shd w:fill="FEE2E2"/>
            <w:tcBorders>
              <w:top w:val="single" w:sz="8" w:color="DC2626"/>
              <w:left w:val="single" w:sz="8" w:color="DC2626"/>
              <w:bottom w:val="single" w:sz="8" w:color="DC2626"/>
              <w:right w:val="single" w:sz="8" w:color="DC2626"/>
            </w:tcBorders>
          </w:tcPr>
          <w:p>
            <w:pPr>
              <w:spacing w:before="160" w:after="80"/>
            </w:pPr>
            <w:r/>
            <w:r>
              <w:rPr>
                <w:rFonts w:ascii="Arial" w:hAnsi="Arial"/>
                <w:b/>
                <w:color w:val="991B1B"/>
                <w:sz w:val="24"/>
              </w:rPr>
              <w:t>Главный вывод</w:t>
            </w:r>
          </w:p>
          <w:p>
            <w:pPr>
              <w:spacing w:before="40" w:after="160" w:line="336" w:lineRule="auto"/>
            </w:pPr>
            <w:r>
              <w:rPr>
                <w:rFonts w:ascii="Times New Roman" w:hAnsi="Times New Roman"/>
                <w:color w:val="1E293B"/>
                <w:sz w:val="21"/>
              </w:rPr>
              <w:t>Цифровая платформа — это не «IT-проект для удобства», а критическая инфраструктура, без которой невозможно масштабирование методологии, операционное управление десятками проектов, монетизация экосистемы и выход на самоокупаемость. Платформа — это инвестиция, которая окупается за 1–2 года через SaaS-подписки, комиссии и автоматизацию.</w:t>
            </w:r>
          </w:p>
        </w:tc>
      </w:tr>
    </w:tbl>
    <w:p/>
    <w:p>
      <w:r>
        <w:br w:type="page"/>
      </w:r>
    </w:p>
    <w:p>
      <w:pPr>
        <w:pStyle w:val="Heading1"/>
        <w:spacing w:before="560" w:after="280"/>
        <w:pBdr>
          <w:bottom w:val="single" w:sz="8" w:space="4" w:color="2563EB"/>
        </w:pBdr>
      </w:pPr>
      <w:r>
        <w:rPr>
          <w:rFonts w:ascii="Arial" w:hAnsi="Arial"/>
          <w:b/>
          <w:color w:val="0F172A"/>
          <w:sz w:val="40"/>
        </w:rPr>
        <w:t>17. 4 модуля платформы</w:t>
      </w:r>
    </w:p>
    <w:p>
      <w:pPr>
        <w:spacing w:line="360" w:lineRule="auto" w:after="160"/>
        <w:ind w:firstLine="340"/>
        <w:jc w:val="both"/>
      </w:pPr>
      <w:r>
        <w:rPr>
          <w:rFonts w:ascii="Times New Roman" w:hAnsi="Times New Roman"/>
          <w:b w:val="0"/>
          <w:i w:val="0"/>
          <w:color w:val="1E293B"/>
          <w:sz w:val="22"/>
        </w:rPr>
        <w:t>Платформа ЦНТР — это гибридная система, состоящая из 4 функциональных модулей и сквозных сервисов. Гибридность заключается в том, что платформа одновременно является операционным ядром ЦНТР (через которое ведутся проекты) и SaaS-продуктом для внешних подписчиков (AI-ассистент, API). Это позволяет ЦНТР зарабатывать двумя путями: на крупных проектах (Блок 2) и на массовых подписках (SaaS).</w:t>
      </w:r>
    </w:p>
    <w:p>
      <w:pPr>
        <w:pStyle w:val="Heading2"/>
        <w:spacing w:before="400" w:after="160"/>
      </w:pPr>
      <w:r>
        <w:rPr>
          <w:rFonts w:ascii="Arial" w:hAnsi="Arial"/>
          <w:b/>
          <w:color w:val="0F172A"/>
          <w:sz w:val="30"/>
        </w:rPr>
        <w:t>17.1. Модуль 1. Личные кабинеты участников (ЛК)</w:t>
      </w:r>
    </w:p>
    <w:p>
      <w:pPr>
        <w:spacing w:line="360" w:lineRule="auto" w:after="160"/>
        <w:ind w:firstLine="340"/>
        <w:jc w:val="both"/>
      </w:pPr>
      <w:r>
        <w:rPr>
          <w:rFonts w:ascii="Times New Roman" w:hAnsi="Times New Roman"/>
          <w:b w:val="0"/>
          <w:i w:val="0"/>
          <w:color w:val="1E293B"/>
          <w:sz w:val="22"/>
        </w:rPr>
        <w:t>Модуль личных кабинетов — точка входа в платформу для всех пользователей. Каждый из 9 типов пользователей имеет отдельный интерфейс ЛК с уникальным набором функций, соответствующих роли. Общий принцип: пользователь видит только то, что относится к его роли и проектам, в которых он участвует. Это снижает когнитивную нагрузку и ускоряет принятие решений.</w:t>
      </w:r>
    </w:p>
    <w:p>
      <w:pPr>
        <w:spacing w:line="360" w:lineRule="auto" w:after="160"/>
        <w:ind w:firstLine="340"/>
        <w:jc w:val="both"/>
      </w:pPr>
      <w:r>
        <w:rPr>
          <w:rFonts w:ascii="Times New Roman" w:hAnsi="Times New Roman"/>
          <w:b w:val="0"/>
          <w:i w:val="0"/>
          <w:color w:val="1E293B"/>
          <w:sz w:val="22"/>
        </w:rPr>
        <w:t>Архитектурно модуль ЛК состоит из: аутентификации и авторизации (регистрация, вход, восстановление пароля, многофакторная аутентификация для админов); ролевой модели доступа (RBAC — Role-Based Access Control с гранулярными правами); профилей пользователей с реквизитами, компетенциями, кейсами; настраиваемых дашбордов для каждой роли. ЛК — самый ресурсоёмкий модуль с точки зрения разработки, поскольку требует 9 разных интерфейсов (или одного с гибкой настройкой под роли).</w:t>
      </w:r>
    </w:p>
    <w:p>
      <w:pPr>
        <w:pStyle w:val="Heading2"/>
        <w:spacing w:before="400" w:after="160"/>
      </w:pPr>
      <w:r>
        <w:rPr>
          <w:rFonts w:ascii="Arial" w:hAnsi="Arial"/>
          <w:b/>
          <w:color w:val="0F172A"/>
          <w:sz w:val="30"/>
        </w:rPr>
        <w:t>17.2. Модуль 2. Дашборд проекта</w:t>
      </w:r>
    </w:p>
    <w:p>
      <w:pPr>
        <w:spacing w:line="360" w:lineRule="auto" w:after="160"/>
        <w:ind w:firstLine="340"/>
        <w:jc w:val="both"/>
      </w:pPr>
      <w:r>
        <w:rPr>
          <w:rFonts w:ascii="Times New Roman" w:hAnsi="Times New Roman"/>
          <w:b w:val="0"/>
          <w:i w:val="0"/>
          <w:color w:val="1E293B"/>
          <w:sz w:val="22"/>
        </w:rPr>
        <w:t>Дашборд проекта — центральный артефакт платформы, объединяющий прогресс по УГТ, документы, бюджет, риски и историю изменений. Дашборд видят все участники проекта в соответствии с их ролями: ГосКомпания видит «заказ», исполнитель — «работу», эксперт — «верификацию», админ — «всё». Это один и тот же проект, но разные проекции, что обеспечивается через RBAC.</w:t>
      </w:r>
    </w:p>
    <w:p>
      <w:pPr>
        <w:spacing w:line="360" w:lineRule="auto" w:after="160"/>
        <w:ind w:firstLine="340"/>
        <w:jc w:val="both"/>
      </w:pPr>
      <w:r>
        <w:rPr>
          <w:rFonts w:ascii="Times New Roman" w:hAnsi="Times New Roman"/>
          <w:b w:val="0"/>
          <w:i w:val="0"/>
          <w:color w:val="1E293B"/>
          <w:sz w:val="22"/>
        </w:rPr>
        <w:t>Структура дашборда включает 8 разделов: прогресс по УГТ (1–9) с целевым и текущим уровнями; контрольные точки (КТ-1…КТ-4) с датами и решениями go/no-go; документы проекта с версионированием и согласованием; бюджет и расходы (план vs факт по этапам, источники финансирования); сроки и里程碑 (диаграмма Ганта или календарь); риски и возвраты (зарегистрированные риски, история возвратов); история изменений (audit trail); участники проекта с ролями.</w:t>
      </w:r>
    </w:p>
    <w:p>
      <w:pPr>
        <w:pStyle w:val="Heading2"/>
        <w:spacing w:before="400" w:after="160"/>
      </w:pPr>
      <w:r>
        <w:rPr>
          <w:rFonts w:ascii="Arial" w:hAnsi="Arial"/>
          <w:b/>
          <w:color w:val="0F172A"/>
          <w:sz w:val="30"/>
        </w:rPr>
        <w:t>17.3. Модуль 3. Реестры и каталог</w:t>
      </w:r>
    </w:p>
    <w:p>
      <w:pPr>
        <w:spacing w:line="360" w:lineRule="auto" w:after="160"/>
        <w:ind w:firstLine="340"/>
        <w:jc w:val="both"/>
      </w:pPr>
      <w:r>
        <w:rPr>
          <w:rFonts w:ascii="Times New Roman" w:hAnsi="Times New Roman"/>
          <w:b w:val="0"/>
          <w:i w:val="0"/>
          <w:color w:val="1E293B"/>
          <w:sz w:val="22"/>
        </w:rPr>
        <w:t>Модуль реестров — источник данных для SaaS-подписок и API. Содержит три связанных реестра: реестр технологий (накопительный актив ЦНТР с патентными данными через API ФИПС), каталог исполнителей (B2B-витрина компетенций с алгоритмическим приоритетом для премиум-подписчиков), каталог кейсов (маркетинговый актив, привлекает новых клиентов). Реестр технологий автоматически обогащается данными из Роспатента через API.</w:t>
      </w:r>
    </w:p>
    <w:p>
      <w:pPr>
        <w:spacing w:line="360" w:lineRule="auto" w:after="160"/>
        <w:ind w:firstLine="340"/>
        <w:jc w:val="both"/>
      </w:pPr>
      <w:r>
        <w:rPr>
          <w:rFonts w:ascii="Times New Roman" w:hAnsi="Times New Roman"/>
          <w:b w:val="0"/>
          <w:i w:val="0"/>
          <w:color w:val="1E293B"/>
          <w:sz w:val="22"/>
        </w:rPr>
        <w:t>API-доступ (услуга 2) — стратегический продукт для внешних агрегаторов, ERP-систем ГосКомпаний, банков. API предоставляет программный доступ к реестру технологий, каталогу исполнителей и (ограниченно) к кейсам. Партнёров пока нет, но потенциальная ценность агрегации большая: ЦНТР сам агрегирует большое количество источников, поэтому продажа собственного API может быть выгодна. API — потенциально крупнейший источник масштабируемой выручки после AI-ассистента.</w:t>
      </w:r>
    </w:p>
    <w:p>
      <w:pPr>
        <w:pStyle w:val="Heading2"/>
        <w:spacing w:before="400" w:after="160"/>
      </w:pPr>
      <w:r>
        <w:rPr>
          <w:rFonts w:ascii="Arial" w:hAnsi="Arial"/>
          <w:b/>
          <w:color w:val="0F172A"/>
          <w:sz w:val="30"/>
        </w:rPr>
        <w:t>17.4. Модуль 4. AI-ассистент (флагман)</w:t>
      </w:r>
    </w:p>
    <w:p>
      <w:pPr>
        <w:spacing w:line="360" w:lineRule="auto" w:after="160"/>
        <w:ind w:firstLine="340"/>
        <w:jc w:val="both"/>
      </w:pPr>
      <w:r>
        <w:rPr>
          <w:rFonts w:ascii="Times New Roman" w:hAnsi="Times New Roman"/>
          <w:b w:val="0"/>
          <w:i w:val="0"/>
          <w:color w:val="1E293B"/>
          <w:sz w:val="22"/>
        </w:rPr>
        <w:t>AI-ассистент — флагманский продукт платформы. Это чат-бот, обученный на документах ЦНТР (ГОСТ Р 58048, шаблоны ТЗ/ТЭО/Паспорта, кейсы реализованных проектов, чек-листы КТ), который помогает исполнителям вести проекты в методологии Центра без прямого участия менеджеров ЦНТР. AI-ассистент существует в двух формах: встроенный в платформу и как бот в Telegram/МАКС для удобства общения с заказчиками.</w:t>
      </w:r>
    </w:p>
    <w:p>
      <w:pPr>
        <w:spacing w:line="360" w:lineRule="auto" w:after="160"/>
        <w:ind w:firstLine="340"/>
        <w:jc w:val="both"/>
      </w:pPr>
      <w:r>
        <w:rPr>
          <w:rFonts w:ascii="Times New Roman" w:hAnsi="Times New Roman"/>
          <w:b w:val="0"/>
          <w:i w:val="0"/>
          <w:color w:val="1E293B"/>
          <w:sz w:val="22"/>
        </w:rPr>
        <w:t>Технологическая основа: российская облачная LLM (вероятно GigaChat от Сбера), RAG (Retrieval-Augmented Generation) на документах ЦНТР, fine-tuning на кейсах реализованных проектов. Функции AI-ассистента: чат-консультант по этапам УГТ, генерация документов по шаблонам, оценка готовности к переходу на следующий УГТ, журнал проектных решений, сравнение с лучшими практиками, предзаполненная заявка в ЦНТР. При 50 подписчиках × 250 тыс. ₽ = 12.5 млн ₽/год почти без переменных затрат.</w:t>
      </w:r>
    </w:p>
    <w:p>
      <w:r>
        <w:br w:type="page"/>
      </w:r>
    </w:p>
    <w:p>
      <w:pPr>
        <w:pStyle w:val="Heading1"/>
        <w:spacing w:before="560" w:after="280"/>
        <w:pBdr>
          <w:bottom w:val="single" w:sz="8" w:space="4" w:color="2563EB"/>
        </w:pBdr>
      </w:pPr>
      <w:r>
        <w:rPr>
          <w:rFonts w:ascii="Arial" w:hAnsi="Arial"/>
          <w:b/>
          <w:color w:val="0F172A"/>
          <w:sz w:val="40"/>
        </w:rPr>
        <w:t>18. Уникальное ценностное предложение платформы</w:t>
      </w:r>
    </w:p>
    <w:p>
      <w:pPr>
        <w:spacing w:line="360" w:lineRule="auto" w:after="160"/>
        <w:ind w:firstLine="340"/>
        <w:jc w:val="both"/>
      </w:pPr>
      <w:r>
        <w:rPr>
          <w:rFonts w:ascii="Times New Roman" w:hAnsi="Times New Roman"/>
          <w:b w:val="0"/>
          <w:i w:val="0"/>
          <w:color w:val="1E293B"/>
          <w:sz w:val="22"/>
        </w:rPr>
        <w:t>Уникальное ценностное предложение (УТП) платформы ЦНТР формулируется не через технологии, а через бизнес-результат для клиента. Конкуренты (ФАСИЕ, АТР, GPR Consulting) предлагают фрагменты: гранты, консультации, GR-сопровождение. ЦНТР с платформой предлагает полный цикл — от идеи до серийного производства — в едином цифровом контуре.</w:t>
      </w:r>
    </w:p>
    <w:p>
      <w:pPr>
        <w:pStyle w:val="Heading2"/>
        <w:spacing w:before="400" w:after="160"/>
      </w:pPr>
      <w:r>
        <w:rPr>
          <w:rFonts w:ascii="Arial" w:hAnsi="Arial"/>
          <w:b/>
          <w:color w:val="0F172A"/>
          <w:sz w:val="30"/>
        </w:rPr>
        <w:t>18.1. Пять столпов УТП</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Полный документооборот по ГОСТ Р 58048. </w:t>
      </w:r>
      <w:r>
        <w:rPr>
          <w:rFonts w:ascii="Times New Roman" w:hAnsi="Times New Roman"/>
          <w:color w:val="1E293B"/>
          <w:sz w:val="22"/>
        </w:rPr>
        <w:t>Единственная в РФ платформа, где все документы (ТЗ, ТЭО, Паспорт, Дорожная карта, Мини-ТЗ, Верификация УГТ, Акт приёма-передачи) генерируются, хранятся, версионизируются и подписываются в одном месте. Конкуренты работают в email и Excel.</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AI-ассистент, обученный на данных ЦНТР. </w:t>
      </w:r>
      <w:r>
        <w:rPr>
          <w:rFonts w:ascii="Times New Roman" w:hAnsi="Times New Roman"/>
          <w:color w:val="1E293B"/>
          <w:sz w:val="22"/>
        </w:rPr>
        <w:t>RAG + fine-tuning на документах Центра и кейсах реализованных проектов. Чем дольше работает ЦНТР, тем умнее AI. Это создаёт конкурентный барьер: новые игроки начинают с нуля.</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Реестр технологий с патентными данными по API. </w:t>
      </w:r>
      <w:r>
        <w:rPr>
          <w:rFonts w:ascii="Times New Roman" w:hAnsi="Times New Roman"/>
          <w:color w:val="1E293B"/>
          <w:sz w:val="22"/>
        </w:rPr>
        <w:t>Реестр автоматически обогащается данными из Роспатента (ФИПС) через API. Инвесторы получают актуальную картину IP-статуса технологий. Аналогов в регионе нет.</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Раздельные интерфейсы для каждой роли. </w:t>
      </w:r>
      <w:r>
        <w:rPr>
          <w:rFonts w:ascii="Times New Roman" w:hAnsi="Times New Roman"/>
          <w:color w:val="1E293B"/>
          <w:sz w:val="22"/>
        </w:rPr>
        <w:t>ГосКомпания видит дашборд заказа, исполнитель — дашборд проекта, эксперт — расписание верификаций, админ — всё вместе. Это снижает когнитивную нагрузку и ускоряет принятие решений.</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Интеграция с бухгалтерией как B2B-УТП. </w:t>
      </w:r>
      <w:r>
        <w:rPr>
          <w:rFonts w:ascii="Times New Roman" w:hAnsi="Times New Roman"/>
          <w:color w:val="1E293B"/>
          <w:sz w:val="22"/>
        </w:rPr>
        <w:t>Прямая выгрузка документов в 1С/Контур экономит бухгалтериям ГосКомпаний и ВУЗов десятки часов в месяц. Это решающий фактор для B2B-клиентов при выборе платформы.</w:t>
      </w:r>
    </w:p>
    <w:p>
      <w:r>
        <w:br w:type="page"/>
      </w:r>
    </w:p>
    <w:p>
      <w:pPr>
        <w:pStyle w:val="Heading1"/>
        <w:spacing w:before="560" w:after="280"/>
        <w:pBdr>
          <w:bottom w:val="single" w:sz="8" w:space="4" w:color="2563EB"/>
        </w:pBdr>
      </w:pPr>
      <w:r>
        <w:rPr>
          <w:rFonts w:ascii="Arial" w:hAnsi="Arial"/>
          <w:b/>
          <w:color w:val="0F172A"/>
          <w:sz w:val="40"/>
        </w:rPr>
        <w:t>19. Конкурентное позиционирование</w:t>
      </w:r>
    </w:p>
    <w:p>
      <w:pPr>
        <w:spacing w:line="360" w:lineRule="auto" w:after="160"/>
        <w:ind w:firstLine="340"/>
        <w:jc w:val="both"/>
      </w:pPr>
      <w:r>
        <w:rPr>
          <w:rFonts w:ascii="Times New Roman" w:hAnsi="Times New Roman"/>
          <w:b w:val="0"/>
          <w:i w:val="0"/>
          <w:color w:val="1E293B"/>
          <w:sz w:val="22"/>
        </w:rPr>
        <w:t>ЦНТР с цифровой платформой занимает уникальное позиционирование, которого нет ни у одного конкурента в России. Ниже приведено сравнение с тремя ключевыми игроками: ФАСИЕ (Фонд содействия инновациям), АТР (Ассоциация технологического развития), GPR Consulting (GR-агентство «Сунцов и партнёры» в Удмуртии).</w:t>
      </w:r>
    </w:p>
    <w:tbl>
      <w:tblPr>
        <w:tblW w:type="auto" w:w="0"/>
        <w:jc w:val="center"/>
        <w:tblLook w:firstColumn="1" w:firstRow="1" w:lastColumn="0" w:lastRow="0" w:noHBand="0" w:noVBand="1" w:val="04A0"/>
      </w:tblPr>
      <w:tblGrid>
        <w:gridCol w:w="1871"/>
        <w:gridCol w:w="1871"/>
        <w:gridCol w:w="1871"/>
        <w:gridCol w:w="1871"/>
        <w:gridCol w:w="1871"/>
      </w:tblGrid>
      <w:tr>
        <w:tc>
          <w:tcPr>
            <w:tcW w:type="dxa" w:w="1984"/>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Аспект</w:t>
            </w:r>
          </w:p>
        </w:tc>
        <w:tc>
          <w:tcPr>
            <w:tcW w:type="dxa" w:w="1417"/>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ФАСИЕ</w:t>
            </w:r>
          </w:p>
        </w:tc>
        <w:tc>
          <w:tcPr>
            <w:tcW w:type="dxa" w:w="1417"/>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АТР</w:t>
            </w:r>
          </w:p>
        </w:tc>
        <w:tc>
          <w:tcPr>
            <w:tcW w:type="dxa" w:w="1701"/>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GPR Consulting</w:t>
            </w:r>
          </w:p>
        </w:tc>
        <w:tc>
          <w:tcPr>
            <w:tcW w:type="dxa" w:w="2551"/>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ЦНТР с платформой</w:t>
            </w:r>
          </w:p>
        </w:tc>
      </w:tr>
      <w:tr>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Полный цикл УГТ 1–9</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Нет</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Частично</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Нет</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Да</w:t>
            </w:r>
          </w:p>
        </w:tc>
      </w:tr>
      <w:tr>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Документооборот на платформе</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Нет</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Нет</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Нет</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Да</w:t>
            </w:r>
          </w:p>
        </w:tc>
      </w:tr>
      <w:tr>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AI-ассистент</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Нет</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Нет</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Нет</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Да</w:t>
            </w:r>
          </w:p>
        </w:tc>
      </w:tr>
      <w:tr>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Реестр технологий</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База грантополучателей</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Нет</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Нет</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С патентными данными</w:t>
            </w:r>
          </w:p>
        </w:tc>
      </w:tr>
      <w:tr>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Каталог исполнителей</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База стартапов</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Нет</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Нет</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С верификацией УГТ</w:t>
            </w:r>
          </w:p>
        </w:tc>
      </w:tr>
      <w:tr>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Биллинг и подписки</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Нет</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Нет</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Нет</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Да</w:t>
            </w:r>
          </w:p>
        </w:tc>
      </w:tr>
      <w:tr>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API для внешних</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Нет</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Нет</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Нет</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Да (v3)</w:t>
            </w:r>
          </w:p>
        </w:tc>
      </w:tr>
      <w:tr>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GR-услуги</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Нет</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Нет</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Да</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Да (через партнёров)</w:t>
            </w:r>
          </w:p>
        </w:tc>
      </w:tr>
      <w:tr>
        <w:tc>
          <w:tcPr>
            <w:tcW w:type="dxa" w:w="1984"/>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Региональная экспертиза (УР)</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Слабая</w:t>
            </w:r>
          </w:p>
        </w:tc>
        <w:tc>
          <w:tcPr>
            <w:tcW w:type="dxa" w:w="1417"/>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Слабая</w:t>
            </w:r>
          </w:p>
        </w:tc>
        <w:tc>
          <w:tcPr>
            <w:tcW w:type="dxa" w:w="1701"/>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Сильная</w:t>
            </w:r>
          </w:p>
        </w:tc>
        <w:tc>
          <w:tcPr>
            <w:tcW w:type="dxa" w:w="2551"/>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Уникальная</w:t>
            </w:r>
          </w:p>
        </w:tc>
      </w:tr>
      <w:tr>
        <w:tc>
          <w:tcPr>
            <w:tcW w:type="dxa" w:w="1984"/>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Масштабируемость (SaaS)</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Нет</w:t>
            </w:r>
          </w:p>
        </w:tc>
        <w:tc>
          <w:tcPr>
            <w:tcW w:type="dxa" w:w="1417"/>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Нет</w:t>
            </w:r>
          </w:p>
        </w:tc>
        <w:tc>
          <w:tcPr>
            <w:tcW w:type="dxa" w:w="1701"/>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Нет</w:t>
            </w:r>
          </w:p>
        </w:tc>
        <w:tc>
          <w:tcPr>
            <w:tcW w:type="dxa" w:w="2551"/>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Да</w:t>
            </w:r>
          </w:p>
        </w:tc>
      </w:tr>
    </w:tbl>
    <w:tbl>
      <w:tblPr>
        <w:tblW w:type="auto" w:w="0"/>
        <w:jc w:val="center"/>
        <w:tblLook w:firstColumn="1" w:firstRow="1" w:lastColumn="0" w:lastRow="0" w:noHBand="0" w:noVBand="1" w:val="04A0"/>
      </w:tblPr>
      <w:tblGrid>
        <w:gridCol w:w="9355"/>
      </w:tblGrid>
      <w:tr>
        <w:tc>
          <w:tcPr>
            <w:tcW w:type="dxa" w:w="9071"/>
            <w:shd w:fill="D1FAE5"/>
            <w:tcBorders>
              <w:top w:val="single" w:sz="8" w:color="059669"/>
              <w:left w:val="single" w:sz="8" w:color="059669"/>
              <w:bottom w:val="single" w:sz="8" w:color="059669"/>
              <w:right w:val="single" w:sz="8" w:color="059669"/>
            </w:tcBorders>
          </w:tcPr>
          <w:p>
            <w:pPr>
              <w:spacing w:before="160" w:after="80"/>
            </w:pPr>
            <w:r/>
            <w:r>
              <w:rPr>
                <w:rFonts w:ascii="Arial" w:hAnsi="Arial"/>
                <w:b/>
                <w:color w:val="065F46"/>
                <w:sz w:val="24"/>
              </w:rPr>
              <w:t>Главное конкурентное преимущество</w:t>
            </w:r>
          </w:p>
          <w:p>
            <w:pPr>
              <w:spacing w:before="40" w:after="160" w:line="336" w:lineRule="auto"/>
            </w:pPr>
            <w:r>
              <w:rPr>
                <w:rFonts w:ascii="Times New Roman" w:hAnsi="Times New Roman"/>
                <w:color w:val="1E293B"/>
                <w:sz w:val="21"/>
              </w:rPr>
              <w:t>ЦНТР — единственный игрок в Удмуртской Республике (и один из немногих в РФ), кто объединяет методологию ГОСТ Р 58048, экосистему 50+ организаций и цифровую платформу с полным документооборотом. Ни один конкурент не может воспроизвести это за разумное время, потому что требует одновременного наличия методологии, связей и технологий. Это создаёт устойчивый конкурентный барьер.</w:t>
            </w:r>
          </w:p>
        </w:tc>
      </w:tr>
    </w:tbl>
    <w:p/>
    <w:p>
      <w:r>
        <w:br w:type="page"/>
      </w:r>
    </w:p>
    <w:p>
      <w:r>
        <w:br w:type="page"/>
      </w:r>
    </w:p>
    <w:p/>
    <w:p/>
    <w:p/>
    <w:p>
      <w:pPr>
        <w:jc w:val="center"/>
      </w:pPr>
      <w:r>
        <w:rPr>
          <w:rFonts w:ascii="Arial" w:hAnsi="Arial"/>
          <w:b/>
          <w:color w:val="2563EB"/>
          <w:sz w:val="28"/>
        </w:rPr>
        <w:t>ЧАСТЬ VI</w:t>
      </w:r>
    </w:p>
    <w:p>
      <w:pPr>
        <w:jc w:val="center"/>
      </w:pPr>
      <w:r>
        <w:rPr>
          <w:rFonts w:ascii="Arial" w:hAnsi="Arial"/>
          <w:b/>
          <w:color w:val="0F172A"/>
          <w:sz w:val="48"/>
        </w:rPr>
        <w:t>Текущее состояние и видение</w:t>
      </w:r>
    </w:p>
    <w:p>
      <w:pPr>
        <w:spacing w:before="400"/>
        <w:jc w:val="center"/>
      </w:pPr>
      <w:r>
        <w:rPr>
          <w:rFonts w:ascii="Arial" w:hAnsi="Arial"/>
          <w:color w:val="2563EB"/>
          <w:sz w:val="28"/>
        </w:rPr>
        <w:t>◆ ◆ ◆</w:t>
      </w:r>
    </w:p>
    <w:p>
      <w:r>
        <w:br w:type="page"/>
      </w:r>
    </w:p>
    <w:p>
      <w:pPr>
        <w:pStyle w:val="Heading1"/>
        <w:spacing w:before="560" w:after="280"/>
        <w:pBdr>
          <w:bottom w:val="single" w:sz="8" w:space="4" w:color="2563EB"/>
        </w:pBdr>
      </w:pPr>
      <w:r>
        <w:rPr>
          <w:rFonts w:ascii="Arial" w:hAnsi="Arial"/>
          <w:b/>
          <w:color w:val="0F172A"/>
          <w:sz w:val="40"/>
        </w:rPr>
        <w:t>20. Действующий MVP платформы</w:t>
      </w:r>
    </w:p>
    <w:p>
      <w:pPr>
        <w:spacing w:line="360" w:lineRule="auto" w:after="160"/>
        <w:ind w:firstLine="340"/>
        <w:jc w:val="both"/>
      </w:pPr>
      <w:r>
        <w:rPr>
          <w:rFonts w:ascii="Times New Roman" w:hAnsi="Times New Roman"/>
          <w:b w:val="0"/>
          <w:i w:val="0"/>
          <w:color w:val="1E293B"/>
          <w:sz w:val="22"/>
        </w:rPr>
        <w:t>Действующий MVP платформы доступен по адресу https://technozrelost.space-z.ai/. Технически это Next.js-приложение со статическим iframe-вложением, содержащим SPA-дашборд. MVP выполняет функцию образовательной витрины методологии ГОСТ Р 58048-2017, но не является рабочей платформой для операционной деятельности ЦНТР. Существуют также две презентации: https://cyfrovayaplatformapreza.space-z.ai/ — презентация цифровой платформы, https://udmcentrntr.space-z.ai/ — презентация работы Центра.</w:t>
      </w:r>
    </w:p>
    <w:p>
      <w:pPr>
        <w:pStyle w:val="Heading2"/>
        <w:spacing w:before="400" w:after="160"/>
      </w:pPr>
      <w:r>
        <w:rPr>
          <w:rFonts w:ascii="Arial" w:hAnsi="Arial"/>
          <w:b/>
          <w:color w:val="0F172A"/>
          <w:sz w:val="30"/>
        </w:rPr>
        <w:t>20.1. Что есть в текущем MVP</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Интерактивная шкала 9 УГТ. </w:t>
      </w:r>
      <w:r>
        <w:rPr>
          <w:rFonts w:ascii="Times New Roman" w:hAnsi="Times New Roman"/>
          <w:color w:val="1E293B"/>
          <w:sz w:val="22"/>
        </w:rPr>
        <w:t>Кликабельные уровни 1–9 с описанием требований и результатов перехода</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Детальный обзор каждого УГТ. </w:t>
      </w:r>
      <w:r>
        <w:rPr>
          <w:rFonts w:ascii="Times New Roman" w:hAnsi="Times New Roman"/>
          <w:color w:val="1E293B"/>
          <w:sz w:val="22"/>
        </w:rPr>
        <w:t>Информация о требованиях, результатах и критериях перехода между уровнями</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Опросник для оценки проекта. </w:t>
      </w:r>
      <w:r>
        <w:rPr>
          <w:rFonts w:ascii="Times New Roman" w:hAnsi="Times New Roman"/>
          <w:color w:val="1E293B"/>
          <w:sz w:val="22"/>
        </w:rPr>
        <w:t>Интерактивная форма, определяющая текущий УГТ проекта по ответам пользователя</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Дорожная карта. </w:t>
      </w:r>
      <w:r>
        <w:rPr>
          <w:rFonts w:ascii="Times New Roman" w:hAnsi="Times New Roman"/>
          <w:color w:val="1E293B"/>
          <w:sz w:val="22"/>
        </w:rPr>
        <w:t>Визуализация пути развития проекта от текущего к целевому УГТ</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Раздел методологии. </w:t>
      </w:r>
      <w:r>
        <w:rPr>
          <w:rFonts w:ascii="Times New Roman" w:hAnsi="Times New Roman"/>
          <w:color w:val="1E293B"/>
          <w:sz w:val="22"/>
        </w:rPr>
        <w:t>Описание ГОСТ Р 58048-2017, шкалы УГП, УГИ, УГС</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MVP админки. </w:t>
      </w:r>
      <w:r>
        <w:rPr>
          <w:rFonts w:ascii="Times New Roman" w:hAnsi="Times New Roman"/>
          <w:color w:val="1E293B"/>
          <w:sz w:val="22"/>
        </w:rPr>
        <w:t>Базовый интерфейс администратора для управления контентом платформы</w:t>
      </w:r>
    </w:p>
    <w:p>
      <w:pPr>
        <w:pStyle w:val="Heading2"/>
        <w:spacing w:before="400" w:after="160"/>
      </w:pPr>
      <w:r>
        <w:rPr>
          <w:rFonts w:ascii="Arial" w:hAnsi="Arial"/>
          <w:b/>
          <w:color w:val="0F172A"/>
          <w:sz w:val="30"/>
        </w:rPr>
        <w:t>20.2. Чего НЕТ в текущем MVP (и нужно в MVP v2)</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Личных кабинетов участников. </w:t>
      </w:r>
      <w:r>
        <w:rPr>
          <w:rFonts w:ascii="Times New Roman" w:hAnsi="Times New Roman"/>
          <w:color w:val="1E293B"/>
          <w:sz w:val="22"/>
        </w:rPr>
        <w:t>Нет ЛК ГосКомпаний, исполнителей, экспертов, админов с разными интерфейсами</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Дашборда проекта. </w:t>
      </w:r>
      <w:r>
        <w:rPr>
          <w:rFonts w:ascii="Times New Roman" w:hAnsi="Times New Roman"/>
          <w:color w:val="1E293B"/>
          <w:sz w:val="22"/>
        </w:rPr>
        <w:t>Нет визуализации прогресса конкретного проекта по УГТ с КТ, документами, бюджетом</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Документооборота. </w:t>
      </w:r>
      <w:r>
        <w:rPr>
          <w:rFonts w:ascii="Times New Roman" w:hAnsi="Times New Roman"/>
          <w:color w:val="1E293B"/>
          <w:sz w:val="22"/>
        </w:rPr>
        <w:t>Нет генерации, хранения, версионирования и согласования документов</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Реестров. </w:t>
      </w:r>
      <w:r>
        <w:rPr>
          <w:rFonts w:ascii="Times New Roman" w:hAnsi="Times New Roman"/>
          <w:color w:val="1E293B"/>
          <w:sz w:val="22"/>
        </w:rPr>
        <w:t>Нет реестра технологий, каталога исполнителей, реестра кейсов</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Биллинга. </w:t>
      </w:r>
      <w:r>
        <w:rPr>
          <w:rFonts w:ascii="Times New Roman" w:hAnsi="Times New Roman"/>
          <w:color w:val="1E293B"/>
          <w:sz w:val="22"/>
        </w:rPr>
        <w:t>Нет подписок, платёжных шлюзов, комиссий со сделок</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AI-ассистента. </w:t>
      </w:r>
      <w:r>
        <w:rPr>
          <w:rFonts w:ascii="Times New Roman" w:hAnsi="Times New Roman"/>
          <w:color w:val="1E293B"/>
          <w:sz w:val="22"/>
        </w:rPr>
        <w:t>Нет чат-бота, обученного на документах ЦНТР</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Уведомлений. </w:t>
      </w:r>
      <w:r>
        <w:rPr>
          <w:rFonts w:ascii="Times New Roman" w:hAnsi="Times New Roman"/>
          <w:color w:val="1E293B"/>
          <w:sz w:val="22"/>
        </w:rPr>
        <w:t>Нет Telegram-бота для уведомлений участникам</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API. </w:t>
      </w:r>
      <w:r>
        <w:rPr>
          <w:rFonts w:ascii="Times New Roman" w:hAnsi="Times New Roman"/>
          <w:color w:val="1E293B"/>
          <w:sz w:val="22"/>
        </w:rPr>
        <w:t>Нет программного интерфейса для внешних потребителей</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Аутентификации. </w:t>
      </w:r>
      <w:r>
        <w:rPr>
          <w:rFonts w:ascii="Times New Roman" w:hAnsi="Times New Roman"/>
          <w:color w:val="1E293B"/>
          <w:sz w:val="22"/>
        </w:rPr>
        <w:t>Нет регистрации, входа, восстановления пароля, ролевой модели</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Чата с поддержкой. </w:t>
      </w:r>
      <w:r>
        <w:rPr>
          <w:rFonts w:ascii="Times New Roman" w:hAnsi="Times New Roman"/>
          <w:color w:val="1E293B"/>
          <w:sz w:val="22"/>
        </w:rPr>
        <w:t>Нет канала обращения пользователей в ЦНТР</w:t>
      </w:r>
    </w:p>
    <w:tbl>
      <w:tblPr>
        <w:tblW w:type="auto" w:w="0"/>
        <w:jc w:val="center"/>
        <w:tblLook w:firstColumn="1" w:firstRow="1" w:lastColumn="0" w:lastRow="0" w:noHBand="0" w:noVBand="1" w:val="04A0"/>
      </w:tblPr>
      <w:tblGrid>
        <w:gridCol w:w="9355"/>
      </w:tblGrid>
      <w:tr>
        <w:tc>
          <w:tcPr>
            <w:tcW w:type="dxa" w:w="9071"/>
            <w:shd w:fill="FEF3C7"/>
            <w:tcBorders>
              <w:top w:val="single" w:sz="8" w:color="D97706"/>
              <w:left w:val="single" w:sz="8" w:color="D97706"/>
              <w:bottom w:val="single" w:sz="8" w:color="D97706"/>
              <w:right w:val="single" w:sz="8" w:color="D97706"/>
            </w:tcBorders>
          </w:tcPr>
          <w:p>
            <w:pPr>
              <w:spacing w:before="160" w:after="80"/>
            </w:pPr>
            <w:r/>
            <w:r>
              <w:rPr>
                <w:rFonts w:ascii="Arial" w:hAnsi="Arial"/>
                <w:b/>
                <w:color w:val="78350F"/>
                <w:sz w:val="24"/>
              </w:rPr>
              <w:t>Вывод по текущему состоянию</w:t>
            </w:r>
          </w:p>
          <w:p>
            <w:pPr>
              <w:spacing w:before="40" w:after="160" w:line="336" w:lineRule="auto"/>
            </w:pPr>
            <w:r>
              <w:rPr>
                <w:rFonts w:ascii="Times New Roman" w:hAnsi="Times New Roman"/>
                <w:color w:val="1E293B"/>
                <w:sz w:val="21"/>
              </w:rPr>
              <w:t>MVP — это «витрина» методологии, а не рабочий инструмент. Его можно использовать для образовательных целей и привлечения лидов, но невозможно — для операционной деятельности ЦНТР. MVP v2 — это качественный скачок: от статической демонстрации к рабочей платформе с пользователями, документами и транзакциями.</w:t>
            </w:r>
          </w:p>
        </w:tc>
      </w:tr>
    </w:tbl>
    <w:p/>
    <w:p>
      <w:r>
        <w:br w:type="page"/>
      </w:r>
    </w:p>
    <w:p>
      <w:pPr>
        <w:pStyle w:val="Heading1"/>
        <w:spacing w:before="560" w:after="280"/>
        <w:pBdr>
          <w:bottom w:val="single" w:sz="8" w:space="4" w:color="2563EB"/>
        </w:pBdr>
      </w:pPr>
      <w:r>
        <w:rPr>
          <w:rFonts w:ascii="Arial" w:hAnsi="Arial"/>
          <w:b/>
          <w:color w:val="0F172A"/>
          <w:sz w:val="40"/>
        </w:rPr>
        <w:t>21. Видение MVP v2 и v3</w:t>
      </w:r>
    </w:p>
    <w:p>
      <w:pPr>
        <w:spacing w:line="360" w:lineRule="auto" w:after="160"/>
        <w:ind w:firstLine="340"/>
        <w:jc w:val="both"/>
      </w:pPr>
      <w:r>
        <w:rPr>
          <w:rFonts w:ascii="Times New Roman" w:hAnsi="Times New Roman"/>
          <w:b w:val="0"/>
          <w:i w:val="0"/>
          <w:color w:val="1E293B"/>
          <w:sz w:val="22"/>
        </w:rPr>
        <w:t>Дорожная карта платформы построена по принципу «быстрый MVP → валидация → масштабирование». MVP v2 (1.5 месяца, к концу августа 2026) — рабочая платформа с базовым функционалом. v3 (6–12 месяцев) — масштабирование через AI-ассистент, API, полный документооборот с УКЭП.</w:t>
      </w:r>
    </w:p>
    <w:p>
      <w:pPr>
        <w:pStyle w:val="Heading2"/>
        <w:spacing w:before="400" w:after="160"/>
      </w:pPr>
      <w:r>
        <w:rPr>
          <w:rFonts w:ascii="Arial" w:hAnsi="Arial"/>
          <w:b/>
          <w:color w:val="0F172A"/>
          <w:sz w:val="30"/>
        </w:rPr>
        <w:t>21.1. MVP v2 (1.5 месяца, к концу августа 2026)</w:t>
      </w:r>
    </w:p>
    <w:p>
      <w:pPr>
        <w:spacing w:line="360" w:lineRule="auto" w:after="160"/>
        <w:ind w:firstLine="340"/>
        <w:jc w:val="both"/>
      </w:pPr>
      <w:r>
        <w:rPr>
          <w:rFonts w:ascii="Times New Roman" w:hAnsi="Times New Roman"/>
          <w:b w:val="0"/>
          <w:i w:val="0"/>
          <w:color w:val="1E293B"/>
          <w:sz w:val="22"/>
        </w:rPr>
        <w:t>Цель MVP v2: получить рабочую платформу с пользователями, проектами и базовой монетизацией. Подтвердить спрос и ценность. Срок 1.5 месяца — амбициозный, но достижимый при использовании AI-инженерного подхода (harness + Ralph Loop) и фокусировки на ключевых функциях. Что входит и что отложено — ниже.</w:t>
      </w:r>
    </w:p>
    <w:tbl>
      <w:tblPr>
        <w:tblW w:type="auto" w:w="0"/>
        <w:jc w:val="center"/>
        <w:tblLook w:firstColumn="1" w:firstRow="1" w:lastColumn="0" w:lastRow="0" w:noHBand="0" w:noVBand="1" w:val="04A0"/>
      </w:tblPr>
      <w:tblGrid>
        <w:gridCol w:w="3118"/>
        <w:gridCol w:w="3118"/>
        <w:gridCol w:w="3118"/>
      </w:tblGrid>
      <w:tr>
        <w:tc>
          <w:tcPr>
            <w:tcW w:type="dxa" w:w="850"/>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Неделя</w:t>
            </w:r>
          </w:p>
        </w:tc>
        <w:tc>
          <w:tcPr>
            <w:tcW w:type="dxa" w:w="4819"/>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Что готово</w:t>
            </w:r>
          </w:p>
        </w:tc>
        <w:tc>
          <w:tcPr>
            <w:tcW w:type="dxa" w:w="3402"/>
            <w:shd w:fill="1E293B"/>
            <w:tcBorders>
              <w:top w:val="single" w:sz="4" w:color="1E293B"/>
              <w:left w:val="single" w:sz="4" w:color="1E293B"/>
              <w:bottom w:val="single" w:sz="4" w:color="1E293B"/>
              <w:right w:val="single" w:sz="4" w:color="1E293B"/>
            </w:tcBorders>
            <w:vAlign w:val="center"/>
          </w:tcPr>
          <w:p>
            <w:pPr>
              <w:spacing w:before="80" w:after="80"/>
              <w:jc w:val="center"/>
            </w:pPr>
            <w:r/>
            <w:r>
              <w:rPr>
                <w:rFonts w:ascii="Arial" w:hAnsi="Arial"/>
                <w:b/>
                <w:color w:val="FFFFFF"/>
                <w:sz w:val="20"/>
              </w:rPr>
              <w:t>Критерий готовности</w:t>
            </w:r>
          </w:p>
        </w:tc>
      </w:tr>
      <w:tr>
        <w:tc>
          <w:tcPr>
            <w:tcW w:type="dxa" w:w="850"/>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1</w:t>
            </w:r>
          </w:p>
        </w:tc>
        <w:tc>
          <w:tcPr>
            <w:tcW w:type="dxa" w:w="4819"/>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Архитектура и стек выбраны, базовая структура, аутентификация</w:t>
            </w:r>
          </w:p>
        </w:tc>
        <w:tc>
          <w:tcPr>
            <w:tcW w:type="dxa" w:w="3402"/>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Рабочий login/register для всех ролей</w:t>
            </w:r>
          </w:p>
        </w:tc>
      </w:tr>
      <w:tr>
        <w:tc>
          <w:tcPr>
            <w:tcW w:type="dxa" w:w="850"/>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2</w:t>
            </w:r>
          </w:p>
        </w:tc>
        <w:tc>
          <w:tcPr>
            <w:tcW w:type="dxa" w:w="4819"/>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ЛК ГосКомпании + ЛК R&amp;D-исполнителя (базовые)</w:t>
            </w:r>
          </w:p>
        </w:tc>
        <w:tc>
          <w:tcPr>
            <w:tcW w:type="dxa" w:w="3402"/>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Создание проекта, загрузка профиля</w:t>
            </w:r>
          </w:p>
        </w:tc>
      </w:tr>
      <w:tr>
        <w:tc>
          <w:tcPr>
            <w:tcW w:type="dxa" w:w="850"/>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3</w:t>
            </w:r>
          </w:p>
        </w:tc>
        <w:tc>
          <w:tcPr>
            <w:tcW w:type="dxa" w:w="4819"/>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Дашборд проекта с УГТ-прогрессом + ЛК админа</w:t>
            </w:r>
          </w:p>
        </w:tc>
        <w:tc>
          <w:tcPr>
            <w:tcW w:type="dxa" w:w="3402"/>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Просмотр прогресса, управление пользователями</w:t>
            </w:r>
          </w:p>
        </w:tc>
      </w:tr>
      <w:tr>
        <w:tc>
          <w:tcPr>
            <w:tcW w:type="dxa" w:w="850"/>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4</w:t>
            </w:r>
          </w:p>
        </w:tc>
        <w:tc>
          <w:tcPr>
            <w:tcW w:type="dxa" w:w="4819"/>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Реестр технологий + каталог исполнителей</w:t>
            </w:r>
          </w:p>
        </w:tc>
        <w:tc>
          <w:tcPr>
            <w:tcW w:type="dxa" w:w="3402"/>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Просмотр и поиск по реестрам</w:t>
            </w:r>
          </w:p>
        </w:tc>
      </w:tr>
      <w:tr>
        <w:tc>
          <w:tcPr>
            <w:tcW w:type="dxa" w:w="850"/>
            <w:tcBorders>
              <w:top w:val="single" w:sz="2" w:color="D1D5DB"/>
              <w:left w:val="single" w:sz="2" w:color="D1D5DB"/>
              <w:bottom w:val="single" w:sz="2" w:color="D1D5DB"/>
              <w:right w:val="single" w:sz="2" w:color="D1D5DB"/>
            </w:tcBorders>
            <w:vAlign w:val="center"/>
          </w:tcPr>
          <w:p>
            <w:pPr>
              <w:spacing w:before="60" w:after="60" w:line="312" w:lineRule="auto"/>
              <w:jc w:val="left"/>
            </w:pPr>
            <w:r/>
            <w:r>
              <w:rPr>
                <w:rFonts w:ascii="Times New Roman" w:hAnsi="Times New Roman"/>
                <w:b/>
                <w:color w:val="0F172A"/>
                <w:sz w:val="20"/>
              </w:rPr>
              <w:t>5</w:t>
            </w:r>
          </w:p>
        </w:tc>
        <w:tc>
          <w:tcPr>
            <w:tcW w:type="dxa" w:w="4819"/>
            <w:tcBorders>
              <w:top w:val="single" w:sz="2" w:color="D1D5DB"/>
              <w:left w:val="single" w:sz="2" w:color="D1D5DB"/>
              <w:bottom w:val="single" w:sz="2" w:color="D1D5DB"/>
              <w:right w:val="single" w:sz="2" w:color="D1D5DB"/>
            </w:tcBorders>
            <w:vAlign w:val="center"/>
          </w:tcPr>
          <w:p>
            <w:pPr>
              <w:spacing w:before="60" w:after="60" w:line="312" w:lineRule="auto"/>
              <w:jc w:val="center"/>
            </w:pPr>
            <w:r/>
            <w:r>
              <w:rPr>
                <w:rFonts w:ascii="Times New Roman" w:hAnsi="Times New Roman"/>
                <w:color w:val="1E293B"/>
                <w:sz w:val="20"/>
              </w:rPr>
              <w:t>Биллинг (подписки) + AI-ассистент v0 (чат-консультант на GigaChat)</w:t>
            </w:r>
          </w:p>
        </w:tc>
        <w:tc>
          <w:tcPr>
            <w:tcW w:type="dxa" w:w="3402"/>
            <w:tcBorders>
              <w:top w:val="single" w:sz="2" w:color="D1D5DB"/>
              <w:left w:val="single" w:sz="2" w:color="D1D5DB"/>
              <w:bottom w:val="single" w:sz="2" w:color="D1D5DB"/>
              <w:right w:val="single" w:sz="2" w:color="D1D5DB"/>
            </w:tcBorders>
            <w:vAlign w:val="center"/>
          </w:tcPr>
          <w:p>
            <w:pPr>
              <w:spacing w:before="60" w:after="60" w:line="312" w:lineRule="auto"/>
              <w:jc w:val="right"/>
            </w:pPr>
            <w:r/>
            <w:r>
              <w:rPr>
                <w:rFonts w:ascii="Times New Roman" w:hAnsi="Times New Roman"/>
                <w:color w:val="1E293B"/>
                <w:sz w:val="20"/>
              </w:rPr>
              <w:t>Приём платежей, базовый AI-чат</w:t>
            </w:r>
          </w:p>
        </w:tc>
      </w:tr>
      <w:tr>
        <w:tc>
          <w:tcPr>
            <w:tcW w:type="dxa" w:w="850"/>
            <w:tcBorders>
              <w:top w:val="single" w:sz="2" w:color="D1D5DB"/>
              <w:left w:val="single" w:sz="2" w:color="D1D5DB"/>
              <w:bottom w:val="single" w:sz="2" w:color="D1D5DB"/>
              <w:right w:val="single" w:sz="2" w:color="D1D5DB"/>
            </w:tcBorders>
            <w:vAlign w:val="center"/>
            <w:shd w:fill="F8FAFC"/>
          </w:tcPr>
          <w:p>
            <w:pPr>
              <w:spacing w:before="60" w:after="60" w:line="312" w:lineRule="auto"/>
              <w:jc w:val="left"/>
            </w:pPr>
            <w:r/>
            <w:r>
              <w:rPr>
                <w:rFonts w:ascii="Times New Roman" w:hAnsi="Times New Roman"/>
                <w:b/>
                <w:color w:val="0F172A"/>
                <w:sz w:val="20"/>
              </w:rPr>
              <w:t>6</w:t>
            </w:r>
          </w:p>
        </w:tc>
        <w:tc>
          <w:tcPr>
            <w:tcW w:type="dxa" w:w="4819"/>
            <w:tcBorders>
              <w:top w:val="single" w:sz="2" w:color="D1D5DB"/>
              <w:left w:val="single" w:sz="2" w:color="D1D5DB"/>
              <w:bottom w:val="single" w:sz="2" w:color="D1D5DB"/>
              <w:right w:val="single" w:sz="2" w:color="D1D5DB"/>
            </w:tcBorders>
            <w:vAlign w:val="center"/>
            <w:shd w:fill="F8FAFC"/>
          </w:tcPr>
          <w:p>
            <w:pPr>
              <w:spacing w:before="60" w:after="60" w:line="312" w:lineRule="auto"/>
              <w:jc w:val="center"/>
            </w:pPr>
            <w:r/>
            <w:r>
              <w:rPr>
                <w:rFonts w:ascii="Times New Roman" w:hAnsi="Times New Roman"/>
                <w:color w:val="1E293B"/>
                <w:sz w:val="20"/>
              </w:rPr>
              <w:t>Уведомления (Telegram-бот) + чат с поддержкой + тестирование</w:t>
            </w:r>
          </w:p>
        </w:tc>
        <w:tc>
          <w:tcPr>
            <w:tcW w:type="dxa" w:w="3402"/>
            <w:tcBorders>
              <w:top w:val="single" w:sz="2" w:color="D1D5DB"/>
              <w:left w:val="single" w:sz="2" w:color="D1D5DB"/>
              <w:bottom w:val="single" w:sz="2" w:color="D1D5DB"/>
              <w:right w:val="single" w:sz="2" w:color="D1D5DB"/>
            </w:tcBorders>
            <w:vAlign w:val="center"/>
            <w:shd w:fill="F8FAFC"/>
          </w:tcPr>
          <w:p>
            <w:pPr>
              <w:spacing w:before="60" w:after="60" w:line="312" w:lineRule="auto"/>
              <w:jc w:val="right"/>
            </w:pPr>
            <w:r/>
            <w:r>
              <w:rPr>
                <w:rFonts w:ascii="Times New Roman" w:hAnsi="Times New Roman"/>
                <w:color w:val="1E293B"/>
                <w:sz w:val="20"/>
              </w:rPr>
              <w:t>Рабочие уведомления, прошедший пенетест</w:t>
            </w:r>
          </w:p>
        </w:tc>
      </w:tr>
    </w:tbl>
    <w:p>
      <w:pPr>
        <w:pStyle w:val="Heading2"/>
        <w:spacing w:before="400" w:after="160"/>
      </w:pPr>
      <w:r>
        <w:rPr>
          <w:rFonts w:ascii="Arial" w:hAnsi="Arial"/>
          <w:b/>
          <w:color w:val="0F172A"/>
          <w:sz w:val="30"/>
        </w:rPr>
        <w:t>21.2. Что НЕ входит в MVP v2 (отложено на v3)</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API для внешних агрегаторов. </w:t>
      </w:r>
      <w:r>
        <w:rPr>
          <w:rFonts w:ascii="Times New Roman" w:hAnsi="Times New Roman"/>
          <w:color w:val="1E293B"/>
          <w:sz w:val="22"/>
        </w:rPr>
        <w:t>Разработка публичного API с документацией, ключами доступа, биллингом per-request. Отложено, потому что нет партнёров-потребителей.</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Полный документооборот с УКЭП. </w:t>
      </w:r>
      <w:r>
        <w:rPr>
          <w:rFonts w:ascii="Times New Roman" w:hAnsi="Times New Roman"/>
          <w:color w:val="1E293B"/>
          <w:sz w:val="22"/>
        </w:rPr>
        <w:t>Юридически значимое подписание документов через УКЭП (Контур, СБИС, Тензор). Отложено, потому что требует выбора провайдера и интеграции.</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AI-ассистент full-feature. </w:t>
      </w:r>
      <w:r>
        <w:rPr>
          <w:rFonts w:ascii="Times New Roman" w:hAnsi="Times New Roman"/>
          <w:color w:val="1E293B"/>
          <w:sz w:val="22"/>
        </w:rPr>
        <w:t>Генерация документов, оценка готовности к УГТ+1, журнал решений — отложено. На MVP v2 — простой чат-консультант.</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Интеграция с бухгалтерией. </w:t>
      </w:r>
      <w:r>
        <w:rPr>
          <w:rFonts w:ascii="Times New Roman" w:hAnsi="Times New Roman"/>
          <w:color w:val="1E293B"/>
          <w:sz w:val="22"/>
        </w:rPr>
        <w:t>Выгрузка в 1С/Контур. Отложено, потому что нужен конкретный потребитель для валидации форматов.</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Мобильное приложение. </w:t>
      </w:r>
      <w:r>
        <w:rPr>
          <w:rFonts w:ascii="Times New Roman" w:hAnsi="Times New Roman"/>
          <w:color w:val="1E293B"/>
          <w:sz w:val="22"/>
        </w:rPr>
        <w:t>Native iOS/Android. Отложено, потому что Telegram-бот покрывает базовые сценарии.</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Интеграция с Госуслугами / ЕСИА. </w:t>
      </w:r>
      <w:r>
        <w:rPr>
          <w:rFonts w:ascii="Times New Roman" w:hAnsi="Times New Roman"/>
          <w:color w:val="1E293B"/>
          <w:sz w:val="22"/>
        </w:rPr>
        <w:t>Вход через Госуслуги для юрлиц. Отложено, потому что требуется официальная регистрация организации в ЕСИА.</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ВПК-сегмент с ФСТЭК-сертификацией. </w:t>
      </w:r>
      <w:r>
        <w:rPr>
          <w:rFonts w:ascii="Times New Roman" w:hAnsi="Times New Roman"/>
          <w:color w:val="1E293B"/>
          <w:sz w:val="22"/>
        </w:rPr>
        <w:t>Защищённый сегмент для проектов ВПК. Отложено до сертификации инфраструктуры.</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External security audit. </w:t>
      </w:r>
      <w:r>
        <w:rPr>
          <w:rFonts w:ascii="Times New Roman" w:hAnsi="Times New Roman"/>
          <w:color w:val="1E293B"/>
          <w:sz w:val="22"/>
        </w:rPr>
        <w:t>Внешний пенетест. Отложено на Фазу 3. На MVP v2 — внутренний пенетест владельцем продукта на Kali Linux.</w:t>
      </w:r>
    </w:p>
    <w:p>
      <w:pPr>
        <w:pStyle w:val="Heading2"/>
        <w:spacing w:before="400" w:after="160"/>
      </w:pPr>
      <w:r>
        <w:rPr>
          <w:rFonts w:ascii="Arial" w:hAnsi="Arial"/>
          <w:b/>
          <w:color w:val="0F172A"/>
          <w:sz w:val="30"/>
        </w:rPr>
        <w:t>21.3. v3 (6–12 месяцев после MVP v2)</w:t>
      </w:r>
    </w:p>
    <w:p>
      <w:pPr>
        <w:spacing w:line="360" w:lineRule="auto" w:after="160"/>
        <w:ind w:firstLine="340"/>
        <w:jc w:val="both"/>
      </w:pPr>
      <w:r>
        <w:rPr>
          <w:rFonts w:ascii="Times New Roman" w:hAnsi="Times New Roman"/>
          <w:b w:val="0"/>
          <w:i w:val="0"/>
          <w:color w:val="1E293B"/>
          <w:sz w:val="22"/>
        </w:rPr>
        <w:t>После успешного запуска MVP v2 и валидации спроса — масштабирование через v3. Цель v3: полный функционал платформы, готовой к монетизации всех 24 услуг и внешним партнёрствам. Основные эпики v3: AI-ассистент full-feature (3 месяца, найм ML-инженера), полный документооборот с УКЭП (2 месяца, выбор провайдера), API для внешних (2 месяца, первые партнёры), интеграция с бухгалтерией (1 месяц), SaaS-подписка для внешних клиентов (2 месяца), внешний аудит безопасности (1 месяц, бюджет 5–15 млн ₽), ВПК-сегмент (6+ месяцев, ФСТЭК-сертификация).</w:t>
      </w:r>
    </w:p>
    <w:p>
      <w:r>
        <w:br w:type="page"/>
      </w:r>
    </w:p>
    <w:p>
      <w:pPr>
        <w:pStyle w:val="Heading1"/>
        <w:spacing w:before="560" w:after="280"/>
        <w:pBdr>
          <w:bottom w:val="single" w:sz="8" w:space="4" w:color="2563EB"/>
        </w:pBdr>
      </w:pPr>
      <w:r>
        <w:rPr>
          <w:rFonts w:ascii="Arial" w:hAnsi="Arial"/>
          <w:b/>
          <w:color w:val="0F172A"/>
          <w:sz w:val="40"/>
        </w:rPr>
        <w:t>22. Открытые вопросы для агента-планировщика</w:t>
      </w:r>
    </w:p>
    <w:p>
      <w:pPr>
        <w:spacing w:line="360" w:lineRule="auto" w:after="160"/>
        <w:ind w:firstLine="340"/>
        <w:jc w:val="both"/>
      </w:pPr>
      <w:r>
        <w:rPr>
          <w:rFonts w:ascii="Times New Roman" w:hAnsi="Times New Roman"/>
          <w:b w:val="0"/>
          <w:i w:val="0"/>
          <w:color w:val="1E293B"/>
          <w:sz w:val="22"/>
        </w:rPr>
        <w:t>Ниже собраны вопросы, требующие совместной проработки с агентом-планировщиком. Эти вопросы касаются бизнес-требований к платформе и определяют архитектурные решения. Технические детали (выбор стека, БД, фреймворков) обсуждаются отдельно — здесь только бизнес-контекст.</w:t>
      </w:r>
    </w:p>
    <w:p>
      <w:pPr>
        <w:pStyle w:val="Heading2"/>
        <w:spacing w:before="400" w:after="160"/>
      </w:pPr>
      <w:r>
        <w:rPr>
          <w:rFonts w:ascii="Arial" w:hAnsi="Arial"/>
          <w:b/>
          <w:color w:val="0F172A"/>
          <w:sz w:val="30"/>
        </w:rPr>
        <w:t>22.1. Методология и процессы</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Контрольные точки КТ-2, КТ-3, КТ-4. </w:t>
      </w:r>
      <w:r>
        <w:rPr>
          <w:rFonts w:ascii="Times New Roman" w:hAnsi="Times New Roman"/>
          <w:color w:val="1E293B"/>
          <w:sz w:val="22"/>
        </w:rPr>
        <w:t>В финальной модели Блоков 1 и 2 явно реализован только КТ-1 (верификация УГТ 3). Остались ли КТ-2…КТ-4 в модели, или убраны? Это влияет на архитектуру дашборда проекта.</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Шаблоны документов. </w:t>
      </w:r>
      <w:r>
        <w:rPr>
          <w:rFonts w:ascii="Times New Roman" w:hAnsi="Times New Roman"/>
          <w:color w:val="1E293B"/>
          <w:sz w:val="22"/>
        </w:rPr>
        <w:t>Шаблоны ТЗ, ТЭО, Паспорта, Дорожной карты — пока не разработаны. Кто их создаёт: методологи ЦНТР или разработчик платформы? Когда готовы?</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Протокол доступа к документам (RBAC). </w:t>
      </w:r>
      <w:r>
        <w:rPr>
          <w:rFonts w:ascii="Times New Roman" w:hAnsi="Times New Roman"/>
          <w:color w:val="1E293B"/>
          <w:sz w:val="22"/>
        </w:rPr>
        <w:t>Доступ к документам по ролям: например, ТЭО видит заказчик и аудитор, но не конкурент-исполнитель. Кто разрабатывает протокол доступа?</w:t>
      </w:r>
    </w:p>
    <w:p>
      <w:pPr>
        <w:pStyle w:val="Heading2"/>
        <w:spacing w:before="400" w:after="160"/>
      </w:pPr>
      <w:r>
        <w:rPr>
          <w:rFonts w:ascii="Arial" w:hAnsi="Arial"/>
          <w:b/>
          <w:color w:val="0F172A"/>
          <w:sz w:val="30"/>
        </w:rPr>
        <w:t>22.2. Бизнес-модель и монетизация</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Юридическая структура SaaS. </w:t>
      </w:r>
      <w:r>
        <w:rPr>
          <w:rFonts w:ascii="Times New Roman" w:hAnsi="Times New Roman"/>
          <w:color w:val="1E293B"/>
          <w:sz w:val="22"/>
        </w:rPr>
        <w:t>Как оформить подписки? Договор-оферта? Нужно ли регламенты в Роскомнадзор?</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Налоговая модель. </w:t>
      </w:r>
      <w:r>
        <w:rPr>
          <w:rFonts w:ascii="Times New Roman" w:hAnsi="Times New Roman"/>
          <w:color w:val="1E293B"/>
          <w:sz w:val="22"/>
        </w:rPr>
        <w:t>УСН, ОСНО, патент? Влияет на ценообразование и B2B-вычеты. Нужна консультация бухгалтера.</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54-ФЗ (онлайн-кассы). </w:t>
      </w:r>
      <w:r>
        <w:rPr>
          <w:rFonts w:ascii="Times New Roman" w:hAnsi="Times New Roman"/>
          <w:color w:val="1E293B"/>
          <w:sz w:val="22"/>
        </w:rPr>
        <w:t>Нужна ли интеграция с ОФД для пробития чеков по подпискам? Или ЦНТР работает только по безналу с юрлицами?</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Партнёрство с GPR Consulting. </w:t>
      </w:r>
      <w:r>
        <w:rPr>
          <w:rFonts w:ascii="Times New Roman" w:hAnsi="Times New Roman"/>
          <w:color w:val="1E293B"/>
          <w:sz w:val="22"/>
        </w:rPr>
        <w:t>Константин Сунцов — потенциальный партнёр или конкурент? Возможно ли совместные продукты?</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Франшиза / белая метка. </w:t>
      </w:r>
      <w:r>
        <w:rPr>
          <w:rFonts w:ascii="Times New Roman" w:hAnsi="Times New Roman"/>
          <w:color w:val="1E293B"/>
          <w:sz w:val="22"/>
        </w:rPr>
        <w:t>Можно ли продавать платформу другим регионам как SaaS с белой меткой? Это потенциально крупный источник дохода.</w:t>
      </w:r>
    </w:p>
    <w:p>
      <w:pPr>
        <w:pStyle w:val="Heading2"/>
        <w:spacing w:before="400" w:after="160"/>
      </w:pPr>
      <w:r>
        <w:rPr>
          <w:rFonts w:ascii="Arial" w:hAnsi="Arial"/>
          <w:b/>
          <w:color w:val="0F172A"/>
          <w:sz w:val="30"/>
        </w:rPr>
        <w:t>22.3. Безопасность и соответствие</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Уровень защищённости ПД по 152-ФЗ. </w:t>
      </w:r>
      <w:r>
        <w:rPr>
          <w:rFonts w:ascii="Times New Roman" w:hAnsi="Times New Roman"/>
          <w:color w:val="1E293B"/>
          <w:sz w:val="22"/>
        </w:rPr>
        <w:t>Уровень 1 (максимальный), 2, 3 или 4? Определяется по результатам оценки вреда. Кто проводит оценку?</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Сертификация ФСТЭК. </w:t>
      </w:r>
      <w:r>
        <w:rPr>
          <w:rFonts w:ascii="Times New Roman" w:hAnsi="Times New Roman"/>
          <w:color w:val="1E293B"/>
          <w:sz w:val="22"/>
        </w:rPr>
        <w:t>Понадобится ли для ВПК-сегмента? Если да — когда начинать процесс? Бюджет?</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Внешний аудит безопасности. </w:t>
      </w:r>
      <w:r>
        <w:rPr>
          <w:rFonts w:ascii="Times New Roman" w:hAnsi="Times New Roman"/>
          <w:color w:val="1E293B"/>
          <w:sz w:val="22"/>
        </w:rPr>
        <w:t>Какую компанию привлекать? Бюджет 5–15 млн ₽ — на какой фазе?</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Защита AI-модели. </w:t>
      </w:r>
      <w:r>
        <w:rPr>
          <w:rFonts w:ascii="Times New Roman" w:hAnsi="Times New Roman"/>
          <w:color w:val="1E293B"/>
          <w:sz w:val="22"/>
        </w:rPr>
        <w:t>Как предотвратить копирование fine-tuned модели конкурентами? ML-инженер нужен для проработки.</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Страхование киберрисков. </w:t>
      </w:r>
      <w:r>
        <w:rPr>
          <w:rFonts w:ascii="Times New Roman" w:hAnsi="Times New Roman"/>
          <w:color w:val="1E293B"/>
          <w:sz w:val="22"/>
        </w:rPr>
        <w:t>Целесообразно ли страховать платформу от инцидентов? Какой бюджет?</w:t>
      </w:r>
    </w:p>
    <w:p>
      <w:pPr>
        <w:pStyle w:val="Heading2"/>
        <w:spacing w:before="400" w:after="160"/>
      </w:pPr>
      <w:r>
        <w:rPr>
          <w:rFonts w:ascii="Arial" w:hAnsi="Arial"/>
          <w:b/>
          <w:color w:val="0F172A"/>
          <w:sz w:val="30"/>
        </w:rPr>
        <w:t>22.4. Команда и ресурсы</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Бюджет на инфраструктуру. </w:t>
      </w:r>
      <w:r>
        <w:rPr>
          <w:rFonts w:ascii="Times New Roman" w:hAnsi="Times New Roman"/>
          <w:color w:val="1E293B"/>
          <w:sz w:val="22"/>
        </w:rPr>
        <w:t>Предварительно 200–500 тыс. ₽/мес. Точная оценка — после выбора стека и хостинга. Кто согласовывает ежемесячные расходы?</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Бюджет на наём команды (Фаза 2). </w:t>
      </w:r>
      <w:r>
        <w:rPr>
          <w:rFonts w:ascii="Times New Roman" w:hAnsi="Times New Roman"/>
          <w:color w:val="1E293B"/>
          <w:sz w:val="22"/>
        </w:rPr>
        <w:t>ML-инженер + фронтенд-разработчик. ФОТ ~400–600 тыс. ₽/мес. Когда начинать найм? Кто проводит собеседования?</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Бюджет на внешний аудит (Фаза 3). </w:t>
      </w:r>
      <w:r>
        <w:rPr>
          <w:rFonts w:ascii="Times New Roman" w:hAnsi="Times New Roman"/>
          <w:color w:val="1E293B"/>
          <w:sz w:val="22"/>
        </w:rPr>
        <w:t>5–15 млн ₽. Когда выделять?</w:t>
      </w:r>
    </w:p>
    <w:p>
      <w:pPr>
        <w:spacing w:line="336" w:lineRule="auto" w:after="80"/>
        <w:ind w:left="340"/>
        <w:jc w:val="left"/>
      </w:pPr>
      <w:r>
        <w:rPr>
          <w:rFonts w:ascii="Times New Roman" w:hAnsi="Times New Roman"/>
          <w:color w:val="2563EB"/>
          <w:sz w:val="22"/>
        </w:rPr>
        <w:t xml:space="preserve">•  </w:t>
      </w:r>
      <w:r>
        <w:rPr>
          <w:rFonts w:ascii="Times New Roman" w:hAnsi="Times New Roman"/>
          <w:b/>
          <w:color w:val="0F172A"/>
          <w:sz w:val="22"/>
        </w:rPr>
        <w:t xml:space="preserve">Роль владельца продукта в организационной структуре. </w:t>
      </w:r>
      <w:r>
        <w:rPr>
          <w:rFonts w:ascii="Times New Roman" w:hAnsi="Times New Roman"/>
          <w:color w:val="1E293B"/>
          <w:sz w:val="22"/>
        </w:rPr>
        <w:t>CTO платформы — это новая должность или расширение текущей? Кому подчиняется?</w:t>
      </w:r>
    </w:p>
    <w:tbl>
      <w:tblPr>
        <w:tblW w:type="auto" w:w="0"/>
        <w:jc w:val="center"/>
        <w:tblLook w:firstColumn="1" w:firstRow="1" w:lastColumn="0" w:lastRow="0" w:noHBand="0" w:noVBand="1" w:val="04A0"/>
      </w:tblPr>
      <w:tblGrid>
        <w:gridCol w:w="9355"/>
      </w:tblGrid>
      <w:tr>
        <w:tc>
          <w:tcPr>
            <w:tcW w:type="dxa" w:w="9071"/>
            <w:shd w:fill="DBEAFE"/>
            <w:tcBorders>
              <w:top w:val="single" w:sz="8" w:color="2563EB"/>
              <w:left w:val="single" w:sz="8" w:color="2563EB"/>
              <w:bottom w:val="single" w:sz="8" w:color="2563EB"/>
              <w:right w:val="single" w:sz="8" w:color="2563EB"/>
            </w:tcBorders>
          </w:tcPr>
          <w:p>
            <w:pPr>
              <w:spacing w:before="160" w:after="80"/>
            </w:pPr>
            <w:r/>
            <w:r>
              <w:rPr>
                <w:rFonts w:ascii="Arial" w:hAnsi="Arial"/>
                <w:b/>
                <w:color w:val="1E40AF"/>
                <w:sz w:val="24"/>
              </w:rPr>
              <w:t>Статус документа</w:t>
            </w:r>
          </w:p>
          <w:p>
            <w:pPr>
              <w:spacing w:before="40" w:after="160" w:line="336" w:lineRule="auto"/>
            </w:pPr>
            <w:r>
              <w:rPr>
                <w:rFonts w:ascii="Times New Roman" w:hAnsi="Times New Roman"/>
                <w:color w:val="1E293B"/>
                <w:sz w:val="21"/>
              </w:rPr>
              <w:t>Это стратегический документ версии 1.0, фиксирующий полный контекст проекта ЦНТР для агента-планировщика. Документ описывает бизнес-контекст, методологию, пайплайн, экосистему, бизнес-модель и видение цифровой платформы. Технические детали (выбор стека, архитектура, инструменты) обсуждаются отдельно с агентом-планировщиком. Документ живой — он будет обновляться по мере принятия решений по открытым вопросам.</w:t>
            </w:r>
          </w:p>
        </w:tc>
      </w:tr>
    </w:tbl>
    <w:p/>
    <w:sectPr w:rsidR="00FC693F" w:rsidRPr="0006063C"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