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5" w:name="content"/>
    <w:bookmarkStart w:id="124" w:name="X2b8a02286902cd5b38a4789fda048c3577e472a"/>
    <w:p>
      <w:pPr>
        <w:pStyle w:val="Heading1"/>
      </w:pPr>
      <w:r>
        <w:t xml:space="preserve">Critique of</w:t>
      </w:r>
      <w:r>
        <w:t xml:space="preserve"> </w:t>
      </w:r>
      <w:r>
        <w:rPr>
          <w:i/>
          <w:iCs/>
        </w:rPr>
        <w:t xml:space="preserve">Dynamic and Constructive Structures in the Yang–Mills Mass Gap Problem</w:t>
      </w:r>
    </w:p>
    <w:bookmarkStart w:id="47" w:name="mathematical-rigor"/>
    <w:p>
      <w:pPr>
        <w:pStyle w:val="Heading2"/>
      </w:pPr>
      <w:r>
        <w:t xml:space="preserve">1. Mathematical Rigor</w:t>
      </w:r>
    </w:p>
    <w:p>
      <w:pPr>
        <w:pStyle w:val="FirstParagraph"/>
      </w:pPr>
      <w:r>
        <w:t xml:space="preserve">The white paper presents a blend of formal derivations and conjectural steps. Overall, it demonstrates a solid formal framework, but several derivations rely on unproven assumptions or heuristic analogies. Key points include:</w:t>
      </w:r>
    </w:p>
    <w:p>
      <w:pPr>
        <w:numPr>
          <w:ilvl w:val="0"/>
          <w:numId w:val="1001"/>
        </w:numPr>
      </w:pPr>
      <w:r>
        <w:rPr>
          <w:b/>
          <w:bCs/>
        </w:rPr>
        <w:t xml:space="preserve">Langevin Generator &amp; Stochastic Quantization:</w:t>
      </w:r>
      <w:r>
        <w:t xml:space="preserve"> </w:t>
      </w:r>
      <w:r>
        <w:t xml:space="preserve">The document reformulates the mass gap in terms of a stochastic Langevin process, defining a formal generator</w:t>
      </w:r>
      <w:r>
        <w:t xml:space="preserve"> </w:t>
      </w:r>
      <m:oMath>
        <m:r>
          <m:t>L</m:t>
        </m:r>
        <m:r>
          <m:rPr>
            <m:sty m:val="p"/>
          </m:rPr>
          <m:t>=</m:t>
        </m:r>
        <m:r>
          <m:t>Δ</m:t>
        </m:r>
        <m:r>
          <m:rPr>
            <m:sty m:val="p"/>
          </m:rPr>
          <m:t>−</m:t>
        </m:r>
        <m:r>
          <m:rPr>
            <m:sty m:val="p"/>
          </m:rPr>
          <m:t>∇</m:t>
        </m:r>
        <m:sSub>
          <m:e>
            <m:r>
              <m:t>S</m:t>
            </m:r>
          </m:e>
          <m:sub>
            <m:r>
              <m:rPr>
                <m:sty m:val="p"/>
              </m:rPr>
              <m:t>Y</m:t>
            </m:r>
            <m:r>
              <m:rPr>
                <m:sty m:val="p"/>
              </m:rPr>
              <m:t>M</m:t>
            </m:r>
          </m:sub>
        </m:sSub>
        <m:r>
          <m:rPr>
            <m:sty m:val="p"/>
          </m:rPr>
          <m:t>⋅</m:t>
        </m:r>
        <m:r>
          <m:rPr>
            <m:sty m:val="p"/>
          </m:rPr>
          <m:t>∇</m:t>
        </m:r>
      </m:oMath>
      <w:r>
        <w:t xml:space="preserve"> </w:t>
      </w:r>
      <w:r>
        <w:t xml:space="preserve">on</w:t>
      </w:r>
      <w:r>
        <w:t xml:space="preserve"> </w:t>
      </w:r>
      <m:oMath>
        <m:sSup>
          <m:e>
            <m:r>
              <m:t>L</m:t>
            </m:r>
          </m:e>
          <m:sup>
            <m:r>
              <m:t>2</m:t>
            </m:r>
          </m:sup>
        </m:sSup>
        <m:d>
          <m:dPr>
            <m:begChr m:val="("/>
            <m:sepChr m:val=""/>
            <m:endChr m:val=")"/>
            <m:grow/>
          </m:dPr>
          <m:e>
            <m:r>
              <m:t>μ</m:t>
            </m:r>
          </m:e>
        </m:d>
      </m:oMath>
      <w:hyperlink r:id="rId21">
        <w:r>
          <w:rPr>
            <w:rStyle w:val="Hyperlink"/>
          </w:rPr>
          <w:t xml:space="preserve">[1]</w:t>
        </w:r>
      </w:hyperlink>
      <w:r>
        <w:t xml:space="preserve"> </w:t>
      </w:r>
      <w:r>
        <w:t xml:space="preserve">and a corresponding Dirichlet form</w:t>
      </w:r>
      <w:hyperlink r:id="rId22">
        <w:r>
          <w:rPr>
            <w:rStyle w:val="Hyperlink"/>
          </w:rPr>
          <w:t xml:space="preserve">[2]</w:t>
        </w:r>
      </w:hyperlink>
      <w:r>
        <w:t xml:space="preserve">. This derivation is mathematically standard in finite-dimensional settings and is clearly presented here. However,</w:t>
      </w:r>
      <w:r>
        <w:t xml:space="preserve"> </w:t>
      </w:r>
      <w:r>
        <w:rPr>
          <w:b/>
          <w:bCs/>
        </w:rPr>
        <w:t xml:space="preserve">rigor is lacking</w:t>
      </w:r>
      <w:r>
        <w:t xml:space="preserve"> </w:t>
      </w:r>
      <w:r>
        <w:t xml:space="preserve">in the infinite-dimensional Yang–Mills (YM) context: the existence of an</w:t>
      </w:r>
      <w:r>
        <w:t xml:space="preserve"> </w:t>
      </w:r>
      <w:r>
        <w:rPr>
          <w:b/>
          <w:bCs/>
        </w:rPr>
        <w:t xml:space="preserve">OS-compatible Euclidean measure</w:t>
      </w:r>
      <w:r>
        <w:t xml:space="preserve"> </w:t>
      </w:r>
      <w:r>
        <w:t xml:space="preserve">$\mu$ on continuum gauge fields is simply assumed (as part of Conjecture D's hypothesis)</w:t>
      </w:r>
      <w:hyperlink r:id="rId23">
        <w:r>
          <w:rPr>
            <w:rStyle w:val="Hyperlink"/>
          </w:rPr>
          <w:t xml:space="preserve">[3]</w:t>
        </w:r>
      </w:hyperlink>
      <w:r>
        <w:t xml:space="preserve">. Constructing such a measure with reflection positivity and gauge invariance is essentially the unsolved</w:t>
      </w:r>
      <w:r>
        <w:t xml:space="preserve"> </w:t>
      </w:r>
      <w:r>
        <w:rPr>
          <w:b/>
          <w:bCs/>
        </w:rPr>
        <w:t xml:space="preserve">existence</w:t>
      </w:r>
      <w:r>
        <w:t xml:space="preserve"> </w:t>
      </w:r>
      <w:r>
        <w:t xml:space="preserve">part of the Clay problem. Thus, while the generator and Poincaré inequality formalism are conceptually sound</w:t>
      </w:r>
      <w:hyperlink r:id="rId24">
        <w:r>
          <w:rPr>
            <w:rStyle w:val="Hyperlink"/>
          </w:rPr>
          <w:t xml:space="preserve">[4]</w:t>
        </w:r>
      </w:hyperlink>
      <w:hyperlink r:id="rId25">
        <w:r>
          <w:rPr>
            <w:rStyle w:val="Hyperlink"/>
          </w:rPr>
          <w:t xml:space="preserve">[5]</w:t>
        </w:r>
      </w:hyperlink>
      <w:r>
        <w:t xml:space="preserve">, treating $L$ on a proper domain in the infinite-dimensional gauge field space remains</w:t>
      </w:r>
      <w:r>
        <w:t xml:space="preserve"> </w:t>
      </w:r>
      <w:r>
        <w:rPr>
          <w:i/>
          <w:iCs/>
        </w:rPr>
        <w:t xml:space="preserve">formal</w:t>
      </w:r>
      <w:r>
        <w:t xml:space="preserve">. The paper acknowledges which steps are non-rigorous, marking them as formal or conjectural in the Executive Summary</w:t>
      </w:r>
      <w:hyperlink r:id="rId26">
        <w:r>
          <w:rPr>
            <w:rStyle w:val="Hyperlink"/>
          </w:rPr>
          <w:t xml:space="preserve">[6]</w:t>
        </w:r>
      </w:hyperlink>
      <w:r>
        <w:t xml:space="preserve">, which is commendable.</w:t>
      </w:r>
    </w:p>
    <w:p>
      <w:pPr>
        <w:numPr>
          <w:ilvl w:val="0"/>
          <w:numId w:val="1001"/>
        </w:numPr>
      </w:pPr>
      <w:r>
        <w:rPr>
          <w:b/>
          <w:bCs/>
        </w:rPr>
        <w:t xml:space="preserve">Viscous Hamilton–Jacobi (HJ) Flow &amp; Hessian Evolution:</w:t>
      </w:r>
      <w:r>
        <w:t xml:space="preserve"> </w:t>
      </w:r>
      <w:r>
        <w:t xml:space="preserve">A centerpiece of the program is the</w:t>
      </w:r>
      <w:r>
        <w:t xml:space="preserve"> </w:t>
      </w:r>
      <w:r>
        <w:rPr>
          <w:i/>
          <w:iCs/>
        </w:rPr>
        <w:t xml:space="preserve">ansatz</w:t>
      </w:r>
      <w:r>
        <w:t xml:space="preserve"> </w:t>
      </w:r>
      <w:r>
        <w:t xml:space="preserve">that the renormalization group (RG) flow of the effective action can be approximated by a</w:t>
      </w:r>
      <w:r>
        <w:t xml:space="preserve"> </w:t>
      </w:r>
      <w:r>
        <w:rPr>
          <w:b/>
          <w:bCs/>
        </w:rPr>
        <w:t xml:space="preserve">viscous Hamilton–Jacobi equation</w:t>
      </w:r>
      <w:r>
        <w:t xml:space="preserve"> </w:t>
      </w:r>
      <w:r>
        <w:t xml:space="preserve">in field space</w:t>
      </w:r>
      <w:hyperlink r:id="rId27">
        <w:r>
          <w:rPr>
            <w:rStyle w:val="Hyperlink"/>
          </w:rPr>
          <w:t xml:space="preserve">[7]</w:t>
        </w:r>
      </w:hyperlink>
      <w:r>
        <w:t xml:space="preserve">. The paper provides a finite-dimensional derivation of this equation: starting from a heat-flow of measures $\partial_t \rho_t = \Delta \rho_t$, one derives $\partial_t S_t = \Delta S_t - |\nabla S_t|^2$</w:t>
      </w:r>
      <w:hyperlink r:id="rId28">
        <w:r>
          <w:rPr>
            <w:rStyle w:val="Hyperlink"/>
          </w:rPr>
          <w:t xml:space="preserve">[8]</w:t>
        </w:r>
      </w:hyperlink>
      <w:r>
        <w:t xml:space="preserve"> </w:t>
      </w:r>
      <w:r>
        <w:t xml:space="preserve">and further the</w:t>
      </w:r>
      <w:r>
        <w:t xml:space="preserve"> </w:t>
      </w:r>
      <w:r>
        <w:rPr>
          <w:b/>
          <w:bCs/>
        </w:rPr>
        <w:t xml:space="preserve">Hessian flow</w:t>
      </w:r>
      <w:r>
        <w:t xml:space="preserve"> </w:t>
      </w:r>
      <w:r>
        <w:t xml:space="preserve">$\partial_t h = \Delta h - 2(\nabla S_t\cdot\nabla h) - 2h^2$</w:t>
      </w:r>
      <w:hyperlink r:id="rId29">
        <w:r>
          <w:rPr>
            <w:rStyle w:val="Hyperlink"/>
          </w:rPr>
          <w:t xml:space="preserve">[9]</w:t>
        </w:r>
      </w:hyperlink>
      <w:r>
        <w:t xml:space="preserve">. These formal manipulations are</w:t>
      </w:r>
      <w:r>
        <w:t xml:space="preserve"> </w:t>
      </w:r>
      <w:r>
        <w:rPr>
          <w:b/>
          <w:bCs/>
        </w:rPr>
        <w:t xml:space="preserve">mathematically correct</w:t>
      </w:r>
      <w:r>
        <w:t xml:space="preserve"> </w:t>
      </w:r>
      <w:r>
        <w:t xml:space="preserve">in finite dimensions, and the explanation is clear about the meaning of each term (diffusion, drift, nonlinear flattening)</w:t>
      </w:r>
      <w:hyperlink r:id="rId30">
        <w:r>
          <w:rPr>
            <w:rStyle w:val="Hyperlink"/>
          </w:rPr>
          <w:t xml:space="preserve">[10]</w:t>
        </w:r>
      </w:hyperlink>
      <w:r>
        <w:t xml:space="preserve">. However, extending this to Yang–Mills is a</w:t>
      </w:r>
      <w:r>
        <w:t xml:space="preserve"> </w:t>
      </w:r>
      <w:r>
        <w:rPr>
          <w:b/>
          <w:bCs/>
        </w:rPr>
        <w:t xml:space="preserve">huge leap</w:t>
      </w:r>
      <w:r>
        <w:t xml:space="preserve">. The authors admit this HJ flow is a</w:t>
      </w:r>
      <w:r>
        <w:t xml:space="preserve"> </w:t>
      </w:r>
      <w:r>
        <w:rPr>
          <w:i/>
          <w:iCs/>
        </w:rPr>
        <w:t xml:space="preserve">“working ansatz”</w:t>
      </w:r>
      <w:r>
        <w:t xml:space="preserve"> </w:t>
      </w:r>
      <w:r>
        <w:t xml:space="preserve">rather than a derived consequence of YM's exact RG</w:t>
      </w:r>
      <w:hyperlink r:id="rId31">
        <w:r>
          <w:rPr>
            <w:rStyle w:val="Hyperlink"/>
          </w:rPr>
          <w:t xml:space="preserve">[11]</w:t>
        </w:r>
      </w:hyperlink>
      <w:hyperlink r:id="rId32">
        <w:r>
          <w:rPr>
            <w:rStyle w:val="Hyperlink"/>
          </w:rPr>
          <w:t xml:space="preserve">[12]</w:t>
        </w:r>
      </w:hyperlink>
      <w:r>
        <w:t xml:space="preserve">. The introduction of a source term $J_t$ to represent the trace anomaly is also heuristic. While the</w:t>
      </w:r>
      <w:r>
        <w:t xml:space="preserve"> </w:t>
      </w:r>
      <w:r>
        <w:rPr>
          <w:b/>
          <w:bCs/>
        </w:rPr>
        <w:t xml:space="preserve">intuition is well-motivated</w:t>
      </w:r>
      <w:r>
        <w:t xml:space="preserve"> </w:t>
      </w:r>
      <w:r>
        <w:t xml:space="preserve">– that the anomaly provides a positive “curvature” forcing term in the flow</w:t>
      </w:r>
      <w:hyperlink r:id="rId33">
        <w:r>
          <w:rPr>
            <w:rStyle w:val="Hyperlink"/>
          </w:rPr>
          <w:t xml:space="preserve">[13]</w:t>
        </w:r>
      </w:hyperlink>
      <w:r>
        <w:t xml:space="preserve"> </w:t>
      </w:r>
      <w:r>
        <w:t xml:space="preserve">– there is an evident gap in rigor. No proof is given that YM effective action obeys anything like this HJ equation; at best it is a</w:t>
      </w:r>
      <w:r>
        <w:t xml:space="preserve"> </w:t>
      </w:r>
      <w:r>
        <w:rPr>
          <w:b/>
          <w:bCs/>
        </w:rPr>
        <w:t xml:space="preserve">toy model</w:t>
      </w:r>
      <w:r>
        <w:t xml:space="preserve">. This is a potential overreach in claims of capturing “curvature dynamics” of confinement. It would strengthen the work to either justify this approximation (perhaps via references to truncated flow equations or known large-$N$ results) or clearly label it as an assumption/ansatz (the text does describe it as a model</w:t>
      </w:r>
      <w:hyperlink r:id="rId34">
        <w:r>
          <w:rPr>
            <w:rStyle w:val="Hyperlink"/>
          </w:rPr>
          <w:t xml:space="preserve">[14]</w:t>
        </w:r>
      </w:hyperlink>
      <w:r>
        <w:t xml:space="preserve">, but a more formal disclaimer could help).</w:t>
      </w:r>
    </w:p>
    <w:p>
      <w:pPr>
        <w:numPr>
          <w:ilvl w:val="0"/>
          <w:numId w:val="1001"/>
        </w:numPr>
      </w:pPr>
      <w:r>
        <w:rPr>
          <w:b/>
          <w:bCs/>
        </w:rPr>
        <w:t xml:space="preserve">Anomaly as Curvature Source (Conjecture B):</w:t>
      </w:r>
      <w:r>
        <w:t xml:space="preserve"> </w:t>
      </w:r>
      <w:r>
        <w:t xml:space="preserve">The idea that the trace anomaly injects positive curvature into the Hessian flow is presented as</w:t>
      </w:r>
      <w:r>
        <w:t xml:space="preserve"> </w:t>
      </w:r>
      <w:r>
        <w:rPr>
          <w:b/>
          <w:bCs/>
        </w:rPr>
        <w:t xml:space="preserve">Conjecture B</w:t>
      </w:r>
      <w:hyperlink r:id="rId35">
        <w:r>
          <w:rPr>
            <w:rStyle w:val="Hyperlink"/>
          </w:rPr>
          <w:t xml:space="preserve">[15]</w:t>
        </w:r>
      </w:hyperlink>
      <w:r>
        <w:t xml:space="preserve">. This is a novel and speculative claim: it requires that after appropriate projection and renormalization, the Hessian’s spectrum gets a positive lower bound contribution $\sigma_</w:t>
      </w:r>
      <w:r>
        <w:rPr>
          <w:i/>
          <w:iCs/>
        </w:rPr>
        <w:t xml:space="preserve">&gt;0$. Mathematically, this means showing $\mathbf{S}_{\mathrm{anom}}$ (the second functional derivative of the anomaly term) defines a positive operator on the horizontal subspace</w:t>
      </w:r>
      <w:hyperlink r:id="rId36">
        <w:r>
          <w:rPr>
            <w:rStyle w:val="Hyperlink"/>
            <w:i/>
            <w:iCs/>
          </w:rPr>
          <w:t xml:space="preserve">[16]</w:t>
        </w:r>
      </w:hyperlink>
      <w:r>
        <w:rPr>
          <w:i/>
          <w:iCs/>
        </w:rPr>
        <w:t xml:space="preserve">. This conjecture is clearly identified as a speculation (the text explicitly calls it “the speculative part”</w:t>
      </w:r>
      <w:hyperlink r:id="rId37">
        <w:r>
          <w:rPr>
            <w:rStyle w:val="Hyperlink"/>
            <w:i/>
            <w:iCs/>
          </w:rPr>
          <w:t xml:space="preserve">[17]</w:t>
        </w:r>
      </w:hyperlink>
      <w:r>
        <w:rPr>
          <w:i/>
          <w:iCs/>
        </w:rPr>
        <w:t xml:space="preserve">). However, it constitutes a major</w:t>
      </w:r>
      <w:r>
        <w:t xml:space="preserve"> </w:t>
      </w:r>
      <w:r>
        <w:rPr>
          <w:i/>
          <w:iCs/>
        </w:rPr>
        <w:t xml:space="preserve">gap in the proof: no evidence or existing theorem is cited to support the positivity of the anomaly’s contribution. Standard YM literature does not have a result of this type, so this is a bold assumption. While the paper gives a</w:t>
      </w:r>
      <w:r>
        <w:t xml:space="preserve"> </w:t>
      </w:r>
      <w:r>
        <w:rPr>
          <w:i/>
          <w:iCs/>
        </w:rPr>
        <w:t xml:space="preserve">plausible mechanism</w:t>
      </w:r>
      <w:r>
        <w:t xml:space="preserve"> </w:t>
      </w:r>
      <w:r>
        <w:rPr>
          <w:i/>
          <w:iCs/>
        </w:rPr>
        <w:t xml:space="preserve">(arguing that a negative beta function and nonzero gluon condensate should “inject upward curvature” to counteract flattening</w:t>
      </w:r>
      <w:hyperlink r:id="rId38">
        <w:r>
          <w:rPr>
            <w:rStyle w:val="Hyperlink"/>
            <w:i/>
            <w:iCs/>
          </w:rPr>
          <w:t xml:space="preserve">[18]</w:t>
        </w:r>
      </w:hyperlink>
      <w:r>
        <w:rPr>
          <w:i/>
          <w:iCs/>
        </w:rPr>
        <w:t xml:space="preserve">), this remains an open mathematical leap.</w:t>
      </w:r>
      <w:r>
        <w:t xml:space="preserve"> </w:t>
      </w:r>
      <w:r>
        <w:rPr>
          <w:i/>
          <w:iCs/>
        </w:rPr>
        <w:t xml:space="preserve">Further justification is needed</w:t>
      </w:r>
      <w:r>
        <w:t xml:space="preserve">*, possibly by examining solvable models or perturbative calculations of the Hessian in effective theories, to lend credence to Conjecture B. As it stands, the step from anomaly to a uniform spectral gap in the Hessian is an unresolved rigorous issue.</w:t>
      </w:r>
    </w:p>
    <w:p>
      <w:pPr>
        <w:numPr>
          <w:ilvl w:val="0"/>
          <w:numId w:val="1001"/>
        </w:numPr>
      </w:pPr>
      <w:r>
        <w:rPr>
          <w:b/>
          <w:bCs/>
        </w:rPr>
        <w:t xml:space="preserve">Functional Inequalities and Spectral Gap Transfer:</w:t>
      </w:r>
      <w:r>
        <w:t xml:space="preserve"> </w:t>
      </w:r>
      <w:r>
        <w:t xml:space="preserve">In Part IV, the paper reviews the</w:t>
      </w:r>
      <w:r>
        <w:t xml:space="preserve"> </w:t>
      </w:r>
      <w:r>
        <w:rPr>
          <w:b/>
          <w:bCs/>
        </w:rPr>
        <w:t xml:space="preserve">Poincaré inequality</w:t>
      </w:r>
      <w:r>
        <w:t xml:space="preserve"> </w:t>
      </w:r>
      <w:r>
        <w:t xml:space="preserve">and</w:t>
      </w:r>
      <w:r>
        <w:t xml:space="preserve"> </w:t>
      </w:r>
      <w:r>
        <w:rPr>
          <w:b/>
          <w:bCs/>
        </w:rPr>
        <w:t xml:space="preserve">log-Sobolev inequality (LSI)</w:t>
      </w:r>
      <w:r>
        <w:t xml:space="preserve"> </w:t>
      </w:r>
      <w:r>
        <w:t xml:space="preserve">in a finite-dimensional setting</w:t>
      </w:r>
      <w:hyperlink r:id="rId24">
        <w:r>
          <w:rPr>
            <w:rStyle w:val="Hyperlink"/>
          </w:rPr>
          <w:t xml:space="preserve">[4]</w:t>
        </w:r>
      </w:hyperlink>
      <w:hyperlink r:id="rId39">
        <w:r>
          <w:rPr>
            <w:rStyle w:val="Hyperlink"/>
          </w:rPr>
          <w:t xml:space="preserve">[19]</w:t>
        </w:r>
      </w:hyperlink>
      <w:r>
        <w:t xml:space="preserve">. The exposition is mathematically rigorous in this context, including the Bakry–Émery criterion: a lower bound $\rho&gt;0$ on the Hessian of the potential implies a Poincaré constant $\lambda\ge\rho$ and an LSI</w:t>
      </w:r>
      <w:hyperlink r:id="rId40">
        <w:r>
          <w:rPr>
            <w:rStyle w:val="Hyperlink"/>
          </w:rPr>
          <w:t xml:space="preserve">[20]</w:t>
        </w:r>
      </w:hyperlink>
      <w:hyperlink r:id="rId39">
        <w:r>
          <w:rPr>
            <w:rStyle w:val="Hyperlink"/>
          </w:rPr>
          <w:t xml:space="preserve">[19]</w:t>
        </w:r>
      </w:hyperlink>
      <w:r>
        <w:t xml:space="preserve">. This section is well-presented and shows the authors’ strong grasp of functional inequality theory. The</w:t>
      </w:r>
      <w:r>
        <w:t xml:space="preserve"> </w:t>
      </w:r>
      <w:r>
        <w:rPr>
          <w:b/>
          <w:bCs/>
        </w:rPr>
        <w:t xml:space="preserve">challenge</w:t>
      </w:r>
      <w:r>
        <w:t xml:space="preserve">, of course, is applying these results to YM. Here the paper is careful: it does not claim a proven curvature bound for YM, but rather states this as the goal (“we seek an effective curvature bound… consistent with Conjectures A and B”</w:t>
      </w:r>
      <w:hyperlink r:id="rId41">
        <w:r>
          <w:rPr>
            <w:rStyle w:val="Hyperlink"/>
          </w:rPr>
          <w:t xml:space="preserve">[21]</w:t>
        </w:r>
      </w:hyperlink>
      <w:r>
        <w:t xml:space="preserve">). The logical gap is that even if Conjecture B holds (giving some positive curvature in the Hessian flow), one must still argue that the</w:t>
      </w:r>
      <w:r>
        <w:t xml:space="preserve"> </w:t>
      </w:r>
      <w:r>
        <w:rPr>
          <w:i/>
          <w:iCs/>
        </w:rPr>
        <w:t xml:space="preserve">measure</w:t>
      </w:r>
      <w:r>
        <w:t xml:space="preserve"> </w:t>
      </w:r>
      <w:r>
        <w:t xml:space="preserve">$\mu$ inherits a uniform Bakry–Émery curvature bound in the infinite-dimensional field manifold. This is non-trivial — especially since the YM measure is singular and supported on a complicated configuration space. Additionally, the discussion of the</w:t>
      </w:r>
      <w:r>
        <w:t xml:space="preserve"> </w:t>
      </w:r>
      <w:r>
        <w:rPr>
          <w:b/>
          <w:bCs/>
        </w:rPr>
        <w:t xml:space="preserve">double-well toy model</w:t>
      </w:r>
      <w:r>
        <w:t xml:space="preserve"> </w:t>
      </w:r>
      <w:r>
        <w:t xml:space="preserve">highlights a crucial point:</w:t>
      </w:r>
      <w:r>
        <w:t xml:space="preserve"> </w:t>
      </w:r>
      <w:r>
        <w:rPr>
          <w:i/>
          <w:iCs/>
        </w:rPr>
        <w:t xml:space="preserve">global slow modes (tunneling between wells) cause the LSI and Poincaré constants to degrade exponentially</w:t>
      </w:r>
      <w:hyperlink r:id="rId42">
        <w:r>
          <w:rPr>
            <w:rStyle w:val="Hyperlink"/>
          </w:rPr>
          <w:t xml:space="preserve">[22]</w:t>
        </w:r>
      </w:hyperlink>
      <w:hyperlink r:id="rId43">
        <w:r>
          <w:rPr>
            <w:rStyle w:val="Hyperlink"/>
          </w:rPr>
          <w:t xml:space="preserve">[23]</w:t>
        </w:r>
      </w:hyperlink>
      <w:r>
        <w:t xml:space="preserve">. The paper uses this to justify focusing on the</w:t>
      </w:r>
      <w:r>
        <w:t xml:space="preserve"> </w:t>
      </w:r>
      <w:r>
        <w:rPr>
          <w:i/>
          <w:iCs/>
        </w:rPr>
        <w:t xml:space="preserve">local</w:t>
      </w:r>
      <w:r>
        <w:t xml:space="preserve"> </w:t>
      </w:r>
      <w:r>
        <w:t xml:space="preserve">sector, since any global multimodality would spoil a straightforward curvature bound</w:t>
      </w:r>
      <w:hyperlink r:id="rId44">
        <w:r>
          <w:rPr>
            <w:rStyle w:val="Hyperlink"/>
          </w:rPr>
          <w:t xml:space="preserve">[24]</w:t>
        </w:r>
      </w:hyperlink>
      <w:r>
        <w:t xml:space="preserve">. This is conceptually insightful, but from a rigorous standpoint it means any proof of a spectral gap must</w:t>
      </w:r>
      <w:r>
        <w:t xml:space="preserve"> </w:t>
      </w:r>
      <w:r>
        <w:rPr>
          <w:b/>
          <w:bCs/>
        </w:rPr>
        <w:t xml:space="preserve">somehow factor out or avoid those global modes</w:t>
      </w:r>
      <w:r>
        <w:t xml:space="preserve">. The authors propose to do so by restricting to $\mathcal{H}</w:t>
      </w:r>
      <w:r>
        <w:rPr>
          <w:i/>
          <w:iCs/>
        </w:rPr>
        <w:t xml:space="preserve">{\mathrm{loc}}$ (local observables) and invoking Conjectures IR–1/2, rather than developing a new inequality that excludes slow modes. This is a reasonable strategy, but mathematically one should note: proving a Poincaré inequality on a subspace (instead of the whole $L^2$ space) is unusual and would likely require a projection or conditional measure argument. The paper leaves this at the conjectural level (Conjecture D assumes such an inequality on $\mathcal{H}</w:t>
      </w:r>
      <w:r>
        <w:t xml:space="preserve">$</w:t>
      </w:r>
      <w:hyperlink r:id="rId45">
        <w:r>
          <w:rPr>
            <w:rStyle w:val="Hyperlink"/>
          </w:rPr>
          <w:t xml:space="preserve">[25]</w:t>
        </w:r>
      </w:hyperlink>
      <w:hyperlink r:id="rId45">
        <w:r>
          <w:rPr>
            <w:rStyle w:val="Hyperlink"/>
          </w:rPr>
          <w:t xml:space="preserve">[26]</w:t>
        </w:r>
      </w:hyperlink>
      <w:r>
        <w:t xml:space="preserve">). In summary, the functional inequality part is a }</w:t>
      </w:r>
      <w:r>
        <w:rPr>
          <w:b/>
          <w:bCs/>
        </w:rPr>
        <w:t xml:space="preserve">strength</w:t>
      </w:r>
      <w:r>
        <w:t xml:space="preserve"> </w:t>
      </w:r>
      <w:r>
        <w:t xml:space="preserve">of the paper (grounding the discussion in known mathematical theory), but applying those results to YM still demands substantial new work.</w:t>
      </w:r>
    </w:p>
    <w:p>
      <w:pPr>
        <w:pStyle w:val="FirstParagraph"/>
      </w:pPr>
      <w:r>
        <w:rPr>
          <w:b/>
          <w:bCs/>
        </w:rPr>
        <w:t xml:space="preserve">Gaps and Justification Needs:</w:t>
      </w:r>
      <w:r>
        <w:t xml:space="preserve"> </w:t>
      </w:r>
      <w:r>
        <w:t xml:space="preserve">In conclusion, the formal derivations are presented clearly and with correct logic in simplified settings. The major gaps lie in extending these to YM. Specifically, the existence of a suitable measure $\mu$ (assumed in Conjecture D) is unresolved, the viscous HJ equation is an unproven approximation, the anomaly-induced curvature (Conjecture B) is speculative, and the use of functional inequalities on a restricted subspace (local observables only) is nonstandard. Each of these steps will need either a rigorous proof or at least numerical/heuristic evidence to elevate the program to a full solution. On a positive note, the paper</w:t>
      </w:r>
      <w:r>
        <w:t xml:space="preserve"> </w:t>
      </w:r>
      <w:r>
        <w:rPr>
          <w:b/>
          <w:bCs/>
        </w:rPr>
        <w:t xml:space="preserve">does not hide these issues</w:t>
      </w:r>
      <w:r>
        <w:t xml:space="preserve"> </w:t>
      </w:r>
      <w:r>
        <w:t xml:space="preserve">– it labels the conjectural parts and even outlines plausible strategies (e.g. a three-step plan for proving the polar set is capacity-zero in Conjecture C</w:t>
      </w:r>
      <w:hyperlink r:id="rId46">
        <w:r>
          <w:rPr>
            <w:rStyle w:val="Hyperlink"/>
          </w:rPr>
          <w:t xml:space="preserve">[27]</w:t>
        </w:r>
      </w:hyperlink>
      <w:r>
        <w:t xml:space="preserve">). This transparency is a strong point, as it clarifies exactly where more work is needed for a Clay-level proof.</w:t>
      </w:r>
    </w:p>
    <w:bookmarkEnd w:id="47"/>
    <w:bookmarkStart w:id="69" w:name="conceptual-clarity"/>
    <w:p>
      <w:pPr>
        <w:pStyle w:val="Heading2"/>
      </w:pPr>
      <w:r>
        <w:t xml:space="preserve">2. Conceptual Clarity</w:t>
      </w:r>
    </w:p>
    <w:p>
      <w:pPr>
        <w:pStyle w:val="FirstParagraph"/>
      </w:pPr>
      <w:r>
        <w:rPr>
          <w:b/>
          <w:bCs/>
        </w:rPr>
        <w:t xml:space="preserve">Overall Architecture (Layers A–E):</w:t>
      </w:r>
      <w:r>
        <w:t xml:space="preserve"> </w:t>
      </w:r>
      <w:r>
        <w:t xml:space="preserve">The program is organized into five conceptual</w:t>
      </w:r>
      <w:r>
        <w:t xml:space="preserve"> </w:t>
      </w:r>
      <w:r>
        <w:rPr>
          <w:i/>
          <w:iCs/>
        </w:rPr>
        <w:t xml:space="preserve">layers</w:t>
      </w:r>
      <w:r>
        <w:t xml:space="preserve"> </w:t>
      </w:r>
      <w:r>
        <w:t xml:space="preserve">(A through E) which build upon each other</w:t>
      </w:r>
      <w:hyperlink r:id="rId48">
        <w:r>
          <w:rPr>
            <w:rStyle w:val="Hyperlink"/>
          </w:rPr>
          <w:t xml:space="preserve">[28]</w:t>
        </w:r>
      </w:hyperlink>
      <w:hyperlink r:id="rId49">
        <w:r>
          <w:rPr>
            <w:rStyle w:val="Hyperlink"/>
          </w:rPr>
          <w:t xml:space="preserve">[29]</w:t>
        </w:r>
      </w:hyperlink>
      <w:r>
        <w:t xml:space="preserve">. This layered architecture is a useful expository choice and is largely coherent:</w:t>
      </w:r>
      <w:r>
        <w:t xml:space="preserve"> </w:t>
      </w:r>
      <w:r>
        <w:t xml:space="preserve">-</w:t>
      </w:r>
      <w:r>
        <w:t xml:space="preserve"> </w:t>
      </w:r>
      <w:r>
        <w:rPr>
          <w:b/>
          <w:bCs/>
        </w:rPr>
        <w:t xml:space="preserve">Layer A</w:t>
      </w:r>
      <w:r>
        <w:t xml:space="preserve"> </w:t>
      </w:r>
      <w:r>
        <w:t xml:space="preserve">(UV regularity) addresses perturbative renormalization and asserts that after standard counterterms, the UV behavior of gauge-invariant observables is “mild” (polylogarithmic divergences)</w:t>
      </w:r>
      <w:hyperlink r:id="rId50">
        <w:r>
          <w:rPr>
            <w:rStyle w:val="Hyperlink"/>
          </w:rPr>
          <w:t xml:space="preserve">[30]</w:t>
        </w:r>
      </w:hyperlink>
      <w:hyperlink r:id="rId51">
        <w:r>
          <w:rPr>
            <w:rStyle w:val="Hyperlink"/>
          </w:rPr>
          <w:t xml:space="preserve">[31]</w:t>
        </w:r>
      </w:hyperlink>
      <w:r>
        <w:t xml:space="preserve">.</w:t>
      </w:r>
      <w:r>
        <w:t xml:space="preserve"> </w:t>
      </w:r>
      <w:r>
        <w:t xml:space="preserve">-</w:t>
      </w:r>
      <w:r>
        <w:t xml:space="preserve"> </w:t>
      </w:r>
      <w:r>
        <w:rPr>
          <w:b/>
          <w:bCs/>
        </w:rPr>
        <w:t xml:space="preserve">Layer B</w:t>
      </w:r>
      <w:r>
        <w:t xml:space="preserve"> </w:t>
      </w:r>
      <w:r>
        <w:t xml:space="preserve">(RG–Hessian flow) introduces the toy RG flow picture without anomaly, capturing the idea that curvature evolves via a reaction–diffusion equation</w:t>
      </w:r>
      <w:hyperlink r:id="rId51">
        <w:r>
          <w:rPr>
            <w:rStyle w:val="Hyperlink"/>
          </w:rPr>
          <w:t xml:space="preserve">[32]</w:t>
        </w:r>
      </w:hyperlink>
      <w:r>
        <w:t xml:space="preserve">.</w:t>
      </w:r>
      <w:r>
        <w:t xml:space="preserve"> </w:t>
      </w:r>
      <w:r>
        <w:t xml:space="preserve">-</w:t>
      </w:r>
      <w:r>
        <w:t xml:space="preserve"> </w:t>
      </w:r>
      <w:r>
        <w:rPr>
          <w:b/>
          <w:bCs/>
        </w:rPr>
        <w:t xml:space="preserve">Layer C</w:t>
      </w:r>
      <w:r>
        <w:t xml:space="preserve"> </w:t>
      </w:r>
      <w:r>
        <w:t xml:space="preserve">(Anomaly &amp; Curvature) adds the trace anomaly into the flow, proposing a mechanism for a positive curvature fixed point</w:t>
      </w:r>
      <w:hyperlink r:id="rId52">
        <w:r>
          <w:rPr>
            <w:rStyle w:val="Hyperlink"/>
          </w:rPr>
          <w:t xml:space="preserve">[33]</w:t>
        </w:r>
      </w:hyperlink>
      <w:r>
        <w:t xml:space="preserve">.</w:t>
      </w:r>
      <w:r>
        <w:t xml:space="preserve"> </w:t>
      </w:r>
      <w:r>
        <w:t xml:space="preserve">-</w:t>
      </w:r>
      <w:r>
        <w:t xml:space="preserve"> </w:t>
      </w:r>
      <w:r>
        <w:rPr>
          <w:b/>
          <w:bCs/>
        </w:rPr>
        <w:t xml:space="preserve">Layer D</w:t>
      </w:r>
      <w:r>
        <w:t xml:space="preserve"> </w:t>
      </w:r>
      <w:r>
        <w:t xml:space="preserve">(Stratified geometry) concerns the differential-geometric issues of the gauge field configuration space, arguing that the “bad” subset (reducible connections) is negligible</w:t>
      </w:r>
      <w:hyperlink r:id="rId49">
        <w:r>
          <w:rPr>
            <w:rStyle w:val="Hyperlink"/>
          </w:rPr>
          <w:t xml:space="preserve">[29]</w:t>
        </w:r>
      </w:hyperlink>
      <w:r>
        <w:t xml:space="preserve">.</w:t>
      </w:r>
      <w:r>
        <w:t xml:space="preserve"> </w:t>
      </w:r>
      <w:r>
        <w:t xml:space="preserve">-</w:t>
      </w:r>
      <w:r>
        <w:t xml:space="preserve"> </w:t>
      </w:r>
      <w:r>
        <w:rPr>
          <w:b/>
          <w:bCs/>
        </w:rPr>
        <w:t xml:space="preserve">Layer E</w:t>
      </w:r>
      <w:r>
        <w:t xml:space="preserve"> </w:t>
      </w:r>
      <w:r>
        <w:t xml:space="preserve">(Functional inequalities) then uses Bakry–Émery theory to go from a curvature bound to a spectral gap and hence a mass gap</w:t>
      </w:r>
      <w:hyperlink r:id="rId53">
        <w:r>
          <w:rPr>
            <w:rStyle w:val="Hyperlink"/>
          </w:rPr>
          <w:t xml:space="preserve">[34]</w:t>
        </w:r>
      </w:hyperlink>
      <w:r>
        <w:t xml:space="preserve">.</w:t>
      </w:r>
    </w:p>
    <w:p>
      <w:pPr>
        <w:pStyle w:val="BodyText"/>
      </w:pPr>
      <w:r>
        <w:t xml:space="preserve">This breakdown is</w:t>
      </w:r>
      <w:r>
        <w:t xml:space="preserve"> </w:t>
      </w:r>
      <w:r>
        <w:rPr>
          <w:b/>
          <w:bCs/>
        </w:rPr>
        <w:t xml:space="preserve">conceptually clear</w:t>
      </w:r>
      <w:r>
        <w:t xml:space="preserve">. Each layer deals with a distinct aspect (analytic, geometric, or algebraic) of the problem, which helps the reader see the multifaceted nature of the YM mass gap challenge. The document does a good job explaining the motivation and content of each layer in the Architectural Overview section</w:t>
      </w:r>
      <w:hyperlink r:id="rId48">
        <w:r>
          <w:rPr>
            <w:rStyle w:val="Hyperlink"/>
          </w:rPr>
          <w:t xml:space="preserve">[28]</w:t>
        </w:r>
      </w:hyperlink>
      <w:hyperlink r:id="rId49">
        <w:r>
          <w:rPr>
            <w:rStyle w:val="Hyperlink"/>
          </w:rPr>
          <w:t xml:space="preserve">[35]</w:t>
        </w:r>
      </w:hyperlink>
      <w:r>
        <w:t xml:space="preserve">. For example, the rationale for Layer D is clearly given: the gauge orbit space is stratified, but perhaps the singular strata can be ignored due to infinite codimension</w:t>
      </w:r>
      <w:hyperlink r:id="rId54">
        <w:r>
          <w:rPr>
            <w:rStyle w:val="Hyperlink"/>
          </w:rPr>
          <w:t xml:space="preserve">[36]</w:t>
        </w:r>
      </w:hyperlink>
      <w:hyperlink r:id="rId55">
        <w:r>
          <w:rPr>
            <w:rStyle w:val="Hyperlink"/>
          </w:rPr>
          <w:t xml:space="preserve">[37]</w:t>
        </w:r>
      </w:hyperlink>
      <w:r>
        <w:t xml:space="preserve"> </w:t>
      </w:r>
      <w:r>
        <w:t xml:space="preserve">– a point many treatments gloss over. Likewise, Layer A’s importance is justified: without control of UV fluctuations, any functional inequality in the IR might be destroyed</w:t>
      </w:r>
      <w:hyperlink r:id="rId56">
        <w:r>
          <w:rPr>
            <w:rStyle w:val="Hyperlink"/>
          </w:rPr>
          <w:t xml:space="preserve">[38]</w:t>
        </w:r>
      </w:hyperlink>
      <w:hyperlink r:id="rId57">
        <w:r>
          <w:rPr>
            <w:rStyle w:val="Hyperlink"/>
          </w:rPr>
          <w:t xml:space="preserve">[39]</w:t>
        </w:r>
      </w:hyperlink>
      <w:r>
        <w:t xml:space="preserve">.</w:t>
      </w:r>
    </w:p>
    <w:p>
      <w:pPr>
        <w:pStyle w:val="BodyText"/>
      </w:pPr>
      <w:r>
        <w:t xml:space="preserve">One critique is that the</w:t>
      </w:r>
      <w:r>
        <w:t xml:space="preserve"> </w:t>
      </w:r>
      <w:r>
        <w:rPr>
          <w:b/>
          <w:bCs/>
        </w:rPr>
        <w:t xml:space="preserve">mapping from layers to conjectures is a bit implicit</w:t>
      </w:r>
      <w:r>
        <w:t xml:space="preserve">. The overview lists the layers without explicitly naming the corresponding conjectures, which could confuse readers initially. For instance, Layer A corresponds to Conjecture A (UV Log–Forest) and Layer C corresponds to Conjecture B (anomaly positivity), while Layer D is essentially Conjecture C. This correspondence becomes clear later (especially in Part VII summary</w:t>
      </w:r>
      <w:hyperlink r:id="rId58">
        <w:r>
          <w:rPr>
            <w:rStyle w:val="Hyperlink"/>
          </w:rPr>
          <w:t xml:space="preserve">[40]</w:t>
        </w:r>
      </w:hyperlink>
      <w:r>
        <w:t xml:space="preserve">), but stating it upfront would improve coherence. Additionally, the IR-related Conjectures IR–1 and IR–2 are not labeled as a separate layer in the overview. They appear later in Part III as key conceptual inputs</w:t>
      </w:r>
      <w:hyperlink r:id="rId59">
        <w:r>
          <w:rPr>
            <w:rStyle w:val="Hyperlink"/>
          </w:rPr>
          <w:t xml:space="preserve">[41]</w:t>
        </w:r>
      </w:hyperlink>
      <w:hyperlink r:id="rId60">
        <w:r>
          <w:rPr>
            <w:rStyle w:val="Hyperlink"/>
          </w:rPr>
          <w:t xml:space="preserve">[42]</w:t>
        </w:r>
      </w:hyperlink>
      <w:r>
        <w:t xml:space="preserve">, effectively sitting between layers C/B and E in terms of logic. Making their place in the “architecture” explicit (perhaps calling them an "IR layer" or part of Layer E) could enhance clarity. Despite these minor structural labeling issues, the architecture as a whole is presented in a logical sequence and each piece is motivated by a clear question (“what about UV divergences?”, “what generates mass scale?”, “what about gauge singularities?”, etc.).</w:t>
      </w:r>
    </w:p>
    <w:p>
      <w:pPr>
        <w:pStyle w:val="BodyText"/>
      </w:pPr>
      <w:r>
        <w:rPr>
          <w:b/>
          <w:bCs/>
        </w:rPr>
        <w:t xml:space="preserve">Global vs Local Spectral Gaps:</w:t>
      </w:r>
      <w:r>
        <w:t xml:space="preserve"> </w:t>
      </w:r>
      <w:r>
        <w:t xml:space="preserve">The distinction between the</w:t>
      </w:r>
      <w:r>
        <w:t xml:space="preserve"> </w:t>
      </w:r>
      <w:r>
        <w:rPr>
          <w:i/>
          <w:iCs/>
        </w:rPr>
        <w:t xml:space="preserve">global spectral gap</w:t>
      </w:r>
      <w:r>
        <w:t xml:space="preserve"> </w:t>
      </w:r>
      <w:r>
        <w:t xml:space="preserve">$\lambda_{\mathrm{glob}}$ and the</w:t>
      </w:r>
      <w:r>
        <w:t xml:space="preserve"> </w:t>
      </w:r>
      <w:r>
        <w:rPr>
          <w:i/>
          <w:iCs/>
        </w:rPr>
        <w:t xml:space="preserve">local-sector spectral gap</w:t>
      </w:r>
      <w:r>
        <w:t xml:space="preserve"> </w:t>
      </w:r>
      <w:r>
        <w:t xml:space="preserve">$\lambda_{\mathrm{loc}}$ is one of the conceptual linchpins of this program, and it is articulated very clearly. In Part I, the authors define $\lambda_{\mathrm{glob}}$ as the infimum of the Dirichlet form $\mathcal{E}(f,f)$ over all nontrivial $L^2$ functions</w:t>
      </w:r>
      <w:hyperlink r:id="rId61">
        <w:r>
          <w:rPr>
            <w:rStyle w:val="Hyperlink"/>
          </w:rPr>
          <w:t xml:space="preserve">[43]</w:t>
        </w:r>
      </w:hyperlink>
      <w:r>
        <w:t xml:space="preserve">, whereas $\lambda_{\mathrm{loc}}$ is the infimum restricted to the subspace generated by</w:t>
      </w:r>
      <w:r>
        <w:t xml:space="preserve"> </w:t>
      </w:r>
      <w:r>
        <w:rPr>
          <w:i/>
          <w:iCs/>
        </w:rPr>
        <w:t xml:space="preserve">local, gauge-invariant observables</w:t>
      </w:r>
      <w:hyperlink r:id="rId62">
        <w:r>
          <w:rPr>
            <w:rStyle w:val="Hyperlink"/>
          </w:rPr>
          <w:t xml:space="preserve">[44]</w:t>
        </w:r>
      </w:hyperlink>
      <w:hyperlink r:id="rId63">
        <w:r>
          <w:rPr>
            <w:rStyle w:val="Hyperlink"/>
          </w:rPr>
          <w:t xml:space="preserve">[45]</w:t>
        </w:r>
      </w:hyperlink>
      <w:r>
        <w:t xml:space="preserve">. This neatly encapsulates the idea that</w:t>
      </w:r>
      <w:r>
        <w:t xml:space="preserve"> </w:t>
      </w:r>
      <w:r>
        <w:rPr>
          <w:i/>
          <w:iCs/>
        </w:rPr>
        <w:t xml:space="preserve">topological transitions</w:t>
      </w:r>
      <w:r>
        <w:t xml:space="preserve"> </w:t>
      </w:r>
      <w:r>
        <w:t xml:space="preserve">(which involve non-local changes in the field configuration, like tunneling between distinct instanton sectors) can produce arbitrarily slow modes of the Langevin dynamics, thus collapsing the global gap, even though they do not correspond to physical particle excitations</w:t>
      </w:r>
      <w:hyperlink r:id="rId64">
        <w:r>
          <w:rPr>
            <w:rStyle w:val="Hyperlink"/>
          </w:rPr>
          <w:t xml:space="preserve">[46]</w:t>
        </w:r>
      </w:hyperlink>
      <w:hyperlink r:id="rId65">
        <w:r>
          <w:rPr>
            <w:rStyle w:val="Hyperlink"/>
          </w:rPr>
          <w:t xml:space="preserve">[47]</w:t>
        </w:r>
      </w:hyperlink>
      <w:r>
        <w:t xml:space="preserve">. The paper makes this point with exemplary clarity: “Topological modes may produce $\lambda_{\mathrm{glob}}\ll \lambda_{\mathrm{loc}}$, but the lowest nonzero eigenvalue relevant for</w:t>
      </w:r>
      <w:r>
        <w:t xml:space="preserve"> </w:t>
      </w:r>
      <w:r>
        <w:rPr>
          <w:b/>
          <w:bCs/>
        </w:rPr>
        <w:t xml:space="preserve">local</w:t>
      </w:r>
      <w:r>
        <w:t xml:space="preserve"> </w:t>
      </w:r>
      <w:r>
        <w:t xml:space="preserve">Schwinger functions is controlled by $\lambda_{\mathrm{loc}}$.”</w:t>
      </w:r>
      <w:hyperlink r:id="rId66">
        <w:r>
          <w:rPr>
            <w:rStyle w:val="Hyperlink"/>
          </w:rPr>
          <w:t xml:space="preserve">[48]</w:t>
        </w:r>
      </w:hyperlink>
      <w:r>
        <w:t xml:space="preserve"> </w:t>
      </w:r>
      <w:r>
        <w:t xml:space="preserve">This distinction is crucial and the authors handle it well, preventing a common confusion in stochastic analyses of YM. By explicitly defining $\mathcal{H}_{\mathrm{loc}}$ (the closure of span of local cylindrical observables)</w:t>
      </w:r>
      <w:hyperlink r:id="rId62">
        <w:r>
          <w:rPr>
            <w:rStyle w:val="Hyperlink"/>
          </w:rPr>
          <w:t xml:space="preserve">[44]</w:t>
        </w:r>
      </w:hyperlink>
      <w:r>
        <w:t xml:space="preserve">, they give a concrete</w:t>
      </w:r>
      <w:r>
        <w:t xml:space="preserve"> </w:t>
      </w:r>
      <w:r>
        <w:rPr>
          <w:i/>
          <w:iCs/>
        </w:rPr>
        <w:t xml:space="preserve">mathematical</w:t>
      </w:r>
      <w:r>
        <w:t xml:space="preserve"> </w:t>
      </w:r>
      <w:r>
        <w:t xml:space="preserve">meaning to “local sector.” One possible improvement for clarity could be to elaborate on how one might</w:t>
      </w:r>
      <w:r>
        <w:t xml:space="preserve"> </w:t>
      </w:r>
      <w:r>
        <w:rPr>
          <w:i/>
          <w:iCs/>
        </w:rPr>
        <w:t xml:space="preserve">restrict to</w:t>
      </w:r>
      <w:r>
        <w:t xml:space="preserve"> </w:t>
      </w:r>
      <w:r>
        <w:t xml:space="preserve">that subspace in practice – e.g. by considering observables that are insensitive to global topological charges. But the intuition is that in infinite volume, local operators cannot change the topology (they have support in a compact region), so indeed they effectively live in a fixed topological sector. The text supporting Conjectures IR–1 and IR–2 reinforces this: IR–2 posits that slow modes associated with global topology have “negligible overlap” with local observables in large volume</w:t>
      </w:r>
      <w:hyperlink r:id="rId67">
        <w:r>
          <w:rPr>
            <w:rStyle w:val="Hyperlink"/>
          </w:rPr>
          <w:t xml:space="preserve">[49]</w:t>
        </w:r>
      </w:hyperlink>
      <w:r>
        <w:t xml:space="preserve">. The</w:t>
      </w:r>
      <w:r>
        <w:t xml:space="preserve"> </w:t>
      </w:r>
      <w:r>
        <w:rPr>
          <w:b/>
          <w:bCs/>
        </w:rPr>
        <w:t xml:space="preserve">upshot</w:t>
      </w:r>
      <w:r>
        <w:t xml:space="preserve"> </w:t>
      </w:r>
      <w:r>
        <w:t xml:space="preserve">is that the conceptual separation of global vs local dynamics is coherent and clearly justified by analogy (the double-well example) and by physical reasoning. This is a strength of the paper’s clarity: a reader comes away understanding why a naive spectral gap might be zero (due to topology) even if a mass gap exists, resolving an apparent paradox.</w:t>
      </w:r>
    </w:p>
    <w:p>
      <w:pPr>
        <w:pStyle w:val="BodyText"/>
      </w:pPr>
      <w:r>
        <w:rPr>
          <w:b/>
          <w:bCs/>
        </w:rPr>
        <w:t xml:space="preserve">Topological vs Curvature-Driven Modes:</w:t>
      </w:r>
      <w:r>
        <w:t xml:space="preserve"> </w:t>
      </w:r>
      <w:r>
        <w:t xml:space="preserve">The authors introduce an insightful narrative that</w:t>
      </w:r>
      <w:r>
        <w:t xml:space="preserve"> </w:t>
      </w:r>
      <w:r>
        <w:rPr>
          <w:i/>
          <w:iCs/>
        </w:rPr>
        <w:t xml:space="preserve">topology-driven slow modes</w:t>
      </w:r>
      <w:r>
        <w:t xml:space="preserve"> </w:t>
      </w:r>
      <w:r>
        <w:t xml:space="preserve">(like tunneling between vacuum sectors) may compete with or obscure the</w:t>
      </w:r>
      <w:r>
        <w:t xml:space="preserve"> </w:t>
      </w:r>
      <w:r>
        <w:rPr>
          <w:i/>
          <w:iCs/>
        </w:rPr>
        <w:t xml:space="preserve">curvature-driven gap</w:t>
      </w:r>
      <w:r>
        <w:t xml:space="preserve"> </w:t>
      </w:r>
      <w:r>
        <w:t xml:space="preserve">(mass generation due to positive curvature in the effective potential landscape). This narrative is embodied in Conjectures IR–1 and IR–2</w:t>
      </w:r>
      <w:hyperlink r:id="rId59">
        <w:r>
          <w:rPr>
            <w:rStyle w:val="Hyperlink"/>
          </w:rPr>
          <w:t xml:space="preserve">[41]</w:t>
        </w:r>
      </w:hyperlink>
      <w:hyperlink r:id="rId60">
        <w:r>
          <w:rPr>
            <w:rStyle w:val="Hyperlink"/>
          </w:rPr>
          <w:t xml:space="preserve">[42]</w:t>
        </w:r>
      </w:hyperlink>
      <w:r>
        <w:t xml:space="preserve">. Conceptually:</w:t>
      </w:r>
      <w:r>
        <w:t xml:space="preserve"> </w:t>
      </w:r>
      <w:r>
        <w:t xml:space="preserve">- Conjecture IR–1 says: within each fixed topological sector, the system has a gap $\lambda_{\mathrm{loc}}&gt;0$ governed by curvature (i.e., by “ordinary” confinement dynamics, not by vacuum tunneling)</w:t>
      </w:r>
      <w:hyperlink r:id="rId59">
        <w:r>
          <w:rPr>
            <w:rStyle w:val="Hyperlink"/>
          </w:rPr>
          <w:t xml:space="preserve">[41]</w:t>
        </w:r>
      </w:hyperlink>
      <w:r>
        <w:t xml:space="preserve">.</w:t>
      </w:r>
      <w:r>
        <w:t xml:space="preserve"> </w:t>
      </w:r>
      <w:r>
        <w:t xml:space="preserve">- Conjecture IR–2 says: even though global tunneling modes exist with very small eigenvalues $\lambda_{\mathrm{top}}$, those modes do not contribute significantly to local correlation functions in the infinite-volume limit</w:t>
      </w:r>
      <w:hyperlink r:id="rId60">
        <w:r>
          <w:rPr>
            <w:rStyle w:val="Hyperlink"/>
          </w:rPr>
          <w:t xml:space="preserve">[42]</w:t>
        </w:r>
      </w:hyperlink>
      <w:r>
        <w:t xml:space="preserve">.</w:t>
      </w:r>
    </w:p>
    <w:p>
      <w:pPr>
        <w:pStyle w:val="BodyText"/>
      </w:pPr>
      <w:r>
        <w:t xml:space="preserve">These conjectures sharply delineate</w:t>
      </w:r>
      <w:r>
        <w:t xml:space="preserve"> </w:t>
      </w:r>
      <w:r>
        <w:rPr>
          <w:i/>
          <w:iCs/>
        </w:rPr>
        <w:t xml:space="preserve">topologically slow</w:t>
      </w:r>
      <w:r>
        <w:t xml:space="preserve"> </w:t>
      </w:r>
      <w:r>
        <w:t xml:space="preserve">versus</w:t>
      </w:r>
      <w:r>
        <w:t xml:space="preserve"> </w:t>
      </w:r>
      <w:r>
        <w:rPr>
          <w:i/>
          <w:iCs/>
        </w:rPr>
        <w:t xml:space="preserve">dynamically confining</w:t>
      </w:r>
      <w:r>
        <w:t xml:space="preserve"> </w:t>
      </w:r>
      <w:r>
        <w:t xml:space="preserve">modes. The clarity here is commendable – the paper makes it clear</w:t>
      </w:r>
      <w:r>
        <w:t xml:space="preserve"> </w:t>
      </w:r>
      <w:r>
        <w:rPr>
          <w:i/>
          <w:iCs/>
        </w:rPr>
        <w:t xml:space="preserve">why</w:t>
      </w:r>
      <w:r>
        <w:t xml:space="preserve"> </w:t>
      </w:r>
      <w:r>
        <w:t xml:space="preserve">one must assume something like IR–2 to get a physical mass gap from a local perspective. In fact, the double-well analogy in Part IV is used to emphasize that standard spectral gap or LSI analysis</w:t>
      </w:r>
      <w:r>
        <w:t xml:space="preserve"> </w:t>
      </w:r>
      <w:r>
        <w:rPr>
          <w:i/>
          <w:iCs/>
        </w:rPr>
        <w:t xml:space="preserve">would</w:t>
      </w:r>
      <w:r>
        <w:t xml:space="preserve"> </w:t>
      </w:r>
      <w:r>
        <w:t xml:space="preserve">detect the slow mode if it overlaps with the measure significantly</w:t>
      </w:r>
      <w:hyperlink r:id="rId43">
        <w:r>
          <w:rPr>
            <w:rStyle w:val="Hyperlink"/>
          </w:rPr>
          <w:t xml:space="preserve">[23]</w:t>
        </w:r>
      </w:hyperlink>
      <w:r>
        <w:t xml:space="preserve">. Thus, IR–2 is essentially saying YM is not like a simple double-well – the deep, slow “wells” (vacuum sectors) don't dominate local physics. This is a subtle point, and the authors convey it well. One minor critique is that IR–1 and IR–2 are stated as separate conjectures but are deeply interdependent – IR–1 provides the existence of a local gap per sector, and IR–2 ensures that these local gaps are the relevant ones. The document could possibly discuss the interplay: e.g., even if IR–1 held true, if IR–2 failed (meaning global tunneling</w:t>
      </w:r>
      <w:r>
        <w:t xml:space="preserve"> </w:t>
      </w:r>
      <w:r>
        <w:rPr>
          <w:i/>
          <w:iCs/>
        </w:rPr>
        <w:t xml:space="preserve">did</w:t>
      </w:r>
      <w:r>
        <w:t xml:space="preserve"> </w:t>
      </w:r>
      <w:r>
        <w:t xml:space="preserve">dominate even local correlators), the program would fall apart. Conversely, IR–2 without IR–1 would be strange (if topology is irrelevant but there’s still no gap, something else is wrong). The authors likely consider both essential and indeed treat them as a pair (they’re listed jointly in the Part VII summary)</w:t>
      </w:r>
      <w:hyperlink r:id="rId68">
        <w:r>
          <w:rPr>
            <w:rStyle w:val="Hyperlink"/>
          </w:rPr>
          <w:t xml:space="preserve">[50]</w:t>
        </w:r>
      </w:hyperlink>
      <w:r>
        <w:t xml:space="preserve">. The conceptual distinction is very clear, but the logical necessity of assuming both could be highlighted.</w:t>
      </w:r>
    </w:p>
    <w:p>
      <w:pPr>
        <w:pStyle w:val="BodyText"/>
      </w:pPr>
      <w:r>
        <w:t xml:space="preserve">In summary, the conceptual architecture of layers A–E is coherent, if somewhat complex. Each piece is motivated by a clear physical or mathematical issue, and the narrative of how they come together (UV control, plus anomaly, plus ignoring singular gauge copies, plus isolating local sector) is persuasive. The clarity in distinguishing global vs local phenomena and topological vs confining effects is a standout strength of the document. Only small improvements (explicit mapping of layers to conjectures, and a bit more discussion on the IR conjectures’ interplay) are suggested to further enhance the coherence.</w:t>
      </w:r>
    </w:p>
    <w:bookmarkEnd w:id="69"/>
    <w:bookmarkStart w:id="74" w:name="numerical-strategy"/>
    <w:p>
      <w:pPr>
        <w:pStyle w:val="Heading2"/>
      </w:pPr>
      <w:r>
        <w:t xml:space="preserve">3. Numerical Strategy</w:t>
      </w:r>
    </w:p>
    <w:p>
      <w:pPr>
        <w:pStyle w:val="FirstParagraph"/>
      </w:pPr>
      <w:r>
        <w:t xml:space="preserve">The white paper proposes two numerical experiments,</w:t>
      </w:r>
      <w:r>
        <w:t xml:space="preserve"> </w:t>
      </w:r>
      <w:r>
        <w:rPr>
          <w:b/>
          <w:bCs/>
        </w:rPr>
        <w:t xml:space="preserve">T13</w:t>
      </w:r>
      <w:r>
        <w:t xml:space="preserve"> </w:t>
      </w:r>
      <w:r>
        <w:t xml:space="preserve">and</w:t>
      </w:r>
      <w:r>
        <w:t xml:space="preserve"> </w:t>
      </w:r>
      <w:r>
        <w:rPr>
          <w:b/>
          <w:bCs/>
        </w:rPr>
        <w:t xml:space="preserve">TQ13</w:t>
      </w:r>
      <w:r>
        <w:t xml:space="preserve">, intended as diagnostics for the IR conjectures (especially IR–2). These proposals are intriguing and show a willingness to test key ideas empirically, but there are questions about their feasibility and sufficiency:</w:t>
      </w:r>
    </w:p>
    <w:p>
      <w:pPr>
        <w:numPr>
          <w:ilvl w:val="0"/>
          <w:numId w:val="1002"/>
        </w:numPr>
      </w:pPr>
      <w:r>
        <w:rPr>
          <w:b/>
          <w:bCs/>
        </w:rPr>
        <w:t xml:space="preserve">T13 (Pilot study on small lattices):</w:t>
      </w:r>
      <w:r>
        <w:t xml:space="preserve"> </w:t>
      </w:r>
      <w:r>
        <w:t xml:space="preserve">This is described as a JAX-based Langevin simulation on an $8^4$ lattice, measuring autocorrelation times $\tau(W)$ for small Wilson loops and a “roughness ratio” for local fluctuations</w:t>
      </w:r>
      <w:hyperlink r:id="rId70">
        <w:r>
          <w:rPr>
            <w:rStyle w:val="Hyperlink"/>
          </w:rPr>
          <w:t xml:space="preserve">[51]</w:t>
        </w:r>
      </w:hyperlink>
      <w:r>
        <w:t xml:space="preserve">. The result reported is that $\tau(W)$ is $\mathcal{O}(1)$ (in Langevin time units) over a range of $\beta$, with no sign of critical slowing down at this small volume</w:t>
      </w:r>
      <w:hyperlink r:id="rId71">
        <w:r>
          <w:rPr>
            <w:rStyle w:val="Hyperlink"/>
          </w:rPr>
          <w:t xml:space="preserve">[52]</w:t>
        </w:r>
      </w:hyperlink>
      <w:r>
        <w:t xml:space="preserve">. The document rightly notes this mainly serves to validate the code and doesn’t reveal much about true IR behavior. Indeed, an $8^4$ lattice is far from the confining regime needed to test mass gap scaling – it likely sits in a crossover region where finite-volume effects dominate. As a diagnostic,</w:t>
      </w:r>
      <w:r>
        <w:t xml:space="preserve"> </w:t>
      </w:r>
      <w:r>
        <w:rPr>
          <w:b/>
          <w:bCs/>
        </w:rPr>
        <w:t xml:space="preserve">T13 is limited</w:t>
      </w:r>
      <w:r>
        <w:t xml:space="preserve">: it can perhaps ensure that the Langevin implementation is correct and maybe give some insight into UV roughness of fields (the “roughness ratio” isn’t elaborated here, but presumably it’s a measure of field fluctuations). The positive takeaway is that no unexpected slow modes appeared at tiny volume (which one wouldn’t expect anyway since topology on $8^4$ is heavily suppressed and physical correlation lengths are bounded by the box). In terms of design, T13 is fine as a pilot, but to make it more useful, one might push to moderately larger volumes or include an</w:t>
      </w:r>
      <w:r>
        <w:t xml:space="preserve"> </w:t>
      </w:r>
      <w:r>
        <w:rPr>
          <w:i/>
          <w:iCs/>
        </w:rPr>
        <w:t xml:space="preserve">explicit</w:t>
      </w:r>
      <w:r>
        <w:t xml:space="preserve"> </w:t>
      </w:r>
      <w:r>
        <w:t xml:space="preserve">check of spectral quantities (e.g. measure the actual two-point function decay on that lattice to estimate a mass). Currently, T13 alone does not stress-test Conjecture IR–2 or IR–1.</w:t>
      </w:r>
    </w:p>
    <w:p>
      <w:pPr>
        <w:numPr>
          <w:ilvl w:val="0"/>
          <w:numId w:val="1002"/>
        </w:numPr>
      </w:pPr>
      <w:r>
        <w:rPr>
          <w:b/>
          <w:bCs/>
        </w:rPr>
        <w:t xml:space="preserve">TQ13 (Topological vs Local autocorrelation on larger lattices):</w:t>
      </w:r>
      <w:r>
        <w:t xml:space="preserve"> </w:t>
      </w:r>
      <w:r>
        <w:t xml:space="preserve">This is the more ambitious proposal targeting Conjecture IR–2</w:t>
      </w:r>
      <w:hyperlink r:id="rId72">
        <w:r>
          <w:rPr>
            <w:rStyle w:val="Hyperlink"/>
          </w:rPr>
          <w:t xml:space="preserve">[53]</w:t>
        </w:r>
      </w:hyperlink>
      <w:r>
        <w:t xml:space="preserve">. The idea is to simulate Langevin dynamics on larger lattices (e.g. $16^4$ or $24^4$) and measure:</w:t>
      </w:r>
    </w:p>
    <w:p>
      <w:pPr>
        <w:pStyle w:val="Compact"/>
        <w:numPr>
          <w:ilvl w:val="0"/>
          <w:numId w:val="1002"/>
        </w:numPr>
      </w:pPr>
      <w:r>
        <w:t xml:space="preserve">$\tau(Q)$: autocorrelation time of a suitably defined</w:t>
      </w:r>
      <w:r>
        <w:t xml:space="preserve"> </w:t>
      </w:r>
      <w:r>
        <w:rPr>
          <w:b/>
          <w:bCs/>
        </w:rPr>
        <w:t xml:space="preserve">topological charge</w:t>
      </w:r>
      <w:r>
        <w:t xml:space="preserve"> </w:t>
      </w:r>
      <w:r>
        <w:t xml:space="preserve">$Q$ (obtained via standard gradient-flow techniques to reduce noise).</w:t>
      </w:r>
    </w:p>
    <w:p>
      <w:pPr>
        <w:pStyle w:val="Compact"/>
        <w:numPr>
          <w:ilvl w:val="0"/>
          <w:numId w:val="1002"/>
        </w:numPr>
      </w:pPr>
      <w:r>
        <w:t xml:space="preserve">$\tau(W)$: autocorrelation time for local observables like small Wilson loops.</w:t>
      </w:r>
    </w:p>
    <w:p>
      <w:pPr>
        <w:pStyle w:val="Compact"/>
        <w:numPr>
          <w:ilvl w:val="0"/>
          <w:numId w:val="1002"/>
        </w:numPr>
      </w:pPr>
      <w:r>
        <w:t xml:space="preserve">The frequency of tunneling between topological sectors.</w:t>
      </w:r>
    </w:p>
    <w:p>
      <w:pPr>
        <w:pStyle w:val="FirstParagraph"/>
      </w:pPr>
      <w:r>
        <w:t xml:space="preserve">By comparing $\tau(Q)$ and $\tau(W)$, one can empirically distinguish two scenarios</w:t>
      </w:r>
      <w:hyperlink r:id="rId73">
        <w:r>
          <w:rPr>
            <w:rStyle w:val="Hyperlink"/>
          </w:rPr>
          <w:t xml:space="preserve">[54]</w:t>
        </w:r>
      </w:hyperlink>
      <w:r>
        <w:t xml:space="preserve">:</w:t>
      </w:r>
      <w:r>
        <w:t xml:space="preserve"> </w:t>
      </w:r>
      <w:r>
        <w:t xml:space="preserve">-</w:t>
      </w:r>
      <w:r>
        <w:t xml:space="preserve"> </w:t>
      </w:r>
      <w:r>
        <w:rPr>
          <w:i/>
          <w:iCs/>
        </w:rPr>
        <w:t xml:space="preserve">Tunneling-dominated:</w:t>
      </w:r>
      <w:r>
        <w:t xml:space="preserve"> </w:t>
      </w:r>
      <w:r>
        <w:t xml:space="preserve">$\tau(Q)$ grows exponentially with spatial size $L$ (or is extremely large), and $\tau(Q)\gg \tau(W)$. This would suggest global topological modes are much slower than local ones, i.e. a very small $\lambda_{\mathrm{glob}}$ unrelated to local dynamics – a potential violation of IR–2.</w:t>
      </w:r>
      <w:r>
        <w:t xml:space="preserve"> </w:t>
      </w:r>
      <w:r>
        <w:t xml:space="preserve">-</w:t>
      </w:r>
      <w:r>
        <w:t xml:space="preserve"> </w:t>
      </w:r>
      <w:r>
        <w:rPr>
          <w:i/>
          <w:iCs/>
        </w:rPr>
        <w:t xml:space="preserve">Curvature-dominated:</w:t>
      </w:r>
      <w:r>
        <w:t xml:space="preserve"> </w:t>
      </w:r>
      <w:r>
        <w:t xml:space="preserve">$\tau(Q)$ and $\tau(W)$ have similar scale (both perhaps not too large, maybe growing mildly with $L$), suggesting that whatever sets the scale of local decorrelation also governs topological transitions – consistent with a single mass gap mechanism (this would support IR–2).</w:t>
      </w:r>
    </w:p>
    <w:p>
      <w:pPr>
        <w:pStyle w:val="BodyText"/>
      </w:pPr>
      <w:r>
        <w:rPr>
          <w:b/>
          <w:bCs/>
        </w:rPr>
        <w:t xml:space="preserve">Feasibility:</w:t>
      </w:r>
      <w:r>
        <w:t xml:space="preserve"> </w:t>
      </w:r>
      <w:r>
        <w:t xml:space="preserve">The design is conceptually sound, but practically challenging. Langevin simulations of pure YM on $24^4$ lattices are feasible with modern computing (especially with an efficient JAX implementation), but measuring topological tunneling is notoriously difficult. Typically,</w:t>
      </w:r>
      <w:r>
        <w:t xml:space="preserve"> </w:t>
      </w:r>
      <w:r>
        <w:rPr>
          <w:b/>
          <w:bCs/>
        </w:rPr>
        <w:t xml:space="preserve">topological charge transitions</w:t>
      </w:r>
      <w:r>
        <w:t xml:space="preserve"> </w:t>
      </w:r>
      <w:r>
        <w:t xml:space="preserve">in lattice YM are rare for fine lattices (small $a$) because standard Monte Carlo algorithms suffer from critical slowing for topology (the “topological freezeout” problem). Langevin dynamics might also slow down, since it effectively performs a random walk in configuration space that can get “stuck” in a topological sector if the barriers are high. The proposal to use gradient flow to define $Q$ is good (it gives a smooth definition of charge), but one must be cautious: if $\tau(Q)$ is extremely large (which might happen in the continuum-like regime), one could simply not observe any tunneling events in a realistic simulation timescale. The authors leave detailed parameters to another note, which is fine, but a reader might wonder:</w:t>
      </w:r>
      <w:r>
        <w:t xml:space="preserve"> </w:t>
      </w:r>
      <w:r>
        <w:rPr>
          <w:b/>
          <w:bCs/>
        </w:rPr>
        <w:t xml:space="preserve">what if $\tau(Q)$ is astronomically large?</w:t>
      </w:r>
      <w:r>
        <w:t xml:space="preserve"> </w:t>
      </w:r>
      <w:r>
        <w:t xml:space="preserve">Then failing to see tunneling wouldn’t necessarily disprove IR–2 – it could just be a limitation of simulation time. Conversely, seeing frequent tunneling (small $\tau(Q)$) would be very interesting and supportive of the curvature-dominated scenario. In practice, one might need to tune lattice coupling to intermediate values (not too close to continuum limit) where topology is active but the lattice is large enough to approximate IR physics.</w:t>
      </w:r>
    </w:p>
    <w:p>
      <w:pPr>
        <w:pStyle w:val="BodyText"/>
      </w:pPr>
      <w:r>
        <w:rPr>
          <w:b/>
          <w:bCs/>
        </w:rPr>
        <w:t xml:space="preserve">Sufficiency of Observables:</w:t>
      </w:r>
      <w:r>
        <w:t xml:space="preserve"> </w:t>
      </w:r>
      <w:r>
        <w:t xml:space="preserve">Focusing on $\tau(W)$ and $\tau(Q)$ is a sensible way to probe IR–2. Wilson loop autocorrelations test local dynamics and topological charge tests global modes. If IR–2 holds, we expect $\tau(W)$ to remain finite and relatively small even as volume grows, whereas $\tau(Q)$ could diverge with volume (but IR–2 says those slow modes don’t affect local correlators). The numerical experiment directly checks this decoupling. One potential refinement: measure actual</w:t>
      </w:r>
      <w:r>
        <w:t xml:space="preserve"> </w:t>
      </w:r>
      <w:r>
        <w:rPr>
          <w:b/>
          <w:bCs/>
        </w:rPr>
        <w:t xml:space="preserve">correlation functions</w:t>
      </w:r>
      <w:r>
        <w:t xml:space="preserve"> </w:t>
      </w:r>
      <w:r>
        <w:t xml:space="preserve">(e.g. Polyakov loop correlators or Wilson loop correlations) to extract masses $m_{\text{eff}}$ in each sector. The text hints at comparing decay rates of local Schwinger functions with global modes</w:t>
      </w:r>
      <w:hyperlink r:id="rId60">
        <w:r>
          <w:rPr>
            <w:rStyle w:val="Hyperlink"/>
          </w:rPr>
          <w:t xml:space="preserve">[42]</w:t>
        </w:r>
      </w:hyperlink>
      <w:r>
        <w:t xml:space="preserve">; a simulation could attempt to verify that, say, the effective mass from local two-point functions remains the same even if the system is constrained to a single topological sector. However, such a measurement would be hard to do directly in Langevin without reweighting, so the autocorrelation approach is more straightforward.</w:t>
      </w:r>
    </w:p>
    <w:p>
      <w:pPr>
        <w:pStyle w:val="BodyText"/>
      </w:pPr>
      <w:r>
        <w:t xml:space="preserve">The proposal also mentions distinguishing scenarios by the</w:t>
      </w:r>
      <w:r>
        <w:t xml:space="preserve"> </w:t>
      </w:r>
      <w:r>
        <w:rPr>
          <w:i/>
          <w:iCs/>
        </w:rPr>
        <w:t xml:space="preserve">parametric scale</w:t>
      </w:r>
      <w:r>
        <w:t xml:space="preserve"> </w:t>
      </w:r>
      <w:r>
        <w:t xml:space="preserve">of $\tau(Q)$ vs $\tau(W)$</w:t>
      </w:r>
      <w:hyperlink r:id="rId73">
        <w:r>
          <w:rPr>
            <w:rStyle w:val="Hyperlink"/>
          </w:rPr>
          <w:t xml:space="preserve">[54]</w:t>
        </w:r>
      </w:hyperlink>
      <w:r>
        <w:t xml:space="preserve">, which is wise: it’s not about exact equality but the scaling behavior. If $\tau(Q)$ grows much faster with volume than $\tau(W)$, it signals decoupling of a very slow mode. If both grow similarly (or both remain mild), it suggests a single scale. This kind of evidence would indeed be compelling.</w:t>
      </w:r>
    </w:p>
    <w:p>
      <w:pPr>
        <w:pStyle w:val="BodyText"/>
      </w:pPr>
      <w:r>
        <w:t xml:space="preserve">In summary, the</w:t>
      </w:r>
      <w:r>
        <w:t xml:space="preserve"> </w:t>
      </w:r>
      <w:r>
        <w:rPr>
          <w:b/>
          <w:bCs/>
        </w:rPr>
        <w:t xml:space="preserve">design of T13/TQ13</w:t>
      </w:r>
      <w:r>
        <w:t xml:space="preserve"> </w:t>
      </w:r>
      <w:r>
        <w:t xml:space="preserve">is conceptually aligned with the theoretical conjectures. The authors are appropriately cautious by labeling T13 a pilot and leaving TQ13 details open.</w:t>
      </w:r>
      <w:r>
        <w:t xml:space="preserve"> </w:t>
      </w:r>
      <w:r>
        <w:rPr>
          <w:b/>
          <w:bCs/>
        </w:rPr>
        <w:t xml:space="preserve">Feasibility-wise</w:t>
      </w:r>
      <w:r>
        <w:t xml:space="preserve">, TQ13 will require substantial resources and careful algorithmic choices (to ensure one isn’t fooled by algorithmic slowing unrelated to physics). For example, one might need to use techniques to encourage tunneling (like occasional gauge cooling or mixing with Monte Carlo updates) to fairly sample topology – purely passive Langevin might get stuck. The paper does not dive into such details, but as a</w:t>
      </w:r>
      <w:r>
        <w:t xml:space="preserve"> </w:t>
      </w:r>
      <w:r>
        <w:rPr>
          <w:i/>
          <w:iCs/>
        </w:rPr>
        <w:t xml:space="preserve">white paper</w:t>
      </w:r>
      <w:r>
        <w:t xml:space="preserve">, that’s understandable.</w:t>
      </w:r>
    </w:p>
    <w:p>
      <w:pPr>
        <w:pStyle w:val="BodyText"/>
      </w:pPr>
      <w:r>
        <w:rPr>
          <w:b/>
          <w:bCs/>
        </w:rPr>
        <w:t xml:space="preserve">Are these diagnostics sufficient?</w:t>
      </w:r>
      <w:r>
        <w:t xml:space="preserve"> </w:t>
      </w:r>
      <w:r>
        <w:t xml:space="preserve">Partially. They will provide evidence</w:t>
      </w:r>
      <w:r>
        <w:t xml:space="preserve"> </w:t>
      </w:r>
      <w:r>
        <w:rPr>
          <w:i/>
          <w:iCs/>
        </w:rPr>
        <w:t xml:space="preserve">for or against</w:t>
      </w:r>
      <w:r>
        <w:t xml:space="preserve"> </w:t>
      </w:r>
      <w:r>
        <w:t xml:space="preserve">the assumption that global topological modes dominate the global gap but not local physics. If results show $\tau(Q)\gg\tau(W)$ (and especially if $\tau(Q)$ grows with lattice size while $\tau(W)$ stays moderate), that would strongly support Conjecture IR–2</w:t>
      </w:r>
      <w:hyperlink r:id="rId73">
        <w:r>
          <w:rPr>
            <w:rStyle w:val="Hyperlink"/>
          </w:rPr>
          <w:t xml:space="preserve">[54]</w:t>
        </w:r>
      </w:hyperlink>
      <w:r>
        <w:t xml:space="preserve">. On the other hand, if both $\tau(Q)$ and $\tau(W)$ grow similarly (or if both remain small even on large lattices), it might hint that perhaps topology isn’t introducing a super-slow mode at the volumes studied (supporting a curvature-dominated picture). One thing to note: even if evidence supports IR–2, it doesn’t</w:t>
      </w:r>
      <w:r>
        <w:t xml:space="preserve"> </w:t>
      </w:r>
      <w:r>
        <w:rPr>
          <w:i/>
          <w:iCs/>
        </w:rPr>
        <w:t xml:space="preserve">prove</w:t>
      </w:r>
      <w:r>
        <w:t xml:space="preserve"> </w:t>
      </w:r>
      <w:r>
        <w:t xml:space="preserve">it – but it would give confidence to proceed with the theoretical approach focusing on $\lambda_{\mathrm{loc}}$. The diagnostics wouldn’t directly prove IR–1 (the existence of a gap in each topological sector), but they indirectly support it: if $\tau(W)$ stays finite and small while volume grows, it implies no critical slowing for local observables, consistent with a finite gap in each sector. Conversely, if $\tau(W)$ started rising sharply with volume, that might signal trouble (possible finite-size effects or that even local correlators are feeling critical slowing, which would be worrisome for IR–1).</w:t>
      </w:r>
    </w:p>
    <w:p>
      <w:pPr>
        <w:pStyle w:val="BodyText"/>
      </w:pPr>
      <w:r>
        <w:rPr>
          <w:b/>
          <w:bCs/>
        </w:rPr>
        <w:t xml:space="preserve">Conclusion on numerical strategy:</w:t>
      </w:r>
      <w:r>
        <w:t xml:space="preserve"> </w:t>
      </w:r>
      <w:r>
        <w:t xml:space="preserve">It’s a</w:t>
      </w:r>
      <w:r>
        <w:t xml:space="preserve"> </w:t>
      </w:r>
      <w:r>
        <w:rPr>
          <w:b/>
          <w:bCs/>
        </w:rPr>
        <w:t xml:space="preserve">strength</w:t>
      </w:r>
      <w:r>
        <w:t xml:space="preserve"> </w:t>
      </w:r>
      <w:r>
        <w:t xml:space="preserve">of the program that it seeks falsifiable signs via simulation. The proposals are well-chosen to target the core conceptual issue (topological versus confinement scales). The main weaknesses are practical: small volumes for T13 can’t capture IR physics, and large-volume Langevin for TQ13 may be very challenging to equilibrate, especially for topology. The paper could be improved by discussing these challenges briefly or proposing mitigation strategies. Additionally, one might suggest complementing Langevin dynamics with standard Monte Carlo measurements (for example, Monte Carlo is also slowed by topology but there are well-established techniques and prior studies measuring topological tunneling rates that could be cited or built upon). Overall, the numerical component adds credibility and a forward-looking aspect to the work, even though much work remains to turn TQ13 into concrete data.</w:t>
      </w:r>
    </w:p>
    <w:bookmarkEnd w:id="74"/>
    <w:bookmarkStart w:id="100" w:name="constructive-lattice-component"/>
    <w:p>
      <w:pPr>
        <w:pStyle w:val="Heading2"/>
      </w:pPr>
      <w:r>
        <w:t xml:space="preserve">4. Constructive Lattice Component</w:t>
      </w:r>
    </w:p>
    <w:p>
      <w:pPr>
        <w:pStyle w:val="FirstParagraph"/>
      </w:pPr>
      <w:r>
        <w:t xml:space="preserve">Part VI of the document integrates the</w:t>
      </w:r>
      <w:r>
        <w:t xml:space="preserve"> </w:t>
      </w:r>
      <w:r>
        <w:rPr>
          <w:b/>
          <w:bCs/>
        </w:rPr>
        <w:t xml:space="preserve">constructive lattice Yang–Mills results of Faria da Veiga &amp; O’Carroll (F&amp;O)</w:t>
      </w:r>
      <w:r>
        <w:t xml:space="preserve"> </w:t>
      </w:r>
      <w:r>
        <w:t xml:space="preserve">into the overall program. This is a valuable inclusion: it brings in rigorous, non-perturbative results from lattice gauge theory to support the continuum conjectures. The way this component is woven into the narrative is partially successful, but there are some disconnects that deserve critique:</w:t>
      </w:r>
    </w:p>
    <w:p>
      <w:pPr>
        <w:pStyle w:val="Compact"/>
        <w:numPr>
          <w:ilvl w:val="0"/>
          <w:numId w:val="1003"/>
        </w:numPr>
      </w:pPr>
      <w:r>
        <w:rPr>
          <w:b/>
          <w:bCs/>
        </w:rPr>
        <w:t xml:space="preserve">Integration and Consistency:</w:t>
      </w:r>
      <w:r>
        <w:t xml:space="preserve"> </w:t>
      </w:r>
      <w:r>
        <w:t xml:space="preserve">The F&amp;O module is presented as an “independent support” for key ideas, rather than a direct part of the proof chain</w:t>
      </w:r>
      <w:hyperlink r:id="rId75">
        <w:r>
          <w:rPr>
            <w:rStyle w:val="Hyperlink"/>
          </w:rPr>
          <w:t xml:space="preserve">[55]</w:t>
        </w:r>
      </w:hyperlink>
      <w:r>
        <w:t xml:space="preserve">. This is appropriate given that the lattice results apply at finite lattice spacing $a&gt;0$ (with a rigorous transfer-matrix construction), whereas the continuum mass gap requires taking $a\to 0$. The paper wisely does not claim that F&amp;O solved the continuum problem; instead, it highlights three main insights from F&amp;O:</w:t>
      </w:r>
    </w:p>
    <w:p>
      <w:pPr>
        <w:pStyle w:val="Compact"/>
        <w:numPr>
          <w:ilvl w:val="0"/>
          <w:numId w:val="1003"/>
        </w:numPr>
      </w:pPr>
      <w:r>
        <w:t xml:space="preserve">The Hilbert space splits into</w:t>
      </w:r>
      <w:r>
        <w:t xml:space="preserve"> </w:t>
      </w:r>
      <w:r>
        <w:rPr>
          <w:b/>
          <w:bCs/>
        </w:rPr>
        <w:t xml:space="preserve">charge-conjugation (C) sectors</w:t>
      </w:r>
      <w:r>
        <w:t xml:space="preserve"> </w:t>
      </w:r>
      <w:r>
        <w:t xml:space="preserve">$\mathcal{H}^+\oplus \mathcal{H}^-$ for $SU(N&gt;2)$</w:t>
      </w:r>
      <w:hyperlink r:id="rId76">
        <w:r>
          <w:rPr>
            <w:rStyle w:val="Hyperlink"/>
          </w:rPr>
          <w:t xml:space="preserve">[56]</w:t>
        </w:r>
      </w:hyperlink>
      <w:hyperlink r:id="rId77">
        <w:r>
          <w:rPr>
            <w:rStyle w:val="Hyperlink"/>
          </w:rPr>
          <w:t xml:space="preserve">[57]</w:t>
        </w:r>
      </w:hyperlink>
      <w:r>
        <w:t xml:space="preserve">.</w:t>
      </w:r>
    </w:p>
    <w:p>
      <w:pPr>
        <w:pStyle w:val="Compact"/>
        <w:numPr>
          <w:ilvl w:val="0"/>
          <w:numId w:val="1003"/>
        </w:numPr>
      </w:pPr>
      <w:r>
        <w:t xml:space="preserve">The</w:t>
      </w:r>
      <w:r>
        <w:t xml:space="preserve"> </w:t>
      </w:r>
      <w:r>
        <w:rPr>
          <w:b/>
          <w:bCs/>
        </w:rPr>
        <w:t xml:space="preserve">Haar measure induces a local mass term</w:t>
      </w:r>
      <w:r>
        <w:t xml:space="preserve"> </w:t>
      </w:r>
      <w:r>
        <w:t xml:space="preserve">in the effective action (“mass from geometry”)</w:t>
      </w:r>
      <w:hyperlink r:id="rId78">
        <w:r>
          <w:rPr>
            <w:rStyle w:val="Hyperlink"/>
          </w:rPr>
          <w:t xml:space="preserve">[58]</w:t>
        </w:r>
      </w:hyperlink>
      <w:hyperlink r:id="rId79">
        <w:r>
          <w:rPr>
            <w:rStyle w:val="Hyperlink"/>
          </w:rPr>
          <w:t xml:space="preserve">[59]</w:t>
        </w:r>
      </w:hyperlink>
      <w:r>
        <w:t xml:space="preserve">.</w:t>
      </w:r>
    </w:p>
    <w:p>
      <w:pPr>
        <w:pStyle w:val="Compact"/>
        <w:numPr>
          <w:ilvl w:val="0"/>
          <w:numId w:val="1003"/>
        </w:numPr>
      </w:pPr>
      <w:r>
        <w:t xml:space="preserve">There are</w:t>
      </w:r>
      <w:r>
        <w:t xml:space="preserve"> </w:t>
      </w:r>
      <w:r>
        <w:rPr>
          <w:b/>
          <w:bCs/>
        </w:rPr>
        <w:t xml:space="preserve">two positive mass gaps</w:t>
      </w:r>
      <w:r>
        <w:t xml:space="preserve"> </w:t>
      </w:r>
      <w:r>
        <w:t xml:space="preserve">$\Delta^+$ and $\Delta^-$ at finite $a$ (one in each C-sector)</w:t>
      </w:r>
      <w:hyperlink r:id="rId80">
        <w:r>
          <w:rPr>
            <w:rStyle w:val="Hyperlink"/>
          </w:rPr>
          <w:t xml:space="preserve">[60]</w:t>
        </w:r>
      </w:hyperlink>
      <w:hyperlink r:id="rId81">
        <w:r>
          <w:rPr>
            <w:rStyle w:val="Hyperlink"/>
          </w:rPr>
          <w:t xml:space="preserve">[61]</w:t>
        </w:r>
      </w:hyperlink>
      <w:r>
        <w:t xml:space="preserve">.</w:t>
      </w:r>
    </w:p>
    <w:p>
      <w:pPr>
        <w:pStyle w:val="FirstParagraph"/>
      </w:pPr>
      <w:r>
        <w:t xml:space="preserve">These results are described clearly and are rigorously established in the lattice framework (at least in the strong coupling regime and presumably via cluster expansion techniques). The integration is done by simply recounting these results in Part VI and later noting that they lend credence to certain aspects of the continuum approach</w:t>
      </w:r>
      <w:hyperlink r:id="rId75">
        <w:r>
          <w:rPr>
            <w:rStyle w:val="Hyperlink"/>
          </w:rPr>
          <w:t xml:space="preserve">[55]</w:t>
        </w:r>
      </w:hyperlink>
      <w:r>
        <w:t xml:space="preserve">. For example, the existence of two sectors with a gap in each supports the idea that the mass gap is robust and not tied to a single special mode; and the mass-from-Haar suggests a mechanism for mass generation that is purely non-perturbative and geometrical, paralleling the continuum’s hope that curvature (anomaly) provides mass. The</w:t>
      </w:r>
      <w:r>
        <w:t xml:space="preserve"> </w:t>
      </w:r>
      <w:r>
        <w:rPr>
          <w:b/>
          <w:bCs/>
        </w:rPr>
        <w:t xml:space="preserve">logical linkage</w:t>
      </w:r>
      <w:r>
        <w:t xml:space="preserve">, however, could be tighter: the paper might draw a more explicit analogy between the lattice mass term from the Haar measure and the continuum “anomaly curvature” in Layer C. Are these essentially the same phenomenon viewed in different regularizations? It’s hinted but not spelled out. The reader can guess: on the lattice, the Haar measure term $S_{\mathrm{measure}} \approx c_0 \sum \mathrm{Tr}(A_b^2)$</w:t>
      </w:r>
      <w:hyperlink r:id="rId82">
        <w:r>
          <w:rPr>
            <w:rStyle w:val="Hyperlink"/>
          </w:rPr>
          <w:t xml:space="preserve">[62]</w:t>
        </w:r>
      </w:hyperlink>
      <w:r>
        <w:t xml:space="preserve"> </w:t>
      </w:r>
      <w:r>
        <w:t xml:space="preserve">acts like a gauge-invariant mass term for the gauge field; in the continuum, no such explicit mass term exists classically, but quantum effects (trace anomaly) generate the scale $\Lambda_{\text{QCD}}$ which could play a similar role in the effective potential. The paper stops short of saying “Conjecture B’s positive curvature source is analogous to F&amp;O’s Haar measure mass term,” but that might well be true conceptually. Making this link explicit would strengthen the cohesiveness of the continuum and lattice parts.</w:t>
      </w:r>
    </w:p>
    <w:p>
      <w:pPr>
        <w:pStyle w:val="Compact"/>
        <w:numPr>
          <w:ilvl w:val="0"/>
          <w:numId w:val="1004"/>
        </w:numPr>
      </w:pPr>
      <w:r>
        <w:rPr>
          <w:b/>
          <w:bCs/>
        </w:rPr>
        <w:t xml:space="preserve">Polarity (C) Sectors:</w:t>
      </w:r>
      <w:r>
        <w:t xml:space="preserve"> </w:t>
      </w:r>
      <w:r>
        <w:t xml:space="preserve">The notion of</w:t>
      </w:r>
      <w:r>
        <w:t xml:space="preserve"> </w:t>
      </w:r>
      <w:r>
        <w:rPr>
          <w:b/>
          <w:bCs/>
        </w:rPr>
        <w:t xml:space="preserve">“polarity” sectors</w:t>
      </w:r>
      <w:r>
        <w:t xml:space="preserve"> </w:t>
      </w:r>
      <w:r>
        <w:t xml:space="preserve">(even vs odd under charge conjugation) is introduced in the lattice context clearly</w:t>
      </w:r>
      <w:hyperlink r:id="rId77">
        <w:r>
          <w:rPr>
            <w:rStyle w:val="Hyperlink"/>
          </w:rPr>
          <w:t xml:space="preserve">[57]</w:t>
        </w:r>
      </w:hyperlink>
      <w:hyperlink r:id="rId83">
        <w:r>
          <w:rPr>
            <w:rStyle w:val="Hyperlink"/>
          </w:rPr>
          <w:t xml:space="preserve">[63]</w:t>
        </w:r>
      </w:hyperlink>
      <w:r>
        <w:t xml:space="preserve">. For $SU(3)$ (and any $SU(N&gt;2)$), charge conjugation is a $\mathbb{Z}_2$ symmetry that splits the gauge-invariant Hilbert space into two orthogonal sectors</w:t>
      </w:r>
      <w:hyperlink r:id="rId83">
        <w:r>
          <w:rPr>
            <w:rStyle w:val="Hyperlink"/>
          </w:rPr>
          <w:t xml:space="preserve">[64]</w:t>
        </w:r>
      </w:hyperlink>
      <w:r>
        <w:t xml:space="preserve">. The document explains how this leads to a</w:t>
      </w:r>
      <w:r>
        <w:t xml:space="preserve"> </w:t>
      </w:r>
      <w:r>
        <w:rPr>
          <w:b/>
          <w:bCs/>
        </w:rPr>
        <w:t xml:space="preserve">polarity decomposition</w:t>
      </w:r>
      <w:r>
        <w:t xml:space="preserve"> </w:t>
      </w:r>
      <w:r>
        <w:t xml:space="preserve">of states and operators: e.g., one can take any gauge-invariant operator like a plaquette $F_p(x)$ and separate it into C-even and C-odd parts $F_p^\pm = \frac{1}{2}(F_p \pm \mathcal{C}F_p)$</w:t>
      </w:r>
      <w:hyperlink r:id="rId84">
        <w:r>
          <w:rPr>
            <w:rStyle w:val="Hyperlink"/>
          </w:rPr>
          <w:t xml:space="preserve">[65]</w:t>
        </w:r>
      </w:hyperlink>
      <w:hyperlink r:id="rId85">
        <w:r>
          <w:rPr>
            <w:rStyle w:val="Hyperlink"/>
          </w:rPr>
          <w:t xml:space="preserve">[66]</w:t>
        </w:r>
      </w:hyperlink>
      <w:r>
        <w:t xml:space="preserve">. Then $F_p^+$ creates states in $\mathcal{H}^+$ and $F_p^-$ in $\mathcal{H}^-$</w:t>
      </w:r>
      <w:hyperlink r:id="rId86">
        <w:r>
          <w:rPr>
            <w:rStyle w:val="Hyperlink"/>
          </w:rPr>
          <w:t xml:space="preserve">[67]</w:t>
        </w:r>
      </w:hyperlink>
      <w:r>
        <w:t xml:space="preserve">. This rigorous result from F&amp;O is well-incorporated: it shows that even without continuum ambiguities,</w:t>
      </w:r>
      <w:r>
        <w:t xml:space="preserve"> </w:t>
      </w:r>
      <w:r>
        <w:rPr>
          <w:b/>
          <w:bCs/>
        </w:rPr>
        <w:t xml:space="preserve">YM naturally has two superselection sectors</w:t>
      </w:r>
      <w:r>
        <w:t xml:space="preserve"> </w:t>
      </w:r>
      <w:r>
        <w:t xml:space="preserve">distinguished by a discrete symmetry. The authors correctly note that for $SU(2)$ this doesn’t happen (no separation, because the rep is real)</w:t>
      </w:r>
      <w:hyperlink r:id="rId87">
        <w:r>
          <w:rPr>
            <w:rStyle w:val="Hyperlink"/>
          </w:rPr>
          <w:t xml:space="preserve">[68]</w:t>
        </w:r>
      </w:hyperlink>
      <w:r>
        <w:t xml:space="preserve">, which is a nice detail. A possible point of confusion is the terminology: in continuum Part V,</w:t>
      </w:r>
      <w:r>
        <w:t xml:space="preserve"> </w:t>
      </w:r>
      <w:r>
        <w:rPr>
          <w:i/>
          <w:iCs/>
        </w:rPr>
        <w:t xml:space="preserve">“polarity”</w:t>
      </w:r>
      <w:r>
        <w:t xml:space="preserve"> </w:t>
      </w:r>
      <w:r>
        <w:t xml:space="preserve">was used in a completely different sense (capacity/polar sets for reducible connections)</w:t>
      </w:r>
      <w:hyperlink r:id="rId88">
        <w:r>
          <w:rPr>
            <w:rStyle w:val="Hyperlink"/>
          </w:rPr>
          <w:t xml:space="preserve">[69]</w:t>
        </w:r>
      </w:hyperlink>
      <w:hyperlink r:id="rId89">
        <w:r>
          <w:rPr>
            <w:rStyle w:val="Hyperlink"/>
          </w:rPr>
          <w:t xml:space="preserve">[70]</w:t>
        </w:r>
      </w:hyperlink>
      <w:r>
        <w:t xml:space="preserve">. The authors likely did not intend any relation between these uses, but a reader might momentarily mix up “polarity of reducible strata” (Conjecture C, meaning</w:t>
      </w:r>
      <w:r>
        <w:t xml:space="preserve"> </w:t>
      </w:r>
      <w:r>
        <w:rPr>
          <w:i/>
          <w:iCs/>
        </w:rPr>
        <w:t xml:space="preserve">polar</w:t>
      </w:r>
      <w:r>
        <w:t xml:space="preserve"> </w:t>
      </w:r>
      <w:r>
        <w:t xml:space="preserve">as in measure-zero capacity) with “polarity sectors” (charge-conjugation sectors). It might be wise to avoid the term polarity for the latter and just call them “C-even/odd sectors” to prevent confusion. That said, this is a minor linguistic point; context makes the meaning clear in each case.</w:t>
      </w:r>
    </w:p>
    <w:p>
      <w:pPr>
        <w:pStyle w:val="FirstParagraph"/>
      </w:pPr>
      <w:r>
        <w:t xml:space="preserve">The existence of two sectors doesn’t directly solve the mass gap problem, but it does imply that one should consider the possibility of two independent mass gaps (which the lattice shows are actually equal to leading order in strong coupling</w:t>
      </w:r>
      <w:hyperlink r:id="rId90">
        <w:r>
          <w:rPr>
            <w:rStyle w:val="Hyperlink"/>
          </w:rPr>
          <w:t xml:space="preserve">[71]</w:t>
        </w:r>
      </w:hyperlink>
      <w:r>
        <w:t xml:space="preserve"> </w:t>
      </w:r>
      <w:r>
        <w:t xml:space="preserve">and presumably remain of the same order). The</w:t>
      </w:r>
      <w:r>
        <w:t xml:space="preserve"> </w:t>
      </w:r>
      <w:r>
        <w:rPr>
          <w:b/>
          <w:bCs/>
        </w:rPr>
        <w:t xml:space="preserve">program’s focus is really on the lowest mass gap</w:t>
      </w:r>
      <w:r>
        <w:t xml:space="preserve">, which presumably is $\Delta^+$ (the even sector containing the $0^{++}$ glueball). The document doesn’t explicitly state how the two sectors play out in the continuum limit – presumably both gaps remain positive and one becomes the lightest glueball, the other a slightly heavier state. This matches expectations from physics (where, e.g., one might interpret the odd sector state as a $0^{-+}$ glueball, which is indeed heavier). So the inclusion of polarity sectors is rigorous and sensible, and it aligns with the continuum conjecture that nothing prevents a mass gap (since even the odd sector, which is an independent part of the spectrum, also has a gap at finite $a$). The authors could highlight as a strength that</w:t>
      </w:r>
      <w:r>
        <w:t xml:space="preserve"> </w:t>
      </w:r>
      <w:r>
        <w:rPr>
          <w:b/>
          <w:bCs/>
        </w:rPr>
        <w:t xml:space="preserve">Elitzur’s theorem</w:t>
      </w:r>
      <w:r>
        <w:t xml:space="preserve"> </w:t>
      </w:r>
      <w:r>
        <w:t xml:space="preserve">ensures no mixing between these sectors</w:t>
      </w:r>
      <w:hyperlink r:id="rId91">
        <w:r>
          <w:rPr>
            <w:rStyle w:val="Hyperlink"/>
          </w:rPr>
          <w:t xml:space="preserve">[72]</w:t>
        </w:r>
      </w:hyperlink>
      <w:hyperlink r:id="rId92">
        <w:r>
          <w:rPr>
            <w:rStyle w:val="Hyperlink"/>
          </w:rPr>
          <w:t xml:space="preserve">[73]</w:t>
        </w:r>
      </w:hyperlink>
      <w:r>
        <w:t xml:space="preserve">, which they do mention, meaning one can analyze each sector’s gap separately without worry that one could collapse because of some cross-sector effect. This lattice insight reinforces that the mass gap problem can be considered in a simpler context (e.g., in the even sector alone).</w:t>
      </w:r>
    </w:p>
    <w:p>
      <w:pPr>
        <w:numPr>
          <w:ilvl w:val="0"/>
          <w:numId w:val="1005"/>
        </w:numPr>
      </w:pPr>
      <w:r>
        <w:rPr>
          <w:b/>
          <w:bCs/>
        </w:rPr>
        <w:t xml:space="preserve">Haar Measure Induced Mass:</w:t>
      </w:r>
      <w:r>
        <w:t xml:space="preserve"> </w:t>
      </w:r>
      <w:r>
        <w:t xml:space="preserve">The document’s explanation of how the lattice Haar measure gives rise to an effective local mass term is a highlight. They derive (heuristically) the small-$A$ expansion of the Haar measure Jacobian: $\rho(A) = \det(\sin(\mathrm{ad}</w:t>
      </w:r>
      <w:r>
        <w:rPr>
          <w:i/>
          <w:iCs/>
        </w:rPr>
        <w:t xml:space="preserve">A/2)/(\mathrm{ad}_A/2)) \approx \exp[-c_0 \sum \mathrm{Tr}(A_b^2) + \dots]$</w:t>
      </w:r>
      <w:hyperlink r:id="rId78">
        <w:r>
          <w:rPr>
            <w:rStyle w:val="Hyperlink"/>
            <w:i/>
            <w:iCs/>
          </w:rPr>
          <w:t xml:space="preserve">[58]</w:t>
        </w:r>
      </w:hyperlink>
      <w:hyperlink r:id="rId82">
        <w:r>
          <w:rPr>
            <w:rStyle w:val="Hyperlink"/>
            <w:i/>
            <w:iCs/>
          </w:rPr>
          <w:t xml:space="preserve">[62]</w:t>
        </w:r>
      </w:hyperlink>
      <w:r>
        <w:rPr>
          <w:i/>
          <w:iCs/>
        </w:rPr>
        <w:t xml:space="preserve">. This shows $S</w:t>
      </w:r>
      <w:r>
        <w:t xml:space="preserve">(A^2)$ which acts like a mass term for gluons</w:t>
      </w:r>
      <w:hyperlink r:id="rId93">
        <w:r>
          <w:rPr>
            <w:rStyle w:val="Hyperlink"/>
          </w:rPr>
          <w:t xml:space="preserve">[74]</w:t>
        </w:r>
      </w:hyperlink>
      <w:hyperlink r:id="rId94">
        <w:r>
          <w:rPr>
            <w:rStyle w:val="Hyperlink"/>
          </w:rPr>
          <w:t xml:space="preserve">[75]</w:t>
        </w:r>
      </w:hyperlink>
      <w:r>
        <w:t xml:space="preserve">. Conceptually, this is very important: it’s a }} = S_W + S_{\mathrm{measure}}$ includes a positive term $c_0 \mathrm{Tr</w:t>
      </w:r>
      <w:r>
        <w:rPr>
          <w:i/>
          <w:iCs/>
        </w:rPr>
        <w:t xml:space="preserve">non-perturbative</w:t>
      </w:r>
      <w:r>
        <w:t xml:space="preserve"> </w:t>
      </w:r>
      <w:r>
        <w:t xml:space="preserve">origin of mass independent of usual Higgs or Schwinger mechanisms, purely from the group geometry. The authors correctly note that continuum perturbation theory often</w:t>
      </w:r>
      <w:r>
        <w:t xml:space="preserve"> </w:t>
      </w:r>
      <w:r>
        <w:rPr>
          <w:i/>
          <w:iCs/>
        </w:rPr>
        <w:t xml:space="preserve">drops</w:t>
      </w:r>
      <w:r>
        <w:t xml:space="preserve"> </w:t>
      </w:r>
      <w:r>
        <w:t xml:space="preserve">this term by linearizing the measure (i.e., assuming $dA$ measure is flat), thereby</w:t>
      </w:r>
      <w:r>
        <w:t xml:space="preserve"> </w:t>
      </w:r>
      <w:r>
        <w:rPr>
          <w:b/>
          <w:bCs/>
        </w:rPr>
        <w:t xml:space="preserve">losing this mass generation mechanism</w:t>
      </w:r>
      <w:hyperlink r:id="rId95">
        <w:r>
          <w:rPr>
            <w:rStyle w:val="Hyperlink"/>
          </w:rPr>
          <w:t xml:space="preserve">[76]</w:t>
        </w:r>
      </w:hyperlink>
      <w:r>
        <w:t xml:space="preserve">. The clarity here is excellent, and it underscores that any rigorous approach must handle the measure carefully. In the continuum context, incorporating such a measure effect is tricky (since there is no finite-dimensional Haar measure, one deals with a formal $DA$ path integral measure). However, one could interpret this as: any continuum construction of YM must reproduce an effect analogous to this lattice mass term at some scale. The authors might hypothesize that the combination of Conjecture A (controlled UV) + Conjecture B (anomaly) yields effectively such a mass in the long-distance effective action. Again, making this connection explicit would be beneficial: for instance, one could argue</w:t>
      </w:r>
      <w:r>
        <w:t xml:space="preserve"> </w:t>
      </w:r>
      <w:r>
        <w:rPr>
          <w:i/>
          <w:iCs/>
        </w:rPr>
        <w:t xml:space="preserve">“the anomaly-induced curvature $\tilde\lambda_</w:t>
      </w:r>
      <w:r>
        <w:t xml:space="preserve"> </w:t>
      </w:r>
      <w:r>
        <w:t xml:space="preserve">&gt;0$ in Layer C can be viewed as the continuum manifestation of the mass scale generated by the Haar measure”*. As it stands, the paper implicitly connects them (both generate a mass scale of order $\Lambda_{\text{QCD}}$), but drawing a parallel would emphasize the constructive lattice component’s relevance to the continuum strategy.</w:t>
      </w:r>
    </w:p>
    <w:p>
      <w:pPr>
        <w:numPr>
          <w:ilvl w:val="0"/>
          <w:numId w:val="1005"/>
        </w:numPr>
      </w:pPr>
      <w:r>
        <w:rPr>
          <w:b/>
          <w:bCs/>
        </w:rPr>
        <w:t xml:space="preserve">Two-Sector Mass Gaps:</w:t>
      </w:r>
      <w:r>
        <w:t xml:space="preserve"> </w:t>
      </w:r>
      <w:r>
        <w:t xml:space="preserve">F&amp;O’s results give a</w:t>
      </w:r>
      <w:r>
        <w:t xml:space="preserve"> </w:t>
      </w:r>
      <w:r>
        <w:rPr>
          <w:b/>
          <w:bCs/>
        </w:rPr>
        <w:t xml:space="preserve">constructive proof of a mass gap</w:t>
      </w:r>
      <w:r>
        <w:t xml:space="preserve"> </w:t>
      </w:r>
      <w:r>
        <w:t xml:space="preserve">at each fixed lattice spacing. Specifically, they show exponential decay in correlators of $F_p^\pm$ with masses $m^+(a), m^-(a) &gt; 0$</w:t>
      </w:r>
      <w:hyperlink r:id="rId81">
        <w:r>
          <w:rPr>
            <w:rStyle w:val="Hyperlink"/>
          </w:rPr>
          <w:t xml:space="preserve">[61]</w:t>
        </w:r>
      </w:hyperlink>
      <w:r>
        <w:t xml:space="preserve">. The paper even quotes the strong-coupling expansion: $m^\pm(\beta) \approx -\frac{4\ln\beta}{a} + r^\pm(\beta)$</w:t>
      </w:r>
      <w:hyperlink r:id="rId90">
        <w:r>
          <w:rPr>
            <w:rStyle w:val="Hyperlink"/>
          </w:rPr>
          <w:t xml:space="preserve">[71]</w:t>
        </w:r>
      </w:hyperlink>
      <w:r>
        <w:t xml:space="preserve">, and notes that $m^+ \approx m^-$ to leading order, with splitting at higher orders. This section is well-detailed. It establishes that for any finite cutoff, the theory has a gap – a</w:t>
      </w:r>
      <w:r>
        <w:t xml:space="preserve"> </w:t>
      </w:r>
      <w:r>
        <w:rPr>
          <w:i/>
          <w:iCs/>
        </w:rPr>
        <w:t xml:space="preserve">necessary</w:t>
      </w:r>
      <w:r>
        <w:t xml:space="preserve"> </w:t>
      </w:r>
      <w:r>
        <w:t xml:space="preserve">condition for taking the continuum limit with a mass gap. The</w:t>
      </w:r>
      <w:r>
        <w:t xml:space="preserve"> </w:t>
      </w:r>
      <w:r>
        <w:rPr>
          <w:b/>
          <w:bCs/>
        </w:rPr>
        <w:t xml:space="preserve">remaining challenge</w:t>
      </w:r>
      <w:r>
        <w:t xml:space="preserve">, as they state, is to show one can take $a\to 0$ without $m^\pm$ vanishing</w:t>
      </w:r>
      <w:hyperlink r:id="rId96">
        <w:r>
          <w:rPr>
            <w:rStyle w:val="Hyperlink"/>
          </w:rPr>
          <w:t xml:space="preserve">[77]</w:t>
        </w:r>
      </w:hyperlink>
      <w:r>
        <w:t xml:space="preserve">. The authors acknowledge that this final step is open</w:t>
      </w:r>
      <w:hyperlink r:id="rId97">
        <w:r>
          <w:rPr>
            <w:rStyle w:val="Hyperlink"/>
          </w:rPr>
          <w:t xml:space="preserve">[78]</w:t>
        </w:r>
      </w:hyperlink>
      <w:r>
        <w:t xml:space="preserve">. This honest appraisal is good. It makes clear that the constructive results are a powerful foundation (they ensure existence and mass gap at finite $a$), but the Clay problem demands control of the continuum limit. The paper could suggest how the continuum program’s conjectures might aid in that step: e.g., if one could show Conjecture A (UV log control) and perhaps some stability, one might be able to extend F&amp;O’s results towards $a\to0$. The text does mention UV stability (bounded generating functionals as $a\to0$ with proper scaling) as established by F&amp;O</w:t>
      </w:r>
      <w:hyperlink r:id="rId98">
        <w:r>
          <w:rPr>
            <w:rStyle w:val="Hyperlink"/>
          </w:rPr>
          <w:t xml:space="preserve">[79]</w:t>
        </w:r>
      </w:hyperlink>
      <w:r>
        <w:t xml:space="preserve">, which is very encouraging. It implies no wild divergence as the lattice spacing shrinks – essentially asymptotic freedom manifesting. This hints that taking $a\to 0$ along the renormalization group trajectory is plausible. However, a rigorous control of $m^\pm(a)$ as $a\to0$ is equivalent to the continuum mass gap and remains elusive.</w:t>
      </w:r>
    </w:p>
    <w:p>
      <w:pPr>
        <w:numPr>
          <w:ilvl w:val="0"/>
          <w:numId w:val="1005"/>
        </w:numPr>
      </w:pPr>
      <w:r>
        <w:rPr>
          <w:b/>
          <w:bCs/>
        </w:rPr>
        <w:t xml:space="preserve">Link to Continuum Architecture:</w:t>
      </w:r>
      <w:r>
        <w:t xml:space="preserve"> </w:t>
      </w:r>
      <w:r>
        <w:t xml:space="preserve">The lattice module is somewhat</w:t>
      </w:r>
      <w:r>
        <w:t xml:space="preserve"> </w:t>
      </w:r>
      <w:r>
        <w:rPr>
          <w:i/>
          <w:iCs/>
        </w:rPr>
        <w:t xml:space="preserve">parallel</w:t>
      </w:r>
      <w:r>
        <w:t xml:space="preserve"> </w:t>
      </w:r>
      <w:r>
        <w:t xml:space="preserve">to the continuum layers A–E. It isn’t directly used in the logical chain of conjectures, except insofar as it provides inspiration and a consistency check. For example, constructive results back up</w:t>
      </w:r>
      <w:r>
        <w:t xml:space="preserve"> </w:t>
      </w:r>
      <w:r>
        <w:rPr>
          <w:b/>
          <w:bCs/>
        </w:rPr>
        <w:t xml:space="preserve">Conjecture C’s spirit</w:t>
      </w:r>
      <w:r>
        <w:t xml:space="preserve">: in the lattice, one can ignore certain gauge copies due to Elitzur’s theorem and superselection; in the continuum, Conjecture C posits one can ignore reducible connections (essentially “superselection” by gauge symmetry singular strata)</w:t>
      </w:r>
      <w:hyperlink r:id="rId89">
        <w:r>
          <w:rPr>
            <w:rStyle w:val="Hyperlink"/>
          </w:rPr>
          <w:t xml:space="preserve">[70]</w:t>
        </w:r>
      </w:hyperlink>
      <w:r>
        <w:t xml:space="preserve">. Also, lattice shows mass generation via measure, while continuum conjectures mass generation via curvature. And lattice demonstrates positive gaps exist, supporting the idea that $\lambda_{\mathrm{loc}}$ should be &gt;0. The paper explicitly notes the independent support for the Haar measure’s relevance, polarity sectors, and existence of positive gaps at finite $a$</w:t>
      </w:r>
      <w:hyperlink r:id="rId75">
        <w:r>
          <w:rPr>
            <w:rStyle w:val="Hyperlink"/>
          </w:rPr>
          <w:t xml:space="preserve">[55]</w:t>
        </w:r>
      </w:hyperlink>
      <w:r>
        <w:t xml:space="preserve">. These points reinforce that the continuum approach is on the right track.</w:t>
      </w:r>
    </w:p>
    <w:p>
      <w:pPr>
        <w:pStyle w:val="FirstParagraph"/>
      </w:pPr>
      <w:r>
        <w:t xml:space="preserve">In critique, one could say the</w:t>
      </w:r>
      <w:r>
        <w:t xml:space="preserve"> </w:t>
      </w:r>
      <w:r>
        <w:rPr>
          <w:b/>
          <w:bCs/>
        </w:rPr>
        <w:t xml:space="preserve">integration is not fully exploited</w:t>
      </w:r>
      <w:r>
        <w:t xml:space="preserve">: the authors could attempt to use the lattice results to guide the continuum proofs more concretely. For instance, could the continuum Langevin dynamics be constructed as a limit of the lattice dynamics? If yes, then at finite lattice spacing one has a spectral gap (by F&amp;O), and one could try to pass to the limit (perhaps needing Conjecture A for uniformity in $a$). This might be a path to proving Conjecture D (mass gap) if all other pieces align. The paper doesn’t outline this path explicitly, but it seems like an attractive strategy:</w:t>
      </w:r>
      <w:r>
        <w:t xml:space="preserve"> </w:t>
      </w:r>
      <w:r>
        <w:rPr>
          <w:b/>
          <w:bCs/>
        </w:rPr>
        <w:t xml:space="preserve">bridge the constructive and dynamic approaches</w:t>
      </w:r>
      <w:r>
        <w:t xml:space="preserve">. This is mentioned as a long-term objective</w:t>
      </w:r>
      <w:hyperlink r:id="rId99">
        <w:r>
          <w:rPr>
            <w:rStyle w:val="Hyperlink"/>
          </w:rPr>
          <w:t xml:space="preserve">[80]</w:t>
        </w:r>
      </w:hyperlink>
      <w:r>
        <w:t xml:space="preserve">, but details are scant. A suggestion is to emphasize more how each piece of the lattice story corresponds to a continuum conjecture:</w:t>
      </w:r>
      <w:r>
        <w:t xml:space="preserve"> </w:t>
      </w:r>
      <w:r>
        <w:t xml:space="preserve">-</w:t>
      </w:r>
      <w:r>
        <w:t xml:space="preserve"> </w:t>
      </w:r>
      <w:r>
        <w:rPr>
          <w:i/>
          <w:iCs/>
        </w:rPr>
        <w:t xml:space="preserve">Polarity sectors (lattice)</w:t>
      </w:r>
      <w:r>
        <w:t xml:space="preserve"> </w:t>
      </w:r>
      <w:r>
        <w:t xml:space="preserve">→ continuum state space has at least a $\mathbb{Z}_2$ symmetry, not directly a barrier but structure.</w:t>
      </w:r>
      <w:r>
        <w:t xml:space="preserve"> </w:t>
      </w:r>
      <w:r>
        <w:t xml:space="preserve">-</w:t>
      </w:r>
      <w:r>
        <w:t xml:space="preserve"> </w:t>
      </w:r>
      <w:r>
        <w:rPr>
          <w:i/>
          <w:iCs/>
        </w:rPr>
        <w:t xml:space="preserve">Haar measure mass (lattice)</w:t>
      </w:r>
      <w:r>
        <w:t xml:space="preserve"> </w:t>
      </w:r>
      <w:r>
        <w:t xml:space="preserve">→ continuum positive curvature or mass generation from compactness (Conjecture B).</w:t>
      </w:r>
      <w:r>
        <w:t xml:space="preserve"> </w:t>
      </w:r>
      <w:r>
        <w:t xml:space="preserve">-</w:t>
      </w:r>
      <w:r>
        <w:t xml:space="preserve"> </w:t>
      </w:r>
      <w:r>
        <w:rPr>
          <w:i/>
          <w:iCs/>
        </w:rPr>
        <w:t xml:space="preserve">Two gaps (lattice)</w:t>
      </w:r>
      <w:r>
        <w:t xml:space="preserve"> </w:t>
      </w:r>
      <w:r>
        <w:t xml:space="preserve">→ continuum likely also has a second heavier state; at least it shows the lowest gap is robust.</w:t>
      </w:r>
      <w:r>
        <w:t xml:space="preserve"> </w:t>
      </w:r>
      <w:r>
        <w:t xml:space="preserve">-</w:t>
      </w:r>
      <w:r>
        <w:t xml:space="preserve"> </w:t>
      </w:r>
      <w:r>
        <w:rPr>
          <w:i/>
          <w:iCs/>
        </w:rPr>
        <w:t xml:space="preserve">Stability bounds (lattice)</w:t>
      </w:r>
      <w:r>
        <w:t xml:space="preserve"> </w:t>
      </w:r>
      <w:r>
        <w:t xml:space="preserve">→ continuum existence (part of Clay problem) likely solvable.</w:t>
      </w:r>
    </w:p>
    <w:p>
      <w:pPr>
        <w:pStyle w:val="BodyText"/>
      </w:pPr>
      <w:r>
        <w:t xml:space="preserve">The</w:t>
      </w:r>
      <w:r>
        <w:t xml:space="preserve"> </w:t>
      </w:r>
      <w:r>
        <w:rPr>
          <w:b/>
          <w:bCs/>
        </w:rPr>
        <w:t xml:space="preserve">rigor of the lattice component itself</w:t>
      </w:r>
      <w:r>
        <w:t xml:space="preserve"> </w:t>
      </w:r>
      <w:r>
        <w:t xml:space="preserve">is high (these are published constructive results), and the paper conveys them accurately. There is no critique on that front except perhaps to cite the original sources for completeness (though as an internal white paper, references might be omitted intentionally). All in all, the constructive lattice component is a strong pillar of the program, giving confidence that the envisioned phenomena (mass gap, superselection, etc.) do occur in a regulated version of the theory. The weaknesses are just that it currently stands somewhat separate – an existence proof at finite cutoff – and the challenge is to meld it with the continuum approach. The authors recognize this and treat the lattice module as supportive evidence rather than a solved part of the continuum proof.</w:t>
      </w:r>
    </w:p>
    <w:bookmarkEnd w:id="100"/>
    <w:bookmarkStart w:id="117" w:name="named-conjectures-and-logical-flow"/>
    <w:p>
      <w:pPr>
        <w:pStyle w:val="Heading2"/>
      </w:pPr>
      <w:r>
        <w:t xml:space="preserve">5. Named Conjectures and Logical Flow</w:t>
      </w:r>
    </w:p>
    <w:p>
      <w:pPr>
        <w:pStyle w:val="FirstParagraph"/>
      </w:pPr>
      <w:r>
        <w:t xml:space="preserve">The document introduces several</w:t>
      </w:r>
      <w:r>
        <w:t xml:space="preserve"> </w:t>
      </w:r>
      <w:r>
        <w:rPr>
          <w:b/>
          <w:bCs/>
        </w:rPr>
        <w:t xml:space="preserve">named conjectures</w:t>
      </w:r>
      <w:r>
        <w:t xml:space="preserve"> </w:t>
      </w:r>
      <w:r>
        <w:t xml:space="preserve">(A, B, C, IR–1, IR–2, D) and provides a roadmap of their interdependencies</w:t>
      </w:r>
      <w:hyperlink r:id="rId101">
        <w:r>
          <w:rPr>
            <w:rStyle w:val="Hyperlink"/>
          </w:rPr>
          <w:t xml:space="preserve">[81]</w:t>
        </w:r>
      </w:hyperlink>
      <w:hyperlink r:id="rId102">
        <w:r>
          <w:rPr>
            <w:rStyle w:val="Hyperlink"/>
          </w:rPr>
          <w:t xml:space="preserve">[82]</w:t>
        </w:r>
      </w:hyperlink>
      <w:r>
        <w:t xml:space="preserve">. Each conjecture addresses a critical gap, and the logical flow connecting them is mostly sound. Here we review each conjecture for clarity, necessity, and how it fits into the chain:</w:t>
      </w:r>
    </w:p>
    <w:p>
      <w:pPr>
        <w:numPr>
          <w:ilvl w:val="0"/>
          <w:numId w:val="1006"/>
        </w:numPr>
      </w:pPr>
      <w:r>
        <w:rPr>
          <w:b/>
          <w:bCs/>
        </w:rPr>
        <w:t xml:space="preserve">Conjecture A (Log–Forest UV Control):</w:t>
      </w:r>
      <w:r>
        <w:t xml:space="preserve"> </w:t>
      </w:r>
      <w:r>
        <w:t xml:space="preserve">This conjecture is stated clearly and in detail: it claims that after accounting for standard perimeter and contact divergences, the</w:t>
      </w:r>
      <w:r>
        <w:t xml:space="preserve"> </w:t>
      </w:r>
      <w:r>
        <w:rPr>
          <w:i/>
          <w:iCs/>
        </w:rPr>
        <w:t xml:space="preserve">renormalized gradient norms</w:t>
      </w:r>
      <w:r>
        <w:t xml:space="preserve"> </w:t>
      </w:r>
      <w:r>
        <w:t xml:space="preserve">of composite operators have at most polylogarithmic divergences, not power-law</w:t>
      </w:r>
      <w:hyperlink r:id="rId103">
        <w:r>
          <w:rPr>
            <w:rStyle w:val="Hyperlink"/>
          </w:rPr>
          <w:t xml:space="preserve">[83]</w:t>
        </w:r>
      </w:hyperlink>
      <w:hyperlink r:id="rId66">
        <w:r>
          <w:rPr>
            <w:rStyle w:val="Hyperlink"/>
          </w:rPr>
          <w:t xml:space="preserve">[84]</w:t>
        </w:r>
      </w:hyperlink>
      <w:r>
        <w:t xml:space="preserve">. In other words, no new UV infinities appear in the $W^{1,2}$ norms beyond what is already removed by known counterterms. This is a</w:t>
      </w:r>
      <w:r>
        <w:t xml:space="preserve"> </w:t>
      </w:r>
      <w:r>
        <w:rPr>
          <w:b/>
          <w:bCs/>
        </w:rPr>
        <w:t xml:space="preserve">necessary foundation</w:t>
      </w:r>
      <w:r>
        <w:t xml:space="preserve"> </w:t>
      </w:r>
      <w:r>
        <w:t xml:space="preserve">because if UV fluctuations were too wild (e.g. power-law divergent gradient norms), one might not have a well-defined Dirichlet form in the continuum or a finite Poincaré constant. The conjecture is well-motivated by perturbation theory (BPHZ renormalization theory)</w:t>
      </w:r>
      <w:hyperlink r:id="rId104">
        <w:r>
          <w:rPr>
            <w:rStyle w:val="Hyperlink"/>
          </w:rPr>
          <w:t xml:space="preserve">[85]</w:t>
        </w:r>
      </w:hyperlink>
      <w:r>
        <w:t xml:space="preserve"> </w:t>
      </w:r>
      <w:r>
        <w:t xml:space="preserve">and even points to a scalar $\phi^4_4$ analog where such a property can be checked</w:t>
      </w:r>
      <w:hyperlink r:id="rId105">
        <w:r>
          <w:rPr>
            <w:rStyle w:val="Hyperlink"/>
          </w:rPr>
          <w:t xml:space="preserve">[86]</w:t>
        </w:r>
      </w:hyperlink>
      <w:r>
        <w:t xml:space="preserve">. Its role in the logical chain is to ensure the</w:t>
      </w:r>
      <w:r>
        <w:t xml:space="preserve"> </w:t>
      </w:r>
      <w:r>
        <w:rPr>
          <w:b/>
          <w:bCs/>
        </w:rPr>
        <w:t xml:space="preserve">Dirichlet form is well-defined and “tame”</w:t>
      </w:r>
      <w:r>
        <w:t xml:space="preserve"> </w:t>
      </w:r>
      <w:r>
        <w:t xml:space="preserve">on renormalized fields, which underpins any functional inequality in the continuum. Clarity-wise, Conjecture A is very straightforward; the only subtlety is that it’s phrased in lattice language (which is fine). It might implicitly assume the continuum limit of those renormalized norms exists (since ultimately we need this in $\mathcal{M}</w:t>
      </w:r>
      <w:r>
        <w:rPr>
          <w:i/>
          <w:iCs/>
        </w:rPr>
        <w:t xml:space="preserve">{\mathrm{reg}}$ continuum). But given the statement, it’s essentially a lattice statement for arbitrarily small $a$, so one can consider it approaching continuum.</w:t>
      </w:r>
      <w:r>
        <w:rPr>
          <w:i/>
          <w:iCs/>
        </w:rPr>
        <w:t xml:space="preserve"> </w:t>
      </w:r>
      <w:r>
        <w:rPr>
          <w:b/>
          <w:bCs/>
          <w:i/>
          <w:iCs/>
        </w:rPr>
        <w:t xml:space="preserve">Dependency:</w:t>
      </w:r>
      <w:r>
        <w:rPr>
          <w:i/>
          <w:iCs/>
        </w:rPr>
        <w:t xml:space="preserve"> </w:t>
      </w:r>
      <w:r>
        <w:rPr>
          <w:i/>
          <w:iCs/>
        </w:rPr>
        <w:t xml:space="preserve">Conjecture A is used in the chain along with C to establish a “controlled UV behavior on $\mathcal{M}</w:t>
      </w:r>
      <w:r>
        <w:t xml:space="preserve">$”</w:t>
      </w:r>
      <w:hyperlink r:id="rId106">
        <w:r>
          <w:rPr>
            <w:rStyle w:val="Hyperlink"/>
          </w:rPr>
          <w:t xml:space="preserve">[87]</w:t>
        </w:r>
      </w:hyperlink>
      <w:r>
        <w:t xml:space="preserve">. It doesn’t depend on others, except basic perturbative validity. It’s likely the most plausible of the conjectures because it aligns with known renormalization lore. However, it’s still unproven in YM rigorously, so it’s rightly a conjecture. In terms of necessity, one could argue even if Conjecture A were a bit off (say some mild power divergence remains), perhaps things could still work; but any uncontrolled divergence would break the Sobolev space framework. So Conjecture A seems quite essential.}</w:t>
      </w:r>
    </w:p>
    <w:p>
      <w:pPr>
        <w:numPr>
          <w:ilvl w:val="0"/>
          <w:numId w:val="1006"/>
        </w:numPr>
      </w:pPr>
      <w:r>
        <w:rPr>
          <w:b/>
          <w:bCs/>
        </w:rPr>
        <w:t xml:space="preserve">Conjecture B (Horizontal Anomaly Source Positivity):</w:t>
      </w:r>
      <w:r>
        <w:t xml:space="preserve"> </w:t>
      </w:r>
      <w:r>
        <w:t xml:space="preserve">This conjecture posits a positive definite contribution from the anomaly to the curvature of the effective potential on the gauge-invariant (horizontal) subspace</w:t>
      </w:r>
      <w:hyperlink r:id="rId36">
        <w:r>
          <w:rPr>
            <w:rStyle w:val="Hyperlink"/>
          </w:rPr>
          <w:t xml:space="preserve">[16]</w:t>
        </w:r>
      </w:hyperlink>
      <w:r>
        <w:t xml:space="preserve">. It’s clearly stated in a mathematical form: $\langle v, \mathbf{S}</w:t>
      </w:r>
      <w:r>
        <w:rPr>
          <w:i/>
          <w:iCs/>
        </w:rPr>
        <w:t xml:space="preserve">{\mathrm{anom}} v\rangle</w:t>
      </w:r>
      <w:r>
        <w:t xml:space="preserve"> </w:t>
      </w:r>
      <w:r>
        <w:t xml:space="preserve">\ge \sigma_}</w:t>
      </w:r>
      <w:r>
        <w:t xml:space="preserve"> </w:t>
      </w:r>
      <w:r>
        <w:rPr>
          <w:i/>
          <w:iCs/>
        </w:rPr>
        <w:t xml:space="preserve">|v|^2_{\text{hor}}$ for all horizontal directions $v$, with $\sigma_</w:t>
      </w:r>
      <w:r>
        <w:t xml:space="preserve"> </w:t>
      </w:r>
      <w:r>
        <w:t xml:space="preserve">&gt; 0$ independent of the IR scale</w:t>
      </w:r>
      <w:hyperlink r:id="rId35">
        <w:r>
          <w:rPr>
            <w:rStyle w:val="Hyperlink"/>
          </w:rPr>
          <w:t xml:space="preserve">[15]</w:t>
        </w:r>
      </w:hyperlink>
      <w:r>
        <w:t xml:space="preserve">. Clarity-wise, the conjecture is understandable albeit technical: it means the trace anomaly term acts like a mass matrix with a positive smallest eigenvalue in the space of fluctuations. The authors interpret this in words as the beta-function and gluon condensate providing “upward curvature”</w:t>
      </w:r>
      <w:hyperlink r:id="rId38">
        <w:r>
          <w:rPr>
            <w:rStyle w:val="Hyperlink"/>
          </w:rPr>
          <w:t xml:space="preserve">[18]</w:t>
        </w:r>
      </w:hyperlink>
      <w:r>
        <w:t xml:space="preserve">.</w:t>
      </w:r>
      <w:r>
        <w:t xml:space="preserve"> </w:t>
      </w:r>
      <w:r>
        <w:rPr>
          <w:b/>
          <w:bCs/>
        </w:rPr>
        <w:t xml:space="preserve">Necessity:</w:t>
      </w:r>
      <w:r>
        <w:t xml:space="preserve"> </w:t>
      </w:r>
      <w:r>
        <w:t xml:space="preserve">Without Conjecture B, the RG–Hessian flow could in principle run to flat or negative curvature directions, offering no handle to prove a spectral gap. Conjecture B is the core mechanism for mass gap generation in this dynamic picture – it’s what counteracts the tendency of the Hessian flow to flatten curvature. So it's absolutely central.</w:t>
      </w:r>
      <w:r>
        <w:t xml:space="preserve"> </w:t>
      </w:r>
      <w:r>
        <w:rPr>
          <w:b/>
          <w:bCs/>
        </w:rPr>
        <w:t xml:space="preserve">Dependencies:</w:t>
      </w:r>
      <w:r>
        <w:t xml:space="preserve"> </w:t>
      </w:r>
      <w:r>
        <w:t xml:space="preserve">It logically relies on having a notion of an anomaly-induced effective action, which in turn assumes renormalization has been handled (Conjecture A) and that one can project to the horizontal subspace (hence no interference from gauge singular directions – Conjecture C helps justify talking about “horizontal” subspace cleanly). In the roadmap, Conjecture B leads to a positive curvature fixed point</w:t>
      </w:r>
      <w:hyperlink r:id="rId102">
        <w:r>
          <w:rPr>
            <w:rStyle w:val="Hyperlink"/>
          </w:rPr>
          <w:t xml:space="preserve">[88]</w:t>
        </w:r>
      </w:hyperlink>
      <w:r>
        <w:t xml:space="preserve">, which then feeds into IR–1. This seems coherent: B gives us a lower bound $\sigma_</w:t>
      </w:r>
      <w:r>
        <w:rPr>
          <w:i/>
          <w:iCs/>
        </w:rPr>
        <w:t xml:space="preserve">$ on curvature, which by Bakry–Émery would give a spectral gap $\ge \sigma_</w:t>
      </w:r>
      <w:r>
        <w:t xml:space="preserve">$</w:t>
      </w:r>
      <w:r>
        <w:t xml:space="preserve"> </w:t>
      </w:r>
      <w:r>
        <w:rPr>
          <w:i/>
          <w:iCs/>
        </w:rPr>
        <w:t xml:space="preserve">if</w:t>
      </w:r>
      <w:r>
        <w:t xml:space="preserve"> </w:t>
      </w:r>
      <w:r>
        <w:t xml:space="preserve">everything else (A, C, IR conditions) hold. One could question if Conjecture B is too strong – could weaker conditions suffice (e.g. curvature becoming positive asymptotically, or positive in an averaged sense)? Possibly, but a strong form is stated to ensure a clean conclusion. Conjecture B is arguably the hardest to justify from known physics, so its necessity is balanced by its speculative nature. The paper isolates it as “speculative” which is apt</w:t>
      </w:r>
      <w:hyperlink r:id="rId37">
        <w:r>
          <w:rPr>
            <w:rStyle w:val="Hyperlink"/>
          </w:rPr>
          <w:t xml:space="preserve">[17]</w:t>
        </w:r>
      </w:hyperlink>
      <w:r>
        <w:t xml:space="preserve">. Without it, the chain probably fails (no mechanism for gap), so it’s necessary in the context of this approach.</w:t>
      </w:r>
    </w:p>
    <w:p>
      <w:pPr>
        <w:numPr>
          <w:ilvl w:val="0"/>
          <w:numId w:val="1006"/>
        </w:numPr>
      </w:pPr>
      <w:r>
        <w:rPr>
          <w:b/>
          <w:bCs/>
        </w:rPr>
        <w:t xml:space="preserve">Conjecture C (Polarity of Reducible Strata):</w:t>
      </w:r>
      <w:r>
        <w:t xml:space="preserve"> </w:t>
      </w:r>
      <w:r>
        <w:t xml:space="preserve">This conjecture asserts that the set of reducible connections $\Sigma$ (the union of all singular strata in $\mathcal{A}/\mathcal{G}$) has</w:t>
      </w:r>
      <w:r>
        <w:t xml:space="preserve"> </w:t>
      </w:r>
      <w:r>
        <w:rPr>
          <w:i/>
          <w:iCs/>
        </w:rPr>
        <w:t xml:space="preserve">zero capacity</w:t>
      </w:r>
      <w:r>
        <w:t xml:space="preserve"> </w:t>
      </w:r>
      <w:r>
        <w:t xml:space="preserve">with respect to the YM Dirichlet form</w:t>
      </w:r>
      <w:hyperlink r:id="rId89">
        <w:r>
          <w:rPr>
            <w:rStyle w:val="Hyperlink"/>
          </w:rPr>
          <w:t xml:space="preserve">[70]</w:t>
        </w:r>
      </w:hyperlink>
      <w:r>
        <w:t xml:space="preserve">. Equivalently, $\Sigma$ is “polar” (in the potential theory sense), so the Langevin process never hits it and functional inequalities can ignore it. The statement is clearly given, with an explanatory lead-up that $\Sigma$ is of infinite codimension in configuration space</w:t>
      </w:r>
      <w:hyperlink r:id="rId55">
        <w:r>
          <w:rPr>
            <w:rStyle w:val="Hyperlink"/>
          </w:rPr>
          <w:t xml:space="preserve">[37]</w:t>
        </w:r>
      </w:hyperlink>
      <w:hyperlink r:id="rId107">
        <w:r>
          <w:rPr>
            <w:rStyle w:val="Hyperlink"/>
          </w:rPr>
          <w:t xml:space="preserve">[89]</w:t>
        </w:r>
      </w:hyperlink>
      <w:r>
        <w:t xml:space="preserve">. The clarity is good; one understands that reducible connections (those with extra symmetry) form a negligible subset if Conjecture C holds.</w:t>
      </w:r>
      <w:r>
        <w:t xml:space="preserve"> </w:t>
      </w:r>
      <w:r>
        <w:rPr>
          <w:b/>
          <w:bCs/>
        </w:rPr>
        <w:t xml:space="preserve">Necessity:</w:t>
      </w:r>
      <w:r>
        <w:t xml:space="preserve"> </w:t>
      </w:r>
      <w:r>
        <w:t xml:space="preserve">This is somewhat technical but important. If Conjecture C failed, one might have to deal with boundary conditions or singular behavior at $\Sigma$. For example, approaching a reducible connection might lower the Dirichlet form or introduce zero modes (like gauge orbits that flatten out). Intuitively, if $\Sigma$ had positive capacity, the Langevin process could wander arbitrarily close to it, possibly invalidating inequalities or ergodicity in each topological sector. Conjecture C ensures the functional analysis can be done purely on the principal stratum $\mathcal{M}</w:t>
      </w:r>
      <w:r>
        <w:rPr>
          <w:i/>
          <w:iCs/>
        </w:rPr>
        <w:t xml:space="preserve">{\mathrm{reg}}$, which is a nice manifold. So it’s necessary to avoid very hard analysis on a stratified space. It’s also</w:t>
      </w:r>
      <w:r>
        <w:rPr>
          <w:i/>
          <w:iCs/>
        </w:rPr>
        <w:t xml:space="preserve"> </w:t>
      </w:r>
      <w:r>
        <w:rPr>
          <w:i/>
          <w:i/>
          <w:iCs/>
          <w:iCs/>
        </w:rPr>
        <w:t xml:space="preserve">plausible</w:t>
      </w:r>
      <w:r>
        <w:rPr>
          <w:i/>
          <w:iCs/>
        </w:rPr>
        <w:t xml:space="preserve">: infinite-codimension often implies capacity zero, though not automatically (as they caution with examples</w:t>
      </w:r>
      <w:hyperlink r:id="rId108">
        <w:r>
          <w:rPr>
            <w:rStyle w:val="Hyperlink"/>
            <w:i/>
            <w:iCs/>
          </w:rPr>
          <w:t xml:space="preserve">[90]</w:t>
        </w:r>
      </w:hyperlink>
      <w:r>
        <w:rPr>
          <w:i/>
          <w:iCs/>
        </w:rPr>
        <w:t xml:space="preserve">).</w:t>
      </w:r>
      <w:r>
        <w:rPr>
          <w:i/>
          <w:iCs/>
        </w:rPr>
        <w:t xml:space="preserve"> </w:t>
      </w:r>
      <w:r>
        <w:rPr>
          <w:b/>
          <w:bCs/>
          <w:i/>
          <w:iCs/>
        </w:rPr>
        <w:t xml:space="preserve">Dependencies:</w:t>
      </w:r>
      <w:r>
        <w:rPr>
          <w:i/>
          <w:iCs/>
        </w:rPr>
        <w:t xml:space="preserve"> </w:t>
      </w:r>
      <w:r>
        <w:rPr>
          <w:i/>
          <w:iCs/>
        </w:rPr>
        <w:t xml:space="preserve">It connects with Conjecture A in the roadmap to give a well-defined Dirichlet form on $\mathcal{M}</w:t>
      </w:r>
      <w:r>
        <w:t xml:space="preserve">$</w:t>
      </w:r>
      <w:hyperlink r:id="rId106">
        <w:r>
          <w:rPr>
            <w:rStyle w:val="Hyperlink"/>
          </w:rPr>
          <w:t xml:space="preserve">[91]</w:t>
        </w:r>
      </w:hyperlink>
      <w:r>
        <w:t xml:space="preserve">. That is logical: A handles UV, C handles the domain issues, together meaning we have a solid Sobolev space setup. C doesn’t heavily depend on others, except basic properties of the measure (for their plausible proof, they require absolute continuity of YM measure w.r.t. a Gaussian measure</w:t>
      </w:r>
      <w:hyperlink r:id="rId109">
        <w:r>
          <w:rPr>
            <w:rStyle w:val="Hyperlink"/>
          </w:rPr>
          <w:t xml:space="preserve">[92]</w:t>
        </w:r>
      </w:hyperlink>
      <w:r>
        <w:t xml:space="preserve">, which is not proven but presumably tied to renormalizability – possibly Conjecture A aids that by controlling UV behavior). The conjecture’s clarity could be improved by explicitly stating that no functional inequalities or dynamics need to consider boundary conditions at $\Sigma$ because of this (the text does imply it</w:t>
      </w:r>
      <w:hyperlink r:id="rId110">
        <w:r>
          <w:rPr>
            <w:rStyle w:val="Hyperlink"/>
          </w:rPr>
          <w:t xml:space="preserve">[93]</w:t>
        </w:r>
      </w:hyperlink>
      <w:r>
        <w:t xml:space="preserve">). Overall, Conjecture C is clear, well-motivated (the infinite codimension heuristic plus an outline proof strategy), and crucial for rigorousness. It’s one of those technical conjectures that doesn’t grab headlines but is necessary to patch a potential leak in the argument.}</w:t>
      </w:r>
    </w:p>
    <w:p>
      <w:pPr>
        <w:numPr>
          <w:ilvl w:val="0"/>
          <w:numId w:val="1006"/>
        </w:numPr>
      </w:pPr>
      <w:r>
        <w:rPr>
          <w:b/>
          <w:bCs/>
        </w:rPr>
        <w:t xml:space="preserve">Conjecture IR–1 (Curvature-Driven Local Gap) &amp; IR–2 (Non-Dominant Topology):</w:t>
      </w:r>
      <w:r>
        <w:t xml:space="preserve"> </w:t>
      </w:r>
      <w:r>
        <w:t xml:space="preserve">These two are closely related and the paper often discusses them in tandem. Conjecture IR–1 states that within each topological sector, the Langevin generator acting on local observables has a spectral gap $\lambda_{\mathrm{loc}}&gt;0$, which is attributed to an effective positive curvature lower bound in that sector</w:t>
      </w:r>
      <w:hyperlink r:id="rId59">
        <w:r>
          <w:rPr>
            <w:rStyle w:val="Hyperlink"/>
          </w:rPr>
          <w:t xml:space="preserve">[41]</w:t>
        </w:r>
      </w:hyperlink>
      <w:r>
        <w:t xml:space="preserve">. Conjecture IR–2 states that the slow modes related to topology (global charge tunneling) have negligible influence on local correlators in the infinite-volume limit</w:t>
      </w:r>
      <w:hyperlink r:id="rId60">
        <w:r>
          <w:rPr>
            <w:rStyle w:val="Hyperlink"/>
          </w:rPr>
          <w:t xml:space="preserve">[42]</w:t>
        </w:r>
      </w:hyperlink>
      <w:r>
        <w:t xml:space="preserve">. Both conjectures are clearly phrased and their rationale is extensively discussed.</w:t>
      </w:r>
      <w:r>
        <w:t xml:space="preserve"> </w:t>
      </w:r>
      <w:r>
        <w:rPr>
          <w:b/>
          <w:bCs/>
        </w:rPr>
        <w:t xml:space="preserve">Necessity:</w:t>
      </w:r>
      <w:r>
        <w:t xml:space="preserve"> </w:t>
      </w:r>
      <w:r>
        <w:t xml:space="preserve">They serve to focus the mass gap on $\lambda_{\mathrm{loc}}$. If IR–1 failed, it means even within a fixed sector something (besides topology) is making the gap zero – basically confinement would fail. If IR–2 failed, it means even if each sector had a gap, the mixing between sectors (tunneling) would yield long tails in local correlators, spoiling a mass gap. So both are needed to claim that $\lambda_{\mathrm{loc}}$ is the true mass gap of the theory</w:t>
      </w:r>
      <w:hyperlink r:id="rId65">
        <w:r>
          <w:rPr>
            <w:rStyle w:val="Hyperlink"/>
          </w:rPr>
          <w:t xml:space="preserve">[47]</w:t>
        </w:r>
      </w:hyperlink>
      <w:hyperlink r:id="rId111">
        <w:r>
          <w:rPr>
            <w:rStyle w:val="Hyperlink"/>
          </w:rPr>
          <w:t xml:space="preserve">[94]</w:t>
        </w:r>
      </w:hyperlink>
      <w:r>
        <w:t xml:space="preserve">. These conjectures are conceptually</w:t>
      </w:r>
      <w:r>
        <w:t xml:space="preserve"> </w:t>
      </w:r>
      <w:r>
        <w:rPr>
          <w:b/>
          <w:bCs/>
        </w:rPr>
        <w:t xml:space="preserve">central</w:t>
      </w:r>
      <w:r>
        <w:t xml:space="preserve"> </w:t>
      </w:r>
      <w:r>
        <w:t xml:space="preserve">– they are essentially asserting that the physical mass gap is a result of “ordinary” confining dynamics (not a stopgap due to restriction to sectors) and that vacuum tunneling is irrelevant for it. Most physicists would agree with these statements as expectations, but proving them is another matter.</w:t>
      </w:r>
      <w:r>
        <w:t xml:space="preserve"> </w:t>
      </w:r>
      <w:r>
        <w:rPr>
          <w:b/>
          <w:bCs/>
        </w:rPr>
        <w:t xml:space="preserve">Clarity:</w:t>
      </w:r>
      <w:r>
        <w:t xml:space="preserve"> </w:t>
      </w:r>
      <w:r>
        <w:t xml:space="preserve">The conjectures are written in plain language in addition to formulas, which is helpful. IR–2’s phrase “negligible overlap” with local observables</w:t>
      </w:r>
      <w:hyperlink r:id="rId60">
        <w:r>
          <w:rPr>
            <w:rStyle w:val="Hyperlink"/>
          </w:rPr>
          <w:t xml:space="preserve">[42]</w:t>
        </w:r>
      </w:hyperlink>
      <w:r>
        <w:t xml:space="preserve"> </w:t>
      </w:r>
      <w:r>
        <w:t xml:space="preserve">is a bit informal, but one gets the idea – e.g., that the eigenfunction corresponding to $\lambda_{\mathrm{top}} \ll \lambda_{\mathrm{loc}}$ has support mostly in some topologically nontrivial functional of the field, not in local Wilson loop variables. A potential improvement is to specify how one would formalize “negligible”: perhaps that any local observable correlation function’s asymptotic decay is governed by $\lambda_{\mathrm{loc}}$ not $\lambda_{\mathrm{top}}$ (they do say “does not control the decay rate of local 2-point functions”</w:t>
      </w:r>
      <w:hyperlink r:id="rId60">
        <w:r>
          <w:rPr>
            <w:rStyle w:val="Hyperlink"/>
          </w:rPr>
          <w:t xml:space="preserve">[42]</w:t>
        </w:r>
      </w:hyperlink>
      <w:r>
        <w:t xml:space="preserve">, which is a good characterization).</w:t>
      </w:r>
      <w:r>
        <w:t xml:space="preserve"> </w:t>
      </w:r>
      <w:r>
        <w:rPr>
          <w:b/>
          <w:bCs/>
        </w:rPr>
        <w:t xml:space="preserve">Dependencies:</w:t>
      </w:r>
      <w:r>
        <w:t xml:space="preserve"> </w:t>
      </w:r>
      <w:r>
        <w:t xml:space="preserve">IR–1 is presumably a consequence of Conjecture B (positive curvature) applied within a sector, combined with Conjecture A (so the measure is nice) and Conjecture C (so the domain is okay). Indeed, the roadmap has IR–1/2 coming after B and leading to $\lambda_{\mathrm{loc}}&gt;0$</w:t>
      </w:r>
      <w:hyperlink r:id="rId112">
        <w:r>
          <w:rPr>
            <w:rStyle w:val="Hyperlink"/>
          </w:rPr>
          <w:t xml:space="preserve">[95]</w:t>
        </w:r>
      </w:hyperlink>
      <w:r>
        <w:t xml:space="preserve">. IR–2 doesn’t follow from previous conjectures; it’s an extra assumption ensuring the separation of scales. It might partially rely on having infinite volume and cluster properties (to say that local operators decouple from global modes as volume $\to\infty$). The authors do mention “in the infinite-volume limit” in IR–2</w:t>
      </w:r>
      <w:hyperlink r:id="rId113">
        <w:r>
          <w:rPr>
            <w:rStyle w:val="Hyperlink"/>
          </w:rPr>
          <w:t xml:space="preserve">[96]</w:t>
        </w:r>
      </w:hyperlink>
      <w:r>
        <w:t xml:space="preserve">, which is important – finite-volume, there’s always mixing because tunneling eventually connects sectors. So IR–2 is really about the thermodynamic limit, probably assuming cluster decomposition (which is part of Conjecture D’s assumptions). Thus IR–2 ties in with requiring a proper infinite-volume limit (a form of this is in Conjecture D: cluster properties assumed</w:t>
      </w:r>
      <w:hyperlink r:id="rId23">
        <w:r>
          <w:rPr>
            <w:rStyle w:val="Hyperlink"/>
          </w:rPr>
          <w:t xml:space="preserve">[3]</w:t>
        </w:r>
      </w:hyperlink>
      <w:r>
        <w:t xml:space="preserve">). All told, IR–1/2 are clearly necessary conjectures to complete the logical circle around the</w:t>
      </w:r>
      <w:r>
        <w:t xml:space="preserve"> </w:t>
      </w:r>
      <w:r>
        <w:rPr>
          <w:i/>
          <w:iCs/>
        </w:rPr>
        <w:t xml:space="preserve">physical mass gap</w:t>
      </w:r>
      <w:r>
        <w:t xml:space="preserve">. They translate a physical idea into semi-rigorous terms nicely. It’s hard to imagine proving them directly, but they are relatively</w:t>
      </w:r>
      <w:r>
        <w:t xml:space="preserve"> </w:t>
      </w:r>
      <w:r>
        <w:rPr>
          <w:i/>
          <w:iCs/>
        </w:rPr>
        <w:t xml:space="preserve">standard assumptions</w:t>
      </w:r>
      <w:r>
        <w:t xml:space="preserve"> </w:t>
      </w:r>
      <w:r>
        <w:t xml:space="preserve">in the physics sense (e.g., essentially saying no massless axion-like particles from topology, and no unexpected gapless modes beyond those accounted for by explicit symmetries).</w:t>
      </w:r>
    </w:p>
    <w:p>
      <w:pPr>
        <w:numPr>
          <w:ilvl w:val="0"/>
          <w:numId w:val="1006"/>
        </w:numPr>
      </w:pPr>
      <w:r>
        <w:rPr>
          <w:b/>
          <w:bCs/>
        </w:rPr>
        <w:t xml:space="preserve">Conjecture D (Local-Sector Gap ⇒ Mass Gap):</w:t>
      </w:r>
      <w:r>
        <w:t xml:space="preserve"> </w:t>
      </w:r>
      <w:r>
        <w:t xml:space="preserve">This conjecture is slightly different in flavor: it’s almost a theorem, stating that if one has an OS-positive Euclidean measure with a Poincaré or LSI inequality on the local observable subspace with constant $\lambda_{\mathrm{loc}}&gt;0$, then the reconstructed Wightman theory has a mass gap $\Delta \ge c\sqrt{\lambda_{\mathrm{loc}}}&gt;0$</w:t>
      </w:r>
      <w:hyperlink r:id="rId23">
        <w:r>
          <w:rPr>
            <w:rStyle w:val="Hyperlink"/>
          </w:rPr>
          <w:t xml:space="preserve">[3]</w:t>
        </w:r>
      </w:hyperlink>
      <w:hyperlink r:id="rId45">
        <w:r>
          <w:rPr>
            <w:rStyle w:val="Hyperlink"/>
          </w:rPr>
          <w:t xml:space="preserve">[97]</w:t>
        </w:r>
      </w:hyperlink>
      <w:r>
        <w:t xml:space="preserve">. The paper treats this as a conjecture, but it’s more of a proposition contingent on technical assumptions (existence of the measure, reflection positivity, cluster, etc., all listed in the conjecture statement).</w:t>
      </w:r>
      <w:r>
        <w:t xml:space="preserve"> </w:t>
      </w:r>
      <w:r>
        <w:rPr>
          <w:b/>
          <w:bCs/>
        </w:rPr>
        <w:t xml:space="preserve">Clarity:</w:t>
      </w:r>
      <w:r>
        <w:t xml:space="preserve"> </w:t>
      </w:r>
      <w:r>
        <w:t xml:space="preserve">Conjecture D is very clear in its statement and even provides the form of the bound $\Delta \ge c\sqrt{\lambda_{\mathrm{loc}}}$ with some universal constant $c$</w:t>
      </w:r>
      <w:hyperlink r:id="rId114">
        <w:r>
          <w:rPr>
            <w:rStyle w:val="Hyperlink"/>
          </w:rPr>
          <w:t xml:space="preserve">[98]</w:t>
        </w:r>
      </w:hyperlink>
      <w:r>
        <w:t xml:space="preserve">. This is essentially a finite-volume to infinite-volume argument combined with OS reconstruction. The authors likely call it a conjecture because those assumptions (existence of $\mu$ etc.) aren’t proven and the inequality is on a subspace rather than the whole space, which is unusual. But otherwise, the implication is strongly believable: a spectral gap for the generator in the local subspace should translate to exponential decay of local correlations (by the stochastic quantization correspondence), and OS reflection positivity then turns that into a mass gap in the Hamiltonian spectrum. This kind of implication has precedents in constructive QFT (e.g. for $\phi^4$ or other models), so it’s not far-fetched.</w:t>
      </w:r>
      <w:r>
        <w:t xml:space="preserve"> </w:t>
      </w:r>
      <w:r>
        <w:rPr>
          <w:b/>
          <w:bCs/>
        </w:rPr>
        <w:t xml:space="preserve">Necessity:</w:t>
      </w:r>
      <w:r>
        <w:t xml:space="preserve"> </w:t>
      </w:r>
      <w:r>
        <w:t xml:space="preserve">Conjecture D is the final link that turns the probabilistic statement into the Clay prize statement. Without it, one could have $\lambda_{\mathrm{loc}}&gt;0$ but not immediately know $\Delta&gt;0$. In principle, Conjecture D should be</w:t>
      </w:r>
      <w:r>
        <w:t xml:space="preserve"> </w:t>
      </w:r>
      <w:r>
        <w:rPr>
          <w:i/>
          <w:iCs/>
        </w:rPr>
        <w:t xml:space="preserve">provable</w:t>
      </w:r>
      <w:r>
        <w:t xml:space="preserve"> </w:t>
      </w:r>
      <w:r>
        <w:t xml:space="preserve">if all other pieces are in place, because it’s more a matter of showing the Markov generator’s gap relates to transfer matrix gap. The authors note making it precise requires finite volume analysis then thermodynamic limit</w:t>
      </w:r>
      <w:hyperlink r:id="rId115">
        <w:r>
          <w:rPr>
            <w:rStyle w:val="Hyperlink"/>
          </w:rPr>
          <w:t xml:space="preserve">[99]</w:t>
        </w:r>
      </w:hyperlink>
      <w:r>
        <w:t xml:space="preserve">, indicating it’s technical but conceptually straightforward.</w:t>
      </w:r>
      <w:r>
        <w:t xml:space="preserve"> </w:t>
      </w:r>
      <w:r>
        <w:rPr>
          <w:b/>
          <w:bCs/>
        </w:rPr>
        <w:t xml:space="preserve">Dependencies:</w:t>
      </w:r>
      <w:r>
        <w:t xml:space="preserve"> </w:t>
      </w:r>
      <w:r>
        <w:t xml:space="preserve">It depends on having all prior conjectures true to ensure $\lambda_{\mathrm{loc}}&gt;0$ in the infinite-volume, continuum limit and that we have a valid OS measure. In the roadmap, D comes last, triggered by IR–1/2 giving $\lambda_{\mathrm{loc}}&gt;0$</w:t>
      </w:r>
      <w:hyperlink r:id="rId116">
        <w:r>
          <w:rPr>
            <w:rStyle w:val="Hyperlink"/>
          </w:rPr>
          <w:t xml:space="preserve">[100]</w:t>
        </w:r>
      </w:hyperlink>
      <w:r>
        <w:t xml:space="preserve">. It also explicitly assumes the OS measure existence and cluster property, which are not named conjectures but prerequisites (one might call that Conjecture 0 or something – but the authors treat it as an assumption that hopefully constructive methods ensure). It’s good they listed those assumptions, as it reminds the reader that one must have a well-defined theory first to even talk about a Wightman spectrum.</w:t>
      </w:r>
    </w:p>
    <w:p>
      <w:pPr>
        <w:pStyle w:val="FirstParagraph"/>
      </w:pPr>
      <w:r>
        <w:rPr>
          <w:b/>
          <w:bCs/>
        </w:rPr>
        <w:t xml:space="preserve">Logical Dependency Chain:</w:t>
      </w:r>
      <w:r>
        <w:t xml:space="preserve"> </w:t>
      </w:r>
      <w:r>
        <w:t xml:space="preserve">The paper’s summary of the implication chain</w:t>
      </w:r>
      <w:hyperlink r:id="rId101">
        <w:r>
          <w:rPr>
            <w:rStyle w:val="Hyperlink"/>
          </w:rPr>
          <w:t xml:space="preserve">[81]</w:t>
        </w:r>
      </w:hyperlink>
      <w:hyperlink r:id="rId102">
        <w:r>
          <w:rPr>
            <w:rStyle w:val="Hyperlink"/>
          </w:rPr>
          <w:t xml:space="preserve">[82]</w:t>
        </w:r>
      </w:hyperlink>
      <w:r>
        <w:t xml:space="preserve"> </w:t>
      </w:r>
      <w:r>
        <w:t xml:space="preserve">is coherent:</w:t>
      </w:r>
      <w:r>
        <w:t xml:space="preserve"> </w:t>
      </w:r>
      <w:r>
        <w:t xml:space="preserve">1. A + C ⇒ Well-defined Dirichlet form on nice domain (so the stochastic dynamics is well-posed and UV-finite).</w:t>
      </w:r>
      <w:r>
        <w:t xml:space="preserve"> </w:t>
      </w:r>
      <w:r>
        <w:t xml:space="preserve">2. B ⇒ positive curvature at IR ⇒ (with A, maybe) functional inequalities with some $\rho&gt;0$ on horizontals.</w:t>
      </w:r>
      <w:r>
        <w:t xml:space="preserve"> </w:t>
      </w:r>
      <w:r>
        <w:t xml:space="preserve">3. IR–1/2 ⇒ the positive curvature leads to a true spectral gap in the local sector, not eclipsed by topology.</w:t>
      </w:r>
      <w:r>
        <w:t xml:space="preserve"> </w:t>
      </w:r>
      <w:r>
        <w:t xml:space="preserve">4. D ⇒ that local sector gap gives a physical mass gap.</w:t>
      </w:r>
    </w:p>
    <w:p>
      <w:pPr>
        <w:pStyle w:val="BodyText"/>
      </w:pPr>
      <w:r>
        <w:t xml:space="preserve">This chain covers all needed aspects except the existence of the measure, which is assumed at the start of D. Perhaps it’s understood that a combination of constructive lattice results and the UV control (A) would imply existence (the authors hint the constructive module supports existence). It could be worth stating explicitly that a</w:t>
      </w:r>
      <w:r>
        <w:t xml:space="preserve"> </w:t>
      </w:r>
      <w:r>
        <w:rPr>
          <w:b/>
          <w:bCs/>
        </w:rPr>
        <w:t xml:space="preserve">continuum construction</w:t>
      </w:r>
      <w:r>
        <w:t xml:space="preserve"> </w:t>
      </w:r>
      <w:r>
        <w:t xml:space="preserve">of the measure is assumed or hoped-for (maybe via lattice limits). But given the context, the chain includes everything novel that needs proving.</w:t>
      </w:r>
    </w:p>
    <w:p>
      <w:pPr>
        <w:pStyle w:val="BodyText"/>
      </w:pPr>
      <w:r>
        <w:t xml:space="preserve">The dependencies are logically sound: for example, they don’t use B before A or C, which is good because B’s statement “after appropriate renormalization” presumes A to some extent; similarly they invoke IR–1/2 only after B because IR–1 would rely on having curvature. Everything flows in order. One could argue the chain is</w:t>
      </w:r>
      <w:r>
        <w:t xml:space="preserve"> </w:t>
      </w:r>
      <w:r>
        <w:rPr>
          <w:i/>
          <w:iCs/>
        </w:rPr>
        <w:t xml:space="preserve">complete</w:t>
      </w:r>
      <w:r>
        <w:t xml:space="preserve">: if every conjecture A, B, C, IR–1, IR–2 and the assumptions of D are all verified, then indeed one has a Clay-level proof. There is no obvious missing conjecture in this scaffold. The main “dangling” assumption is the existence of the continuum measure, which the authors likely regard as eventually coming from a mix of constructive results and the conditions A, C (ensuring no divergences or singularities). It might strengthen the roadmap to mention “Constructive lattice results + A + C ⇒ existence of continuum $\mu$ with required properties” as an implicit step. But perhaps that’s considered outside the scope (since constructive existence is a whole separate effort).</w:t>
      </w:r>
    </w:p>
    <w:p>
      <w:pPr>
        <w:pStyle w:val="BodyText"/>
      </w:pPr>
      <w:r>
        <w:rPr>
          <w:b/>
          <w:bCs/>
        </w:rPr>
        <w:t xml:space="preserve">Clarity and Necessity of Each:</w:t>
      </w:r>
      <w:r>
        <w:t xml:space="preserve"> </w:t>
      </w:r>
      <w:r>
        <w:t xml:space="preserve">In conclusion, each conjecture is clearly stated and each fills a necessary role:</w:t>
      </w:r>
      <w:r>
        <w:t xml:space="preserve"> </w:t>
      </w:r>
      <w:r>
        <w:t xml:space="preserve">- A: ensures UV sanity (needed).</w:t>
      </w:r>
      <w:r>
        <w:t xml:space="preserve"> </w:t>
      </w:r>
      <w:r>
        <w:t xml:space="preserve">- B: provides mechanism for gap (crucial).</w:t>
      </w:r>
      <w:r>
        <w:t xml:space="preserve"> </w:t>
      </w:r>
      <w:r>
        <w:t xml:space="preserve">- C: removes gauge copy pitfalls (technical but needed).</w:t>
      </w:r>
      <w:r>
        <w:t xml:space="preserve"> </w:t>
      </w:r>
      <w:r>
        <w:t xml:space="preserve">- IR–1/2: focus on the right gap (conceptually needed).</w:t>
      </w:r>
      <w:r>
        <w:t xml:space="preserve"> </w:t>
      </w:r>
      <w:r>
        <w:t xml:space="preserve">- D: bridges to physics (by definition needed for Clay).</w:t>
      </w:r>
    </w:p>
    <w:p>
      <w:pPr>
        <w:pStyle w:val="BodyText"/>
      </w:pPr>
      <w:r>
        <w:t xml:space="preserve">The logical dependencies are explicitly described and make sense. The chain is only as strong as its weakest link, and here several links (notably B, and proving A or C) are indeed very challenging. But the authors have been transparent about that. The coherence is there; the</w:t>
      </w:r>
      <w:r>
        <w:t xml:space="preserve"> </w:t>
      </w:r>
      <w:r>
        <w:rPr>
          <w:i/>
          <w:iCs/>
        </w:rPr>
        <w:t xml:space="preserve">completeness</w:t>
      </w:r>
      <w:r>
        <w:t xml:space="preserve"> </w:t>
      </w:r>
      <w:r>
        <w:t xml:space="preserve">is there in terms of issues addressed. If one were to suggest improvement, it would be to perhaps classify the conjectures by difficulty or nature (some are analytic, some geometric, some physical) – but that’s not necessary in the context of a critique. The naming (A, B, C, IR–1/2, D) is easy to follow and referred to consistently throughout the text and summary. The only small clarity issue was combining IR–1 and IR–2 in one bullet in the summary</w:t>
      </w:r>
      <w:hyperlink r:id="rId68">
        <w:r>
          <w:rPr>
            <w:rStyle w:val="Hyperlink"/>
          </w:rPr>
          <w:t xml:space="preserve">[50]</w:t>
        </w:r>
      </w:hyperlink>
      <w:r>
        <w:t xml:space="preserve">; separating them might mirror how A, B, C, D got separate bullets. But that’s trivial.</w:t>
      </w:r>
    </w:p>
    <w:p>
      <w:pPr>
        <w:pStyle w:val="BodyText"/>
      </w:pPr>
      <w:r>
        <w:t xml:space="preserve">Overall, the named conjectures form a well-reasoned blueprint. The logical flow among them is one of the strengths of the paper: it compartmentalizes the grand problem into bite-sized conjectures that specialists could try to prove or find counter-examples for. This roadmap approach is effective, and aside from the minor suggestions above, it is scientifically sound and clearly communicated.</w:t>
      </w:r>
    </w:p>
    <w:bookmarkEnd w:id="117"/>
    <w:bookmarkStart w:id="123" w:name="overall-presentation"/>
    <w:p>
      <w:pPr>
        <w:pStyle w:val="Heading2"/>
      </w:pPr>
      <w:r>
        <w:t xml:space="preserve">6. Overall Presentation</w:t>
      </w:r>
    </w:p>
    <w:p>
      <w:pPr>
        <w:pStyle w:val="FirstParagraph"/>
      </w:pPr>
      <w:r>
        <w:t xml:space="preserve">The document is presented as an internal white paper, and it is largely well-structured and readable considering the complex subject matter. There are, however, areas where the notation, structure, or labeling could be refined for greater clarity and precision:</w:t>
      </w:r>
    </w:p>
    <w:p>
      <w:pPr>
        <w:numPr>
          <w:ilvl w:val="0"/>
          <w:numId w:val="1007"/>
        </w:numPr>
      </w:pPr>
      <w:r>
        <w:rPr>
          <w:b/>
          <w:bCs/>
        </w:rPr>
        <w:t xml:space="preserve">Structure and Headings:</w:t>
      </w:r>
      <w:r>
        <w:t xml:space="preserve"> </w:t>
      </w:r>
      <w:r>
        <w:t xml:space="preserve">The use of</w:t>
      </w:r>
      <w:r>
        <w:t xml:space="preserve"> </w:t>
      </w:r>
      <w:r>
        <w:rPr>
          <w:b/>
          <w:bCs/>
        </w:rPr>
        <w:t xml:space="preserve">Parts I–VII</w:t>
      </w:r>
      <w:r>
        <w:t xml:space="preserve"> </w:t>
      </w:r>
      <w:r>
        <w:t xml:space="preserve">to organize the content is logical, and the headings within each part are descriptive. The flow from Executive Summary to detailed sections and finally to a roadmap is effective. One suggestion is to ensure the architecture overview (Part I, Section 4) and the final roadmap (Part VII) are tightly aligned. For instance, Part I.4 enumerates Layers A–E</w:t>
      </w:r>
      <w:hyperlink r:id="rId48">
        <w:r>
          <w:rPr>
            <w:rStyle w:val="Hyperlink"/>
          </w:rPr>
          <w:t xml:space="preserve">[28]</w:t>
        </w:r>
      </w:hyperlink>
      <w:r>
        <w:t xml:space="preserve">, while Part VII lists Conjectures A–D and IR–1/2</w:t>
      </w:r>
      <w:hyperlink r:id="rId58">
        <w:r>
          <w:rPr>
            <w:rStyle w:val="Hyperlink"/>
          </w:rPr>
          <w:t xml:space="preserve">[40]</w:t>
        </w:r>
      </w:hyperlink>
      <w:r>
        <w:t xml:space="preserve">. It would help readers if the mapping between layers and conjectures was made explicit in Part I.4 (e.g., “Layer A corresponds to Conjecture A,” etc., as discussed in Section 5 of this critique). Also, the IR conjectures could be given a “layer” or at least mentioned in the overview as part of the IR dynamics layer. This is a minor structural tweak to prevent any confusion about where IR–1/2 fit in the big picture.</w:t>
      </w:r>
    </w:p>
    <w:p>
      <w:pPr>
        <w:numPr>
          <w:ilvl w:val="0"/>
          <w:numId w:val="1007"/>
        </w:numPr>
      </w:pPr>
      <w:r>
        <w:rPr>
          <w:b/>
          <w:bCs/>
        </w:rPr>
        <w:t xml:space="preserve">Notation and Terminology:</w:t>
      </w:r>
      <w:r>
        <w:t xml:space="preserve"> </w:t>
      </w:r>
      <w:r>
        <w:t xml:space="preserve">Generally, the notation is standard and each symbol is defined in context. However, a few terms/acronyms could be clarified on first use for completeness:</w:t>
      </w:r>
    </w:p>
    <w:p>
      <w:pPr>
        <w:pStyle w:val="Compact"/>
        <w:numPr>
          <w:ilvl w:val="0"/>
          <w:numId w:val="1007"/>
        </w:numPr>
      </w:pPr>
      <w:r>
        <w:rPr>
          <w:i/>
          <w:iCs/>
        </w:rPr>
        <w:t xml:space="preserve">OS</w:t>
      </w:r>
      <w:r>
        <w:t xml:space="preserve"> </w:t>
      </w:r>
      <w:r>
        <w:t xml:space="preserve">(Osterwalder–Schrader) is used from the start</w:t>
      </w:r>
      <w:hyperlink r:id="rId118">
        <w:r>
          <w:rPr>
            <w:rStyle w:val="Hyperlink"/>
          </w:rPr>
          <w:t xml:space="preserve">[101]</w:t>
        </w:r>
      </w:hyperlink>
      <w:r>
        <w:t xml:space="preserve"> </w:t>
      </w:r>
      <w:r>
        <w:t xml:space="preserve">without definition. Defining it in a footnote or parentheses would help readers not intimately familiar with axiomatic QFT.</w:t>
      </w:r>
    </w:p>
    <w:p>
      <w:pPr>
        <w:pStyle w:val="Compact"/>
        <w:numPr>
          <w:ilvl w:val="0"/>
          <w:numId w:val="1007"/>
        </w:numPr>
      </w:pPr>
      <w:r>
        <w:rPr>
          <w:i/>
          <w:iCs/>
        </w:rPr>
        <w:t xml:space="preserve">BPHZ</w:t>
      </w:r>
      <w:r>
        <w:t xml:space="preserve"> </w:t>
      </w:r>
      <w:r>
        <w:t xml:space="preserve">(Bogoliubov-Parasiuk-Hepp-Zimmermann) and</w:t>
      </w:r>
      <w:r>
        <w:t xml:space="preserve"> </w:t>
      </w:r>
      <w:r>
        <w:rPr>
          <w:i/>
          <w:iCs/>
        </w:rPr>
        <w:t xml:space="preserve">BGW</w:t>
      </w:r>
      <w:r>
        <w:t xml:space="preserve"> </w:t>
      </w:r>
      <w:r>
        <w:t xml:space="preserve">appear in discussing renormalization</w:t>
      </w:r>
      <w:hyperlink r:id="rId104">
        <w:r>
          <w:rPr>
            <w:rStyle w:val="Hyperlink"/>
          </w:rPr>
          <w:t xml:space="preserve">[85]</w:t>
        </w:r>
      </w:hyperlink>
      <w:r>
        <w:t xml:space="preserve">. While experts know these, a brief note like “(using BPHZ renormalization theory</w:t>
      </w:r>
      <w:hyperlink r:id="rId104">
        <w:r>
          <w:rPr>
            <w:rStyle w:val="Hyperlink"/>
          </w:rPr>
          <w:t xml:space="preserve">[85]</w:t>
        </w:r>
      </w:hyperlink>
      <w:r>
        <w:t xml:space="preserve">)” could orient readers or at least spelling out the acronym once.</w:t>
      </w:r>
    </w:p>
    <w:p>
      <w:pPr>
        <w:pStyle w:val="Compact"/>
        <w:numPr>
          <w:ilvl w:val="0"/>
          <w:numId w:val="1007"/>
        </w:numPr>
      </w:pPr>
      <w:r>
        <w:rPr>
          <w:i/>
          <w:iCs/>
        </w:rPr>
        <w:t xml:space="preserve">LSI</w:t>
      </w:r>
      <w:r>
        <w:t xml:space="preserve"> </w:t>
      </w:r>
      <w:r>
        <w:t xml:space="preserve">for log-Sobolev inequality is used in Part IV</w:t>
      </w:r>
      <w:hyperlink r:id="rId39">
        <w:r>
          <w:rPr>
            <w:rStyle w:val="Hyperlink"/>
          </w:rPr>
          <w:t xml:space="preserve">[19]</w:t>
        </w:r>
      </w:hyperlink>
      <w:r>
        <w:t xml:space="preserve">; it’s defined in context, which is good. Perhaps explicitly calling it "log–Sobolev inequality (LSI)" at first mention would signal the acronym.</w:t>
      </w:r>
    </w:p>
    <w:p>
      <w:pPr>
        <w:pStyle w:val="Compact"/>
        <w:numPr>
          <w:ilvl w:val="0"/>
          <w:numId w:val="1007"/>
        </w:numPr>
      </w:pPr>
      <w:r>
        <w:t xml:space="preserve">The overloading of</w:t>
      </w:r>
      <w:r>
        <w:t xml:space="preserve"> </w:t>
      </w:r>
      <w:r>
        <w:rPr>
          <w:i/>
          <w:iCs/>
        </w:rPr>
        <w:t xml:space="preserve">“polarity”</w:t>
      </w:r>
      <w:r>
        <w:t xml:space="preserve"> </w:t>
      </w:r>
      <w:r>
        <w:t xml:space="preserve">to mean two different things (capacity-zero sets vs C-symmetry sectors) is a point of potential confusion as noted. It might be prudent to choose a different word for one context. For example, Conjecture C could be termed “Conjecture C (Negligibility of Reducible Strata)” instead of using the word polarity, to avoid mental overload with the lattice polarity sectors. Or the lattice sectors could simply be called “C-even/odd sectors” which is immediately clear. This would eliminate any chance of misunderstanding when the term appears in different parts of the text.</w:t>
      </w:r>
    </w:p>
    <w:p>
      <w:pPr>
        <w:numPr>
          <w:ilvl w:val="0"/>
          <w:numId w:val="1007"/>
        </w:numPr>
      </w:pPr>
      <w:r>
        <w:t xml:space="preserve">Equation numbering could improve readability. The document has many equations but refers to them descriptively (“the viscous HJ equation”, “the Hessian flow equation”) rather than by number. Numbering key equations and inequalities (for instance, the Langevin equation, the definition of $\lambda_{\mathrm{loc}}$, the Hessian flow, the Bakry–Émery condition) would allow easier reference. In a long document, a reader might benefit from labels like “(HJ)” or simply (3.1) etc. However, given this is an internal working paper, the narrative style without explicit references might have been chosen for flexibility.</w:t>
      </w:r>
    </w:p>
    <w:p>
      <w:pPr>
        <w:numPr>
          <w:ilvl w:val="0"/>
          <w:numId w:val="1007"/>
        </w:numPr>
      </w:pPr>
      <w:r>
        <w:rPr>
          <w:b/>
          <w:bCs/>
        </w:rPr>
        <w:t xml:space="preserve">Explanatory Figures or Tables:</w:t>
      </w:r>
      <w:r>
        <w:t xml:space="preserve"> </w:t>
      </w:r>
      <w:r>
        <w:t xml:space="preserve">While not strictly necessary, the text could be complemented by a figure or table summarizing the architecture and conjectures. For example, a flowchart showing how Layers A–E and Conjectures A–D, IR–1,2 connect would visually reinforce Part VII’s logical dependency chain. Similarly, a table comparing lattice vs continuum features (e.g., “Lattice: Haar measure induces mass term” vs “Continuum: Anomaly induces curvature/mass gap”) could highlight how the F&amp;O constructive results map to continuum conjectures. Currently, all this is in text form; a schematic would cater to readers who prefer visual summaries.</w:t>
      </w:r>
    </w:p>
    <w:p>
      <w:pPr>
        <w:numPr>
          <w:ilvl w:val="0"/>
          <w:numId w:val="1007"/>
        </w:numPr>
      </w:pPr>
      <w:r>
        <w:rPr>
          <w:b/>
          <w:bCs/>
        </w:rPr>
        <w:t xml:space="preserve">Highlighting Formal vs Conjectural Content:</w:t>
      </w:r>
      <w:r>
        <w:t xml:space="preserve"> </w:t>
      </w:r>
      <w:r>
        <w:t xml:space="preserve">In the Executive Summary, the authors state that they make explicit which steps are formal vs conjectural</w:t>
      </w:r>
      <w:hyperlink r:id="rId26">
        <w:r>
          <w:rPr>
            <w:rStyle w:val="Hyperlink"/>
          </w:rPr>
          <w:t xml:space="preserve">[6]</w:t>
        </w:r>
      </w:hyperlink>
      <w:r>
        <w:t xml:space="preserve">. The conjectural parts are indeed explicitly labeled (Conjectures A, B, C, etc.). The formal but unproven</w:t>
      </w:r>
      <w:r>
        <w:t xml:space="preserve"> </w:t>
      </w:r>
      <w:r>
        <w:rPr>
          <w:i/>
          <w:iCs/>
        </w:rPr>
        <w:t xml:space="preserve">assumptions/ansätze</w:t>
      </w:r>
      <w:r>
        <w:t xml:space="preserve"> </w:t>
      </w:r>
      <w:r>
        <w:t xml:space="preserve">(like the use of the Langevin dynamics, or the truncation to a local RG flow equation) could be more explicitly marked. For instance, the section 3.1 “Working Ansatz: Viscous Hamilton–Jacobi Flow” is clearly indicating an assumption</w:t>
      </w:r>
      <w:hyperlink r:id="rId31">
        <w:r>
          <w:rPr>
            <w:rStyle w:val="Hyperlink"/>
          </w:rPr>
          <w:t xml:space="preserve">[11]</w:t>
        </w:r>
      </w:hyperlink>
      <w:r>
        <w:t xml:space="preserve">. Perhaps labeling it as a</w:t>
      </w:r>
      <w:r>
        <w:t xml:space="preserve"> </w:t>
      </w:r>
      <w:r>
        <w:rPr>
          <w:b/>
          <w:bCs/>
        </w:rPr>
        <w:t xml:space="preserve">Working Hypothesis</w:t>
      </w:r>
      <w:r>
        <w:t xml:space="preserve"> </w:t>
      </w:r>
      <w:r>
        <w:t xml:space="preserve">or explicitly italicizing that it’s not derived would enforce the distinction. Similarly, stating upfront that “we assume (formally) the existence of an OS measure for YM” would place the reader on alert that certain standard QFT steps are assumed solved (until constructive methods catch up). The text does this to some extent (Conjecture D’s assumption (1) is exactly existence of an OS measure</w:t>
      </w:r>
      <w:hyperlink r:id="rId23">
        <w:r>
          <w:rPr>
            <w:rStyle w:val="Hyperlink"/>
          </w:rPr>
          <w:t xml:space="preserve">[3]</w:t>
        </w:r>
      </w:hyperlink>
      <w:r>
        <w:t xml:space="preserve">), but a consolidated list of all assumptions might be useful. In a rigorous paper, one might have a section “Assumptions/Hypotheses” listing these. Here they are scattered (some in Conj D, some implied in using stochastic quantization at continuum).</w:t>
      </w:r>
    </w:p>
    <w:p>
      <w:pPr>
        <w:numPr>
          <w:ilvl w:val="0"/>
          <w:numId w:val="1007"/>
        </w:numPr>
      </w:pPr>
      <w:r>
        <w:rPr>
          <w:b/>
          <w:bCs/>
        </w:rPr>
        <w:t xml:space="preserve">Consistency in Conjecture Presentation:</w:t>
      </w:r>
      <w:r>
        <w:t xml:space="preserve"> </w:t>
      </w:r>
      <w:r>
        <w:t xml:space="preserve">All conjectures are given a title and a concise statement, which is excellent. Just ensure consistency: as noted, IR–1 and IR–2 were combined in the final summary as “Conjecture IR–1 / IR–2”</w:t>
      </w:r>
      <w:hyperlink r:id="rId68">
        <w:r>
          <w:rPr>
            <w:rStyle w:val="Hyperlink"/>
          </w:rPr>
          <w:t xml:space="preserve">[50]</w:t>
        </w:r>
      </w:hyperlink>
      <w:r>
        <w:t xml:space="preserve">. For parallelism, it might be better to list them separately or clearly label them (the current formatting with one bold title and both conjectures underneath is okay, but a reader skimming might miss that there are two distinct conjectures there). Also, Conjecture D is introduced very early in Part I (as a “central dynamic conjecture” before the architecture overview)</w:t>
      </w:r>
      <w:hyperlink r:id="rId119">
        <w:r>
          <w:rPr>
            <w:rStyle w:val="Hyperlink"/>
          </w:rPr>
          <w:t xml:space="preserve">[102]</w:t>
        </w:r>
      </w:hyperlink>
      <w:r>
        <w:t xml:space="preserve">. While it makes sense to introduce it early (since it states the goal), it interrupted the flow a bit on first read — one goes from defining $\lambda_{\mathrm{loc}}$ to immediately a conjecture that assumes existence of $\mu$ and so on. One possible re-structuring would be to move Conjecture D’s formal statement to later (e.g., at the end, near the roadmap). However, the authors likely put it early to emphasize what needs to be achieved. If kept early, maybe a forward reference from Conjecture D to Part VII (where it’s listed again) could be added, so the reader knows this will be revisited in the context of other conjectures.</w:t>
      </w:r>
    </w:p>
    <w:p>
      <w:pPr>
        <w:numPr>
          <w:ilvl w:val="0"/>
          <w:numId w:val="1007"/>
        </w:numPr>
      </w:pPr>
      <w:r>
        <w:rPr>
          <w:b/>
          <w:bCs/>
        </w:rPr>
        <w:t xml:space="preserve">Scientific Precision and Readability:</w:t>
      </w:r>
      <w:r>
        <w:t xml:space="preserve"> </w:t>
      </w:r>
      <w:r>
        <w:t xml:space="preserve">The writing is generally precise, but there are a few places where adding a bit more explanation would help a broader mathematical audience:</w:t>
      </w:r>
    </w:p>
    <w:p>
      <w:pPr>
        <w:pStyle w:val="Compact"/>
        <w:numPr>
          <w:ilvl w:val="0"/>
          <w:numId w:val="1007"/>
        </w:numPr>
      </w:pPr>
      <w:r>
        <w:t xml:space="preserve">In Part III, when introducing the viscous HJ equation</w:t>
      </w:r>
      <w:hyperlink r:id="rId27">
        <w:r>
          <w:rPr>
            <w:rStyle w:val="Hyperlink"/>
          </w:rPr>
          <w:t xml:space="preserve">[7]</w:t>
        </w:r>
      </w:hyperlink>
      <w:r>
        <w:t xml:space="preserve">, the authors mention truncating to local gauge-invariant functionals and a field-space metric. A footnote or remark on what gauge-fixed metric or why local functionals might reasonably capture the RG could assure readers this is not pulled from thin air. Essentially, justify the ansatz choice briefly (e.g., “This mimics how a gradient flow in action space might behave after integrating out high-momentum modes.”).</w:t>
      </w:r>
    </w:p>
    <w:p>
      <w:pPr>
        <w:pStyle w:val="Compact"/>
        <w:numPr>
          <w:ilvl w:val="0"/>
          <w:numId w:val="1007"/>
        </w:numPr>
      </w:pPr>
      <w:r>
        <w:t xml:space="preserve">The double-well example is a great addition for intuition. To be even more precise, the text could cite known results: e.g., “Holley–Stroock (1987) proved that for multi-well measures, LSI constants decrease exponentially with barrier height” (the text alludes to this</w:t>
      </w:r>
      <w:hyperlink r:id="rId43">
        <w:r>
          <w:rPr>
            <w:rStyle w:val="Hyperlink"/>
          </w:rPr>
          <w:t xml:space="preserve">[23]</w:t>
        </w:r>
      </w:hyperlink>
      <w:r>
        <w:t xml:space="preserve">). Citing such a result would add weight to the argument that curvature methods</w:t>
      </w:r>
      <w:r>
        <w:t xml:space="preserve"> </w:t>
      </w:r>
      <w:r>
        <w:rPr>
          <w:i/>
          <w:iCs/>
        </w:rPr>
        <w:t xml:space="preserve">must</w:t>
      </w:r>
      <w:r>
        <w:t xml:space="preserve"> </w:t>
      </w:r>
      <w:r>
        <w:t xml:space="preserve">focus on a single well (sector).</w:t>
      </w:r>
    </w:p>
    <w:p>
      <w:pPr>
        <w:numPr>
          <w:ilvl w:val="0"/>
          <w:numId w:val="1007"/>
        </w:numPr>
      </w:pPr>
      <w:r>
        <w:t xml:space="preserve">When referencing the separate note “Scalar Log–Forest Prototype”</w:t>
      </w:r>
      <w:hyperlink r:id="rId105">
        <w:r>
          <w:rPr>
            <w:rStyle w:val="Hyperlink"/>
          </w:rPr>
          <w:t xml:space="preserve">[86]</w:t>
        </w:r>
      </w:hyperlink>
      <w:r>
        <w:t xml:space="preserve">, if this is an internal reference, that’s fine, but if an external reader sees this, they might wish for a short summary of that prototype’s outcome (e.g., “...for an explicit example in a $\phi^4_4$ toy model, supporting the plausibility of only polylog divergences”). Not a big issue, but a self-contained argument in the paper itself would be ideal.</w:t>
      </w:r>
    </w:p>
    <w:p>
      <w:pPr>
        <w:numPr>
          <w:ilvl w:val="0"/>
          <w:numId w:val="1007"/>
        </w:numPr>
      </w:pPr>
      <w:r>
        <w:rPr>
          <w:b/>
          <w:bCs/>
        </w:rPr>
        <w:t xml:space="preserve">Strengths in Presentation:</w:t>
      </w:r>
      <w:r>
        <w:t xml:space="preserve"> </w:t>
      </w:r>
      <w:r>
        <w:t xml:space="preserve">It’s also worth noting some strengths: the executive summary is concise yet packed with the program’s essence. The use of bullet points in the summary and architecture overview to list key components makes it easy to skim the main ideas</w:t>
      </w:r>
      <w:hyperlink r:id="rId120">
        <w:r>
          <w:rPr>
            <w:rStyle w:val="Hyperlink"/>
          </w:rPr>
          <w:t xml:space="preserve">[103]</w:t>
        </w:r>
      </w:hyperlink>
      <w:hyperlink r:id="rId80">
        <w:r>
          <w:rPr>
            <w:rStyle w:val="Hyperlink"/>
          </w:rPr>
          <w:t xml:space="preserve">[60]</w:t>
        </w:r>
      </w:hyperlink>
      <w:r>
        <w:t xml:space="preserve">. The language is precise (using terms like “spectral gap of the generator” instead of loosely saying “mass gap” in the wrong context, etc.). The authors do a good job intermixing equations with explanations, ensuring the reader is never lost in symbols without guidance. Each part begins with a mini-introduction which keeps the thread (e.g. Part III starts with the context of functional RG) – this is good for readability.</w:t>
      </w:r>
    </w:p>
    <w:p>
      <w:pPr>
        <w:numPr>
          <w:ilvl w:val="0"/>
          <w:numId w:val="1007"/>
        </w:numPr>
      </w:pPr>
      <w:r>
        <w:rPr>
          <w:b/>
          <w:bCs/>
        </w:rPr>
        <w:t xml:space="preserve">Minor Typos/Notational Issues:</w:t>
      </w:r>
      <w:r>
        <w:t xml:space="preserve"> </w:t>
      </w:r>
      <w:r>
        <w:t xml:space="preserve">In a document of this length, a few minor issues are almost inevitable. One observation: the symbol for the Yang–Mills action is $S_{\text{YM}}$ early on</w:t>
      </w:r>
      <w:hyperlink r:id="rId121">
        <w:r>
          <w:rPr>
            <w:rStyle w:val="Hyperlink"/>
          </w:rPr>
          <w:t xml:space="preserve">[104]</w:t>
        </w:r>
      </w:hyperlink>
      <w:r>
        <w:t xml:space="preserve">, but later they use $S_W$ for the Wilson action on the lattice</w:t>
      </w:r>
      <w:hyperlink r:id="rId122">
        <w:r>
          <w:rPr>
            <w:rStyle w:val="Hyperlink"/>
          </w:rPr>
          <w:t xml:space="preserve">[105]</w:t>
        </w:r>
      </w:hyperlink>
      <w:r>
        <w:t xml:space="preserve"> </w:t>
      </w:r>
      <w:r>
        <w:t xml:space="preserve">and $S_t$ for the effective action in RG</w:t>
      </w:r>
      <w:hyperlink r:id="rId27">
        <w:r>
          <w:rPr>
            <w:rStyle w:val="Hyperlink"/>
          </w:rPr>
          <w:t xml:space="preserve">[7]</w:t>
        </w:r>
      </w:hyperlink>
      <w:r>
        <w:t xml:space="preserve">. All good, but perhaps explicitly stating $S_W$ is the lattice action and $S_{\mathrm{YM}}$ the continuum action would avoid any confusion (though context makes it clear). Another tiny point: in Conjecture B, the notation $\langle v, \mathbf{S}</w:t>
      </w:r>
      <w:r>
        <w:rPr>
          <w:i/>
          <w:iCs/>
        </w:rPr>
        <w:t xml:space="preserve">{\mathrm{anom}} v\rangle</w:t>
      </w:r>
      <w:r>
        <w:t xml:space="preserve">}}$</w:t>
      </w:r>
      <w:hyperlink r:id="rId36">
        <w:r>
          <w:rPr>
            <w:rStyle w:val="Hyperlink"/>
          </w:rPr>
          <w:t xml:space="preserve">[16]</w:t>
        </w:r>
      </w:hyperlink>
      <w:r>
        <w:t xml:space="preserve"> </w:t>
      </w:r>
      <w:r>
        <w:t xml:space="preserve">is used, treating $\mathbf{S</w:t>
      </w:r>
      <w:r>
        <w:rPr>
          <w:i/>
          <w:iCs/>
        </w:rPr>
        <w:t xml:space="preserve">{\mathrm{anom}}$ like an operator. Earlier, $\mathbf{S}</w:t>
      </w:r>
      <w:r>
        <w:t xml:space="preserve">}}$ was defined as $\nabla^2 J_t$</w:t>
      </w:r>
      <w:hyperlink r:id="rId33">
        <w:r>
          <w:rPr>
            <w:rStyle w:val="Hyperlink"/>
          </w:rPr>
          <w:t xml:space="preserve">[13]</w:t>
        </w:r>
      </w:hyperlink>
      <w:r>
        <w:t xml:space="preserve">, essentially a function (or operator) on the space of fields. It’s fine, but some readers might wonder if $\mathbf{S</w:t>
      </w:r>
      <w:r>
        <w:rPr>
          <w:i/>
          <w:iCs/>
        </w:rPr>
        <w:t xml:space="preserve">{\mathrm{anom}}$ denotes an operator (the Hessian of anomaly) or a bilinear form. Clarifying that $\mathbf{S}</w:t>
      </w:r>
      <w:r>
        <w:t xml:space="preserve"> </w:t>
      </w:r>
      <w:r>
        <w:t xml:space="preserve">v\rangle$) would be a nicety for mathematical precision.}}$ has an interpretation as a curvature form on field space (hence can be inserted in $\langle v, \mathbf{S}_{\mathrm{anom}</w:t>
      </w:r>
    </w:p>
    <w:p>
      <w:pPr>
        <w:numPr>
          <w:ilvl w:val="0"/>
          <w:numId w:val="1007"/>
        </w:numPr>
      </w:pPr>
      <w:r>
        <w:rPr>
          <w:b/>
          <w:bCs/>
        </w:rPr>
        <w:t xml:space="preserve">Recommendations for Robustness:</w:t>
      </w:r>
      <w:r>
        <w:t xml:space="preserve"> </w:t>
      </w:r>
      <w:r>
        <w:t xml:space="preserve">To make the architecture more robust towards a Clay-level solution, the authors might consider:</w:t>
      </w:r>
    </w:p>
    <w:p>
      <w:pPr>
        <w:pStyle w:val="Compact"/>
        <w:numPr>
          <w:ilvl w:val="0"/>
          <w:numId w:val="1007"/>
        </w:numPr>
      </w:pPr>
      <w:r>
        <w:rPr>
          <w:b/>
          <w:bCs/>
        </w:rPr>
        <w:t xml:space="preserve">Identifying any redundancies or alternate routes:</w:t>
      </w:r>
      <w:r>
        <w:t xml:space="preserve"> </w:t>
      </w:r>
      <w:r>
        <w:t xml:space="preserve">For instance, if Conjecture B proves too difficult, is there a plan B? Could one get by with a weaker statement, or does numeric evidence suffice to push through a different inequality (like an “LSI with large constant” scenario)? Addressing such questions in discussion form would show foresight.</w:t>
      </w:r>
    </w:p>
    <w:p>
      <w:pPr>
        <w:pStyle w:val="Compact"/>
        <w:numPr>
          <w:ilvl w:val="0"/>
          <w:numId w:val="1007"/>
        </w:numPr>
      </w:pPr>
      <w:r>
        <w:rPr>
          <w:b/>
          <w:bCs/>
        </w:rPr>
        <w:t xml:space="preserve">Strengthening links between conjectures:</w:t>
      </w:r>
      <w:r>
        <w:t xml:space="preserve"> </w:t>
      </w:r>
      <w:r>
        <w:t xml:space="preserve">E.g., if Conjecture A were partially proven (there is literature on renormalization of Wilson loop operators), combining that with lattice results might secure existence of the continuum measure and some parts of Conjecture C. Emphasizing these partial progress areas could attract specialized researchers to tackle each conjecture.</w:t>
      </w:r>
    </w:p>
    <w:p>
      <w:pPr>
        <w:pStyle w:val="Compact"/>
        <w:numPr>
          <w:ilvl w:val="0"/>
          <w:numId w:val="1007"/>
        </w:numPr>
      </w:pPr>
      <w:r>
        <w:rPr>
          <w:b/>
          <w:bCs/>
        </w:rPr>
        <w:t xml:space="preserve">Ensuring no conjecture is implicitly assuming another:</w:t>
      </w:r>
      <w:r>
        <w:t xml:space="preserve"> </w:t>
      </w:r>
      <w:r>
        <w:t xml:space="preserve">They’ve done well here; each conjecture is relatively independent. Just verifying, for example, that Conjecture B’s assumption of projecting to horizontal subspace doesn’t secretly require Conjecture C (the authors do mention “after appropriate renormalization and projection”</w:t>
      </w:r>
      <w:hyperlink r:id="rId36">
        <w:r>
          <w:rPr>
            <w:rStyle w:val="Hyperlink"/>
          </w:rPr>
          <w:t xml:space="preserve">[16]</w:t>
        </w:r>
      </w:hyperlink>
      <w:r>
        <w:t xml:space="preserve"> </w:t>
      </w:r>
      <w:r>
        <w:t xml:space="preserve">which indeed assumes we can ignore vertical/reducible parts). They might explicitly say “assuming Conjecture C, one can restrict to horizontal subspace, then Conjecture B is meaningful.” This would tighten the logical clarity that C is needed before B can be fully formalized.</w:t>
      </w:r>
    </w:p>
    <w:p>
      <w:pPr>
        <w:pStyle w:val="FirstParagraph"/>
      </w:pPr>
      <w:r>
        <w:t xml:space="preserve">In conclusion, the overall presentation of the white paper is strong, with a clear structure and thorough content. The suggestions above are relatively minor and aimed at polishing an already well-organized document. By refining terminology, explicitly mapping the parts of the argument to each other, and maybe adding a bit more explanatory or reference material, the authors can make the work more accessible and rigorous. Given that the goal is a “Clay-level solution,” attention to these presentation details will also be important — the final product must convince a broad panel of experts. This critique finds that with a few enhancements, the document will be in excellent shape to serve as a roadmap for solving the YM mass gap problem.</w:t>
      </w:r>
    </w:p>
    <w:p>
      <w:pPr>
        <w:pStyle w:val="BodyText"/>
      </w:pPr>
      <w:r>
        <w:rPr>
          <w:b/>
          <w:bCs/>
        </w:rPr>
        <w:t xml:space="preserve">Strengths vs Weaknesses Summary:</w:t>
      </w:r>
      <w:r>
        <w:t xml:space="preserve"> </w:t>
      </w:r>
      <w:r>
        <w:t xml:space="preserve">In sum, the document’s strengths lie in its comprehensive approach, clear identification of problems (UV, IR, topology, geometry, lattice) and its honesty about conjectural elements. Its weaknesses are primarily the steep conjectures that remain to be proven and some minor presentation issues that could obscure meaning. By addressing the noted refinements — especially clarifying assumptions and ensuring consistent notation — the authors can improve readability and scientific precision, thus making the architecture more robust and readily actionable by experts working to fill in the gaps.</w:t>
      </w:r>
    </w:p>
    <w:bookmarkEnd w:id="123"/>
    <w:bookmarkEnd w:id="124"/>
    <w:bookmarkEnd w:id="125"/>
    <w:p>
      <w:r>
        <w:pict>
          <v:rect style="width:0;height:1.5pt" o:hralign="center" o:hrstd="t" o:hr="t"/>
        </w:pict>
      </w:r>
    </w:p>
    <w:bookmarkStart w:id="12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1">
        <w:r>
          <w:rPr>
            <w:rStyle w:val="Hyperlink"/>
          </w:rPr>
          <w:t xml:space="preserve">[32]</w:t>
        </w:r>
      </w:hyperlink>
      <w:r>
        <w:t xml:space="preserve"> </w:t>
      </w:r>
      <w:hyperlink r:id="rId52">
        <w:r>
          <w:rPr>
            <w:rStyle w:val="Hyperlink"/>
          </w:rPr>
          <w:t xml:space="preserve">[33]</w:t>
        </w:r>
      </w:hyperlink>
      <w:r>
        <w:t xml:space="preserve"> </w:t>
      </w:r>
      <w:hyperlink r:id="rId53">
        <w:r>
          <w:rPr>
            <w:rStyle w:val="Hyperlink"/>
          </w:rPr>
          <w:t xml:space="preserve">[34]</w:t>
        </w:r>
      </w:hyperlink>
      <w:r>
        <w:t xml:space="preserve"> </w:t>
      </w:r>
      <w:hyperlink r:id="rId49">
        <w:r>
          <w:rPr>
            <w:rStyle w:val="Hyperlink"/>
          </w:rPr>
          <w:t xml:space="preserve">[35]</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1">
        <w:r>
          <w:rPr>
            <w:rStyle w:val="Hyperlink"/>
          </w:rPr>
          <w:t xml:space="preserve">[43]</w:t>
        </w:r>
      </w:hyperlink>
      <w:r>
        <w:t xml:space="preserve"> </w:t>
      </w:r>
      <w:hyperlink r:id="rId62">
        <w:r>
          <w:rPr>
            <w:rStyle w:val="Hyperlink"/>
          </w:rPr>
          <w:t xml:space="preserve">[44]</w:t>
        </w:r>
      </w:hyperlink>
      <w:r>
        <w:t xml:space="preserve"> </w:t>
      </w:r>
      <w:hyperlink r:id="rId63">
        <w:r>
          <w:rPr>
            <w:rStyle w:val="Hyperlink"/>
          </w:rPr>
          <w:t xml:space="preserve">[45]</w:t>
        </w:r>
      </w:hyperlink>
      <w:r>
        <w:t xml:space="preserve"> </w:t>
      </w:r>
      <w:hyperlink r:id="rId64">
        <w:r>
          <w:rPr>
            <w:rStyle w:val="Hyperlink"/>
          </w:rPr>
          <w:t xml:space="preserve">[46]</w:t>
        </w:r>
      </w:hyperlink>
      <w:r>
        <w:t xml:space="preserve"> </w:t>
      </w:r>
      <w:hyperlink r:id="rId65">
        <w:r>
          <w:rPr>
            <w:rStyle w:val="Hyperlink"/>
          </w:rPr>
          <w:t xml:space="preserve">[47]</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68">
        <w:r>
          <w:rPr>
            <w:rStyle w:val="Hyperlink"/>
          </w:rPr>
          <w:t xml:space="preserve">[50]</w:t>
        </w:r>
      </w:hyperlink>
      <w:r>
        <w:t xml:space="preserve"> </w:t>
      </w:r>
      <w:hyperlink r:id="rId70">
        <w:r>
          <w:rPr>
            <w:rStyle w:val="Hyperlink"/>
          </w:rPr>
          <w:t xml:space="preserve">[51]</w:t>
        </w:r>
      </w:hyperlink>
      <w:r>
        <w:t xml:space="preserve"> </w:t>
      </w:r>
      <w:hyperlink r:id="rId71">
        <w:r>
          <w:rPr>
            <w:rStyle w:val="Hyperlink"/>
          </w:rPr>
          <w:t xml:space="preserve">[52]</w:t>
        </w:r>
      </w:hyperlink>
      <w:r>
        <w:t xml:space="preserve"> </w:t>
      </w:r>
      <w:hyperlink r:id="rId72">
        <w:r>
          <w:rPr>
            <w:rStyle w:val="Hyperlink"/>
          </w:rPr>
          <w:t xml:space="preserve">[53]</w:t>
        </w:r>
      </w:hyperlink>
      <w:r>
        <w:t xml:space="preserve"> </w:t>
      </w:r>
      <w:hyperlink r:id="rId73">
        <w:r>
          <w:rPr>
            <w:rStyle w:val="Hyperlink"/>
          </w:rPr>
          <w:t xml:space="preserve">[54]</w:t>
        </w:r>
      </w:hyperlink>
      <w:r>
        <w:t xml:space="preserve"> </w:t>
      </w:r>
      <w:hyperlink r:id="rId75">
        <w:r>
          <w:rPr>
            <w:rStyle w:val="Hyperlink"/>
          </w:rPr>
          <w:t xml:space="preserve">[55]</w:t>
        </w:r>
      </w:hyperlink>
      <w:r>
        <w:t xml:space="preserve"> </w:t>
      </w:r>
      <w:hyperlink r:id="rId76">
        <w:r>
          <w:rPr>
            <w:rStyle w:val="Hyperlink"/>
          </w:rPr>
          <w:t xml:space="preserve">[56]</w:t>
        </w:r>
      </w:hyperlink>
      <w:r>
        <w:t xml:space="preserve"> </w:t>
      </w:r>
      <w:hyperlink r:id="rId77">
        <w:r>
          <w:rPr>
            <w:rStyle w:val="Hyperlink"/>
          </w:rPr>
          <w:t xml:space="preserve">[57]</w:t>
        </w:r>
      </w:hyperlink>
      <w:r>
        <w:t xml:space="preserve"> </w:t>
      </w:r>
      <w:hyperlink r:id="rId78">
        <w:r>
          <w:rPr>
            <w:rStyle w:val="Hyperlink"/>
          </w:rPr>
          <w:t xml:space="preserve">[58]</w:t>
        </w:r>
      </w:hyperlink>
      <w:r>
        <w:t xml:space="preserve"> </w:t>
      </w:r>
      <w:hyperlink r:id="rId79">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hyperlink r:id="rId83">
        <w:r>
          <w:rPr>
            <w:rStyle w:val="Hyperlink"/>
          </w:rPr>
          <w:t xml:space="preserve">[63]</w:t>
        </w:r>
      </w:hyperlink>
      <w:r>
        <w:t xml:space="preserve"> </w:t>
      </w:r>
      <w:hyperlink r:id="rId83">
        <w:r>
          <w:rPr>
            <w:rStyle w:val="Hyperlink"/>
          </w:rPr>
          <w:t xml:space="preserve">[64]</w:t>
        </w:r>
      </w:hyperlink>
      <w:r>
        <w:t xml:space="preserve"> </w:t>
      </w:r>
      <w:hyperlink r:id="rId84">
        <w:r>
          <w:rPr>
            <w:rStyle w:val="Hyperlink"/>
          </w:rPr>
          <w:t xml:space="preserve">[65]</w:t>
        </w:r>
      </w:hyperlink>
      <w:r>
        <w:t xml:space="preserve"> </w:t>
      </w:r>
      <w:hyperlink r:id="rId85">
        <w:r>
          <w:rPr>
            <w:rStyle w:val="Hyperlink"/>
          </w:rPr>
          <w:t xml:space="preserve">[66]</w:t>
        </w:r>
      </w:hyperlink>
      <w:r>
        <w:t xml:space="preserve"> </w:t>
      </w:r>
      <w:hyperlink r:id="rId86">
        <w:r>
          <w:rPr>
            <w:rStyle w:val="Hyperlink"/>
          </w:rPr>
          <w:t xml:space="preserve">[67]</w:t>
        </w:r>
      </w:hyperlink>
      <w:r>
        <w:t xml:space="preserve"> </w:t>
      </w:r>
      <w:hyperlink r:id="rId87">
        <w:r>
          <w:rPr>
            <w:rStyle w:val="Hyperlink"/>
          </w:rPr>
          <w:t xml:space="preserve">[68]</w:t>
        </w:r>
      </w:hyperlink>
      <w:r>
        <w:t xml:space="preserve"> </w:t>
      </w:r>
      <w:hyperlink r:id="rId88">
        <w:r>
          <w:rPr>
            <w:rStyle w:val="Hyperlink"/>
          </w:rPr>
          <w:t xml:space="preserve">[69]</w:t>
        </w:r>
      </w:hyperlink>
      <w:r>
        <w:t xml:space="preserve"> </w:t>
      </w:r>
      <w:hyperlink r:id="rId89">
        <w:r>
          <w:rPr>
            <w:rStyle w:val="Hyperlink"/>
          </w:rPr>
          <w:t xml:space="preserve">[70]</w:t>
        </w:r>
      </w:hyperlink>
      <w:r>
        <w:t xml:space="preserve"> </w:t>
      </w:r>
      <w:hyperlink r:id="rId90">
        <w:r>
          <w:rPr>
            <w:rStyle w:val="Hyperlink"/>
          </w:rPr>
          <w:t xml:space="preserve">[71]</w:t>
        </w:r>
      </w:hyperlink>
      <w:r>
        <w:t xml:space="preserve"> </w:t>
      </w:r>
      <w:hyperlink r:id="rId91">
        <w:r>
          <w:rPr>
            <w:rStyle w:val="Hyperlink"/>
          </w:rPr>
          <w:t xml:space="preserve">[72]</w:t>
        </w:r>
      </w:hyperlink>
      <w:r>
        <w:t xml:space="preserve"> </w:t>
      </w:r>
      <w:hyperlink r:id="rId92">
        <w:r>
          <w:rPr>
            <w:rStyle w:val="Hyperlink"/>
          </w:rPr>
          <w:t xml:space="preserve">[73]</w:t>
        </w:r>
      </w:hyperlink>
      <w:r>
        <w:t xml:space="preserve"> </w:t>
      </w:r>
      <w:hyperlink r:id="rId93">
        <w:r>
          <w:rPr>
            <w:rStyle w:val="Hyperlink"/>
          </w:rPr>
          <w:t xml:space="preserve">[74]</w:t>
        </w:r>
      </w:hyperlink>
      <w:r>
        <w:t xml:space="preserve"> </w:t>
      </w:r>
      <w:hyperlink r:id="rId94">
        <w:r>
          <w:rPr>
            <w:rStyle w:val="Hyperlink"/>
          </w:rPr>
          <w:t xml:space="preserve">[75]</w:t>
        </w:r>
      </w:hyperlink>
      <w:r>
        <w:t xml:space="preserve"> </w:t>
      </w:r>
      <w:hyperlink r:id="rId95">
        <w:r>
          <w:rPr>
            <w:rStyle w:val="Hyperlink"/>
          </w:rPr>
          <w:t xml:space="preserve">[76]</w:t>
        </w:r>
      </w:hyperlink>
      <w:r>
        <w:t xml:space="preserve"> </w:t>
      </w:r>
      <w:hyperlink r:id="rId96">
        <w:r>
          <w:rPr>
            <w:rStyle w:val="Hyperlink"/>
          </w:rPr>
          <w:t xml:space="preserve">[77]</w:t>
        </w:r>
      </w:hyperlink>
      <w:r>
        <w:t xml:space="preserve"> </w:t>
      </w:r>
      <w:hyperlink r:id="rId97">
        <w:r>
          <w:rPr>
            <w:rStyle w:val="Hyperlink"/>
          </w:rPr>
          <w:t xml:space="preserve">[78]</w:t>
        </w:r>
      </w:hyperlink>
      <w:r>
        <w:t xml:space="preserve"> </w:t>
      </w:r>
      <w:hyperlink r:id="rId98">
        <w:r>
          <w:rPr>
            <w:rStyle w:val="Hyperlink"/>
          </w:rPr>
          <w:t xml:space="preserve">[79]</w:t>
        </w:r>
      </w:hyperlink>
      <w:r>
        <w:t xml:space="preserve"> </w:t>
      </w:r>
      <w:hyperlink r:id="rId99">
        <w:r>
          <w:rPr>
            <w:rStyle w:val="Hyperlink"/>
          </w:rPr>
          <w:t xml:space="preserve">[80]</w:t>
        </w:r>
      </w:hyperlink>
      <w:r>
        <w:t xml:space="preserve"> </w:t>
      </w:r>
      <w:hyperlink r:id="rId101">
        <w:r>
          <w:rPr>
            <w:rStyle w:val="Hyperlink"/>
          </w:rPr>
          <w:t xml:space="preserve">[81]</w:t>
        </w:r>
      </w:hyperlink>
      <w:r>
        <w:t xml:space="preserve"> </w:t>
      </w:r>
      <w:hyperlink r:id="rId102">
        <w:r>
          <w:rPr>
            <w:rStyle w:val="Hyperlink"/>
          </w:rPr>
          <w:t xml:space="preserve">[82]</w:t>
        </w:r>
      </w:hyperlink>
      <w:r>
        <w:t xml:space="preserve"> </w:t>
      </w:r>
      <w:hyperlink r:id="rId103">
        <w:r>
          <w:rPr>
            <w:rStyle w:val="Hyperlink"/>
          </w:rPr>
          <w:t xml:space="preserve">[83]</w:t>
        </w:r>
      </w:hyperlink>
      <w:r>
        <w:t xml:space="preserve"> </w:t>
      </w:r>
      <w:hyperlink r:id="rId66">
        <w:r>
          <w:rPr>
            <w:rStyle w:val="Hyperlink"/>
          </w:rPr>
          <w:t xml:space="preserve">[84]</w:t>
        </w:r>
      </w:hyperlink>
      <w:r>
        <w:t xml:space="preserve"> </w:t>
      </w:r>
      <w:hyperlink r:id="rId104">
        <w:r>
          <w:rPr>
            <w:rStyle w:val="Hyperlink"/>
          </w:rPr>
          <w:t xml:space="preserve">[85]</w:t>
        </w:r>
      </w:hyperlink>
      <w:r>
        <w:t xml:space="preserve"> </w:t>
      </w:r>
      <w:hyperlink r:id="rId105">
        <w:r>
          <w:rPr>
            <w:rStyle w:val="Hyperlink"/>
          </w:rPr>
          <w:t xml:space="preserve">[86]</w:t>
        </w:r>
      </w:hyperlink>
      <w:r>
        <w:t xml:space="preserve"> </w:t>
      </w:r>
      <w:hyperlink r:id="rId106">
        <w:r>
          <w:rPr>
            <w:rStyle w:val="Hyperlink"/>
          </w:rPr>
          <w:t xml:space="preserve">[87]</w:t>
        </w:r>
      </w:hyperlink>
      <w:r>
        <w:t xml:space="preserve"> </w:t>
      </w:r>
      <w:hyperlink r:id="rId102">
        <w:r>
          <w:rPr>
            <w:rStyle w:val="Hyperlink"/>
          </w:rPr>
          <w:t xml:space="preserve">[88]</w:t>
        </w:r>
      </w:hyperlink>
      <w:r>
        <w:t xml:space="preserve"> </w:t>
      </w:r>
      <w:hyperlink r:id="rId107">
        <w:r>
          <w:rPr>
            <w:rStyle w:val="Hyperlink"/>
          </w:rPr>
          <w:t xml:space="preserve">[89]</w:t>
        </w:r>
      </w:hyperlink>
      <w:r>
        <w:t xml:space="preserve"> </w:t>
      </w:r>
      <w:hyperlink r:id="rId108">
        <w:r>
          <w:rPr>
            <w:rStyle w:val="Hyperlink"/>
          </w:rPr>
          <w:t xml:space="preserve">[90]</w:t>
        </w:r>
      </w:hyperlink>
      <w:r>
        <w:t xml:space="preserve"> </w:t>
      </w:r>
      <w:hyperlink r:id="rId106">
        <w:r>
          <w:rPr>
            <w:rStyle w:val="Hyperlink"/>
          </w:rPr>
          <w:t xml:space="preserve">[91]</w:t>
        </w:r>
      </w:hyperlink>
      <w:r>
        <w:t xml:space="preserve"> </w:t>
      </w:r>
      <w:hyperlink r:id="rId109">
        <w:r>
          <w:rPr>
            <w:rStyle w:val="Hyperlink"/>
          </w:rPr>
          <w:t xml:space="preserve">[92]</w:t>
        </w:r>
      </w:hyperlink>
      <w:r>
        <w:t xml:space="preserve"> </w:t>
      </w:r>
      <w:hyperlink r:id="rId110">
        <w:r>
          <w:rPr>
            <w:rStyle w:val="Hyperlink"/>
          </w:rPr>
          <w:t xml:space="preserve">[93]</w:t>
        </w:r>
      </w:hyperlink>
      <w:r>
        <w:t xml:space="preserve"> </w:t>
      </w:r>
      <w:hyperlink r:id="rId111">
        <w:r>
          <w:rPr>
            <w:rStyle w:val="Hyperlink"/>
          </w:rPr>
          <w:t xml:space="preserve">[94]</w:t>
        </w:r>
      </w:hyperlink>
      <w:r>
        <w:t xml:space="preserve"> </w:t>
      </w:r>
      <w:hyperlink r:id="rId112">
        <w:r>
          <w:rPr>
            <w:rStyle w:val="Hyperlink"/>
          </w:rPr>
          <w:t xml:space="preserve">[95]</w:t>
        </w:r>
      </w:hyperlink>
      <w:r>
        <w:t xml:space="preserve"> </w:t>
      </w:r>
      <w:hyperlink r:id="rId113">
        <w:r>
          <w:rPr>
            <w:rStyle w:val="Hyperlink"/>
          </w:rPr>
          <w:t xml:space="preserve">[96]</w:t>
        </w:r>
      </w:hyperlink>
      <w:r>
        <w:t xml:space="preserve"> </w:t>
      </w:r>
      <w:hyperlink r:id="rId45">
        <w:r>
          <w:rPr>
            <w:rStyle w:val="Hyperlink"/>
          </w:rPr>
          <w:t xml:space="preserve">[97]</w:t>
        </w:r>
      </w:hyperlink>
      <w:r>
        <w:t xml:space="preserve"> </w:t>
      </w:r>
      <w:hyperlink r:id="rId114">
        <w:r>
          <w:rPr>
            <w:rStyle w:val="Hyperlink"/>
          </w:rPr>
          <w:t xml:space="preserve">[98]</w:t>
        </w:r>
      </w:hyperlink>
      <w:r>
        <w:t xml:space="preserve"> </w:t>
      </w:r>
      <w:hyperlink r:id="rId115">
        <w:r>
          <w:rPr>
            <w:rStyle w:val="Hyperlink"/>
          </w:rPr>
          <w:t xml:space="preserve">[99]</w:t>
        </w:r>
      </w:hyperlink>
      <w:r>
        <w:t xml:space="preserve"> </w:t>
      </w:r>
      <w:hyperlink r:id="rId116">
        <w:r>
          <w:rPr>
            <w:rStyle w:val="Hyperlink"/>
          </w:rPr>
          <w:t xml:space="preserve">[100]</w:t>
        </w:r>
      </w:hyperlink>
      <w:r>
        <w:t xml:space="preserve"> </w:t>
      </w:r>
      <w:hyperlink r:id="rId118">
        <w:r>
          <w:rPr>
            <w:rStyle w:val="Hyperlink"/>
          </w:rPr>
          <w:t xml:space="preserve">[101]</w:t>
        </w:r>
      </w:hyperlink>
      <w:r>
        <w:t xml:space="preserve"> </w:t>
      </w:r>
      <w:hyperlink r:id="rId119">
        <w:r>
          <w:rPr>
            <w:rStyle w:val="Hyperlink"/>
          </w:rPr>
          <w:t xml:space="preserve">[102]</w:t>
        </w:r>
      </w:hyperlink>
      <w:r>
        <w:t xml:space="preserve"> </w:t>
      </w:r>
      <w:hyperlink r:id="rId120">
        <w:r>
          <w:rPr>
            <w:rStyle w:val="Hyperlink"/>
          </w:rPr>
          <w:t xml:space="preserve">[103]</w:t>
        </w:r>
      </w:hyperlink>
      <w:r>
        <w:t xml:space="preserve"> </w:t>
      </w:r>
      <w:hyperlink r:id="rId121">
        <w:r>
          <w:rPr>
            <w:rStyle w:val="Hyperlink"/>
          </w:rPr>
          <w:t xml:space="preserve">[104]</w:t>
        </w:r>
      </w:hyperlink>
      <w:r>
        <w:t xml:space="preserve"> </w:t>
      </w:r>
      <w:hyperlink r:id="rId122">
        <w:r>
          <w:rPr>
            <w:rStyle w:val="Hyperlink"/>
          </w:rPr>
          <w:t xml:space="preserve">[105]</w:t>
        </w:r>
      </w:hyperlink>
      <w:r>
        <w:t xml:space="preserve"> </w:t>
      </w:r>
      <w:r>
        <w:t xml:space="preserve">YM_MassGap_WhitePaper_v3_1_Dynamic_Constructive_Detailed.md</w:t>
      </w:r>
    </w:p>
    <w:p>
      <w:pPr>
        <w:pStyle w:val="BodyText"/>
      </w:pPr>
      <w:hyperlink r:id="rId126">
        <w:r>
          <w:rPr>
            <w:rStyle w:val="Hyperlink"/>
          </w:rPr>
          <w:t xml:space="preserve">file://file_0000000012187230adca322938214439</w:t>
        </w:r>
      </w:hyperlink>
    </w:p>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file://file_0000000012187230adca322938214439" TargetMode="External" /><Relationship Type="http://schemas.openxmlformats.org/officeDocument/2006/relationships/hyperlink" Id="rId23" Target="file://file_0000000012187230adca322938214439#:~:text=%3E%20%2A%2AConjecture%20D%20%28Local,observable%20subspace%20%5C%28%5Cmathcal%7BH%7D_%7B%5Cmathrm%7Bloc%7D%7D%5C%29." TargetMode="External" /><Relationship Type="http://schemas.openxmlformats.org/officeDocument/2006/relationships/hyperlink" Id="rId59" Target="file://file_0000000012187230adca322938214439#:~:text=%3E%20%2A%2AConjecture%20IR%E2%80%931%20%28Sectorwise%20Curvature,to%20the%20physical%20mass%20gap" TargetMode="External" /><Relationship Type="http://schemas.openxmlformats.org/officeDocument/2006/relationships/hyperlink" Id="rId63" Target="file://file_0000000012187230adca322938214439#:~:text=%3E%20%2A%2ALocal," TargetMode="External" /><Relationship Type="http://schemas.openxmlformats.org/officeDocument/2006/relationships/hyperlink" Id="rId103" Target="file://file_0000000012187230adca322938214439#:~:text=%3E%20," TargetMode="External" /><Relationship Type="http://schemas.openxmlformats.org/officeDocument/2006/relationships/hyperlink" Id="rId35" Target="file://file_0000000012187230adca322938214439#:~:text=%3E%20,2" TargetMode="External" /><Relationship Type="http://schemas.openxmlformats.org/officeDocument/2006/relationships/hyperlink" Id="rId67" Target="file://file_0000000012187230adca322938214439#:~:text=%3E%20,Dominant%20for%20Local%20Observables" TargetMode="External" /><Relationship Type="http://schemas.openxmlformats.org/officeDocument/2006/relationships/hyperlink" Id="rId36" Target="file://file_0000000012187230adca322938214439#:~:text=%3E%20,and%20of%20the" TargetMode="External" /><Relationship Type="http://schemas.openxmlformats.org/officeDocument/2006/relationships/hyperlink" Id="rId89" Target="file://file_0000000012187230adca322938214439#:~:text=%3E%20,are%20dynamically%20and%20analytically%20negligible" TargetMode="External" /><Relationship Type="http://schemas.openxmlformats.org/officeDocument/2006/relationships/hyperlink" Id="rId114" Target="file://file_0000000012187230adca322938214439#:~:text=%5C%28%5Clambda_%7B%5Cmathrm%7Bloc%7D%7D%3E0%5C%29%20holds%20on%20the%20local,0" TargetMode="External" /><Relationship Type="http://schemas.openxmlformats.org/officeDocument/2006/relationships/hyperlink" Id="rId111" Target="file://file_0000000012187230adca322938214439#:~:text=%5C%28%5Clambda_%7B%5Cmathrm%7Btop%7D%7D%5Cll%5Clambda_%7B%5Cmathrm%7Bloc%7D%7D%5C%29%20for%20%5C%28,point%20Schwinger%20functions" TargetMode="External" /><Relationship Type="http://schemas.openxmlformats.org/officeDocument/2006/relationships/hyperlink" Id="rId54" Target="file://file_0000000012187230adca322938214439#:~:text=%5C%28%5Cmathcal%7BM%7D%5C%29%20is%20" TargetMode="External" /><Relationship Type="http://schemas.openxmlformats.org/officeDocument/2006/relationships/hyperlink" Id="rId113" Target="file://file_0000000012187230adca322938214439#:~:text=%5C%28L,point%20Schwinger%20functions" TargetMode="External" /><Relationship Type="http://schemas.openxmlformats.org/officeDocument/2006/relationships/hyperlink" Id="rId78" Target="file://file_0000000012187230adca322938214439#:~:text=%5C%5B%20%5Crho%28A%29%20%3D%20%5Cdet%5Cleft%28%20%5Cfrac,ad%7D_A%5C%29%20is%20the%20adjoint%20action" TargetMode="External" /><Relationship Type="http://schemas.openxmlformats.org/officeDocument/2006/relationships/hyperlink" Id="rId121" Target="file://file_0000000012187230adca322938214439#:~:text=%5Cpartial_%5Ctau%20A%20%3D%20,where" TargetMode="External" /><Relationship Type="http://schemas.openxmlformats.org/officeDocument/2006/relationships/hyperlink" Id="rId66" Target="file://file_0000000012187230adca322938214439#:~:text=," TargetMode="External" /><Relationship Type="http://schemas.openxmlformats.org/officeDocument/2006/relationships/hyperlink" Id="rId50" Target="file://file_0000000012187230adca322938214439#:~:text=,%E2%87%92%20UV%20roughness%20is%20%E2%80%9Cmild%E2%80%9D" TargetMode="External" /><Relationship Type="http://schemas.openxmlformats.org/officeDocument/2006/relationships/hyperlink" Id="rId45" Target="file://file_0000000012187230adca322938214439#:~:text=,0" TargetMode="External" /><Relationship Type="http://schemas.openxmlformats.org/officeDocument/2006/relationships/hyperlink" Id="rId108" Target="file://file_0000000012187230adca322938214439#:~:text=,1%20hypersurfaces%20have%20positive%20capacity" TargetMode="External" /><Relationship Type="http://schemas.openxmlformats.org/officeDocument/2006/relationships/hyperlink" Id="rId52" Target="file://file_0000000012187230adca322938214439#:~:text=,1%2F2%7D%5CLambda_%7B%5Cmathrm%7BQCD" TargetMode="External" /><Relationship Type="http://schemas.openxmlformats.org/officeDocument/2006/relationships/hyperlink" Id="rId42" Target="file://file_0000000012187230adca322938214439#:~:text=,Delta%20V%7D%5C%29%20%28Eyring%E2%80%93Kramers" TargetMode="External" /><Relationship Type="http://schemas.openxmlformats.org/officeDocument/2006/relationships/hyperlink" Id="rId25" Target="file://file_0000000012187230adca322938214439#:~:text=,L%29%5Csubset%5C%7B0%5C%7D%5Ccup%5B%5Clambda%2C%5Cinfty" TargetMode="External" /><Relationship Type="http://schemas.openxmlformats.org/officeDocument/2006/relationships/hyperlink" Id="rId122" Target="file://file_0000000012187230adca322938214439#:~:text=,S_W%28U%29%7D." TargetMode="External" /><Relationship Type="http://schemas.openxmlformats.org/officeDocument/2006/relationships/hyperlink" Id="rId58" Target="file://file_0000000012187230adca322938214439#:~:text=,Sigma" TargetMode="External" /><Relationship Type="http://schemas.openxmlformats.org/officeDocument/2006/relationships/hyperlink" Id="rId97" Target="file://file_0000000012187230adca322938214439#:~:text=,a%20nonzero%20physical%20mass%20gap" TargetMode="External" /><Relationship Type="http://schemas.openxmlformats.org/officeDocument/2006/relationships/hyperlink" Id="rId110" Target="file://file_0000000012187230adca322938214439#:~:text=,are%20dynamically%20and%20analytically%20negligible" TargetMode="External" /><Relationship Type="http://schemas.openxmlformats.org/officeDocument/2006/relationships/hyperlink" Id="rId99" Target="file://file_0000000012187230adca322938214439#:~:text=,at%20each%20finite%20lattice%20spacing" TargetMode="External" /><Relationship Type="http://schemas.openxmlformats.org/officeDocument/2006/relationships/hyperlink" Id="rId61" Target="file://file_0000000012187230adca322938214439#:~:text=,be%20dominated%20by%20topological%20tunneling" TargetMode="External" /><Relationship Type="http://schemas.openxmlformats.org/officeDocument/2006/relationships/hyperlink" Id="rId49" Target="file://file_0000000012187230adca322938214439#:~:text=,be%20ignored%20in%20functional%20inequalities" TargetMode="External" /><Relationship Type="http://schemas.openxmlformats.org/officeDocument/2006/relationships/hyperlink" Id="rId55" Target="file://file_0000000012187230adca322938214439#:~:text=,codimension%20submanifolds" TargetMode="External" /><Relationship Type="http://schemas.openxmlformats.org/officeDocument/2006/relationships/hyperlink" Id="rId38" Target="file://file_0000000012187230adca322938214439#:~:text=,curvature%20from%20decaying%20to%20zero" TargetMode="External" /><Relationship Type="http://schemas.openxmlformats.org/officeDocument/2006/relationships/hyperlink" Id="rId85" Target="file://file_0000000012187230adca322938214439#:~:text=,excitations%20in%20each%20polarity%20sector" TargetMode="External" /><Relationship Type="http://schemas.openxmlformats.org/officeDocument/2006/relationships/hyperlink" Id="rId120" Target="file://file_0000000012187230adca322938214439#:~:text=,flow%20for%20the%20effective%20action" TargetMode="External" /><Relationship Type="http://schemas.openxmlformats.org/officeDocument/2006/relationships/hyperlink" Id="rId72" Target="file://file_0000000012187230adca322938214439#:~:text=,for%20local%20loops" TargetMode="External" /><Relationship Type="http://schemas.openxmlformats.org/officeDocument/2006/relationships/hyperlink" Id="rId57" Target="file://file_0000000012187230adca322938214439#:~:text=,functional%20inequalities%20in%20the%20IR" TargetMode="External" /><Relationship Type="http://schemas.openxmlformats.org/officeDocument/2006/relationships/hyperlink" Id="rId21" Target="file://file_0000000012187230adca322938214439#:~:text=,in%20a%20suitable%20Sobolev%20sense" TargetMode="External" /><Relationship Type="http://schemas.openxmlformats.org/officeDocument/2006/relationships/hyperlink" Id="rId27" Target="file://file_0000000012187230adca322938214439#:~:text=,is%20the%20corresponding%20gradient" TargetMode="External" /><Relationship Type="http://schemas.openxmlformats.org/officeDocument/2006/relationships/hyperlink" Id="rId56" Target="file://file_0000000012187230adca322938214439#:~:text=,physical%20scale%20after%20RG%20improvement" TargetMode="External" /><Relationship Type="http://schemas.openxmlformats.org/officeDocument/2006/relationships/hyperlink" Id="rId60" Target="file://file_0000000012187230adca322938214439#:~:text=,point%20Schwinger%20functions" TargetMode="External" /><Relationship Type="http://schemas.openxmlformats.org/officeDocument/2006/relationships/hyperlink" Id="rId92" Target="file://file_0000000012187230adca322938214439#:~:text=,polarity%20glueballs" TargetMode="External" /><Relationship Type="http://schemas.openxmlformats.org/officeDocument/2006/relationships/hyperlink" Id="rId51" Target="file://file_0000000012187230adca322938214439#:~:text=,positive%20curvature%20fixed%20point" TargetMode="External" /><Relationship Type="http://schemas.openxmlformats.org/officeDocument/2006/relationships/hyperlink" Id="rId62" Target="file://file_0000000012187230adca322938214439#:~:text=,space%20generated%20by%20local%20fields" TargetMode="External" /><Relationship Type="http://schemas.openxmlformats.org/officeDocument/2006/relationships/hyperlink" Id="rId87" Target="file://file_0000000012187230adca322938214439#:~:text=,under%20%5C%28%5Cmathcal%7BC" TargetMode="External" /><Relationship Type="http://schemas.openxmlformats.org/officeDocument/2006/relationships/hyperlink" Id="rId43" Target="file://file_0000000012187230adca322938214439#:~:text=,up%20to%20polynomial%20corrections" TargetMode="External" /><Relationship Type="http://schemas.openxmlformats.org/officeDocument/2006/relationships/hyperlink" Id="rId68" Target="file://file_0000000012187230adca322938214439#:~:text=,volume%20limit" TargetMode="External" /><Relationship Type="http://schemas.openxmlformats.org/officeDocument/2006/relationships/hyperlink" Id="rId86" Target="file://file_0000000012187230adca322938214439#:~:text=,x%29%5C%29%20in%20%5C%28%5Cmathcal%7BH" TargetMode="External" /><Relationship Type="http://schemas.openxmlformats.org/officeDocument/2006/relationships/hyperlink" Id="rId106" Target="file://file_0000000012187230adca322938214439#:~:text=1.%20,reg" TargetMode="External" /><Relationship Type="http://schemas.openxmlformats.org/officeDocument/2006/relationships/hyperlink" Id="rId109" Target="file://file_0000000012187230adca322938214439#:~:text=1.%20Prove%20polarity%20for%20,mu" TargetMode="External" /><Relationship Type="http://schemas.openxmlformats.org/officeDocument/2006/relationships/hyperlink" Id="rId102" Target="file://file_0000000012187230adca322938214439#:~:text=2.%20,point%20in%20the%20RG%E2%80%93Hessian%20flow" TargetMode="External" /><Relationship Type="http://schemas.openxmlformats.org/officeDocument/2006/relationships/hyperlink" Id="rId37" Target="file://file_0000000012187230adca322938214439#:~:text=3,Positivity" TargetMode="External" /><Relationship Type="http://schemas.openxmlformats.org/officeDocument/2006/relationships/hyperlink" Id="rId116" Target="file://file_0000000012187230adca322938214439#:~:text=3.%20,acting%20on%20local%20observables" TargetMode="External" /><Relationship Type="http://schemas.openxmlformats.org/officeDocument/2006/relationships/hyperlink" Id="rId48" Target="file://file_0000000012187230adca322938214439#:~:text=4" TargetMode="External" /><Relationship Type="http://schemas.openxmlformats.org/officeDocument/2006/relationships/hyperlink" Id="rId88" Target="file://file_0000000012187230adca322938214439#:~:text=5,C" TargetMode="External" /><Relationship Type="http://schemas.openxmlformats.org/officeDocument/2006/relationships/hyperlink" Id="rId46" Target="file://file_0000000012187230adca322938214439#:~:text=A%20plausible%20proof%20strategy%3A" TargetMode="External" /><Relationship Type="http://schemas.openxmlformats.org/officeDocument/2006/relationships/hyperlink" Id="rId33" Target="file://file_0000000012187230adca322938214439#:~:text=Adding%20a%20source%20term%20,2%20%2B%20%5Cmathbf%7BS%7D_%7B%5Cmathrm%7Banom" TargetMode="External" /><Relationship Type="http://schemas.openxmlformats.org/officeDocument/2006/relationships/hyperlink" Id="rId112" Target="file://file_0000000012187230adca322938214439#:~:text=Conjecture%20B%20,point%20in%20the%20RG%E2%80%93Hessian%20flow" TargetMode="External" /><Relationship Type="http://schemas.openxmlformats.org/officeDocument/2006/relationships/hyperlink" Id="rId76" Target="file://file_0000000012187230adca322938214439#:~:text=Define%20charge%20conjugation%20%5C%28%5Cmathcal," TargetMode="External" /><Relationship Type="http://schemas.openxmlformats.org/officeDocument/2006/relationships/hyperlink" Id="rId84" Target="file://file_0000000012187230adca322938214439#:~:text=Define%20plaquette%20operators%20,C%7DF_p%28x%29." TargetMode="External" /><Relationship Type="http://schemas.openxmlformats.org/officeDocument/2006/relationships/hyperlink" Id="rId91" Target="file://file_0000000012187230adca322938214439#:~:text=Elitzur%E2%80%99s%20Theorem%20states%20that%20a,invariant%20local%20operator%20is%20zero" TargetMode="External" /><Relationship Type="http://schemas.openxmlformats.org/officeDocument/2006/relationships/hyperlink" Id="rId98" Target="file://file_0000000012187230adca322938214439#:~:text=F%26O%20further%20establish%3A" TargetMode="External" /><Relationship Type="http://schemas.openxmlformats.org/officeDocument/2006/relationships/hyperlink" Id="rId44" Target="file://file_0000000012187230adca322938214439#:~:text=For%20our%20YM%20program%2C%20this,means" TargetMode="External" /><Relationship Type="http://schemas.openxmlformats.org/officeDocument/2006/relationships/hyperlink" Id="rId105" Target="file://file_0000000012187230adca322938214439#:~:text=From%20a%20technical%20standpoint%2C%20Conjecture,be%20carried%20out%20in%20detail" TargetMode="External" /><Relationship Type="http://schemas.openxmlformats.org/officeDocument/2006/relationships/hyperlink" Id="rId83" Target="file://file_0000000012187230adca322938214439#:~:text=Hence%20%5C%5B%20%5Cmathcal%7BH%7D%20%3D%20%5Cmathcal%7BH%7D,eigenspaces%20of%20%5C%28%5Cmathcal%7BC" TargetMode="External" /><Relationship Type="http://schemas.openxmlformats.org/officeDocument/2006/relationships/hyperlink" Id="rId96" Target="file://file_0000000012187230adca322938214439#:~:text=However%2C%20the%20final%20Clay,remains%20open" TargetMode="External" /><Relationship Type="http://schemas.openxmlformats.org/officeDocument/2006/relationships/hyperlink" Id="rId40" Target="file://file_0000000012187230adca322938214439#:~:text=If%20there%20exists%20%5C%28%5Crho,Gamma%28f%29." TargetMode="External" /><Relationship Type="http://schemas.openxmlformats.org/officeDocument/2006/relationships/hyperlink" Id="rId41" Target="file://file_0000000012187230adca322938214439#:~:text=In%20the%20YM%20context%2C%20we,with%20Conjectures%20A%20and%20B" TargetMode="External" /><Relationship Type="http://schemas.openxmlformats.org/officeDocument/2006/relationships/hyperlink" Id="rId90" Target="file://file_0000000012187230adca322938214439#:~:text=In%20the%20strong,orders%20split%20the%20two%20sectors" TargetMode="External" /><Relationship Type="http://schemas.openxmlformats.org/officeDocument/2006/relationships/hyperlink" Id="rId28" Target="file://file_0000000012187230adca322938214439#:~:text=Let%20,%7C%5Cnabla%20S_t%7C%5E2." TargetMode="External" /><Relationship Type="http://schemas.openxmlformats.org/officeDocument/2006/relationships/hyperlink" Id="rId101" Target="file://file_0000000012187230adca322938214439#:~:text=Logical%20Dependency%20Chain" TargetMode="External" /><Relationship Type="http://schemas.openxmlformats.org/officeDocument/2006/relationships/hyperlink" Id="rId115" Target="file://file_0000000012187230adca322938214439#:~:text=Making%20this%20precise%20in%20finite,spectral%20gap%20we%20actually%20need" TargetMode="External" /><Relationship Type="http://schemas.openxmlformats.org/officeDocument/2006/relationships/hyperlink" Id="rId80" Target="file://file_0000000012187230adca322938214439#:~:text=O%E2%80%99Carroll%29%20where%3A%20,established%20at%20finite%20lattice%20spacing" TargetMode="External" /><Relationship Type="http://schemas.openxmlformats.org/officeDocument/2006/relationships/hyperlink" Id="rId81" Target="file://file_0000000012187230adca322938214439#:~:text=One%20then%20shows%20,that" TargetMode="External" /><Relationship Type="http://schemas.openxmlformats.org/officeDocument/2006/relationships/hyperlink" Id="rId71" Target="file://file_0000000012187230adca322938214439#:~:text=Result%20so%20far%3A%20,little%20about%20true%20IR%20behavior" TargetMode="External" /><Relationship Type="http://schemas.openxmlformats.org/officeDocument/2006/relationships/hyperlink" Id="rId24" Target="file://file_0000000012187230adca322938214439#:~:text=The%20,2%20d%5Cmu." TargetMode="External" /><Relationship Type="http://schemas.openxmlformats.org/officeDocument/2006/relationships/hyperlink" Id="rId118" Target="file://file_0000000012187230adca322938214439#:~:text=The%20Clay%20Millennium%20problem%20asks,satisfying" TargetMode="External" /><Relationship Type="http://schemas.openxmlformats.org/officeDocument/2006/relationships/hyperlink" Id="rId73" Target="file://file_0000000012187230adca322938214439#:~:text=The%20aim%20is%20to%20distinguish%3A,driven%20mass" TargetMode="External" /><Relationship Type="http://schemas.openxmlformats.org/officeDocument/2006/relationships/hyperlink" Id="rId22" Target="file://file_0000000012187230adca322938214439#:~:text=The%20associated%20,mu" TargetMode="External" /><Relationship Type="http://schemas.openxmlformats.org/officeDocument/2006/relationships/hyperlink" Id="rId75" Target="file://file_0000000012187230adca322938214439#:~:text=The%20constructive%20lattice%20YM%20module,for" TargetMode="External" /><Relationship Type="http://schemas.openxmlformats.org/officeDocument/2006/relationships/hyperlink" Id="rId77" Target="file://file_0000000012187230adca322938214439#:~:text=The%20effect%20on%20the%20lattice,N" TargetMode="External" /><Relationship Type="http://schemas.openxmlformats.org/officeDocument/2006/relationships/hyperlink" Id="rId31" Target="file://file_0000000012187230adca322938214439#:~:text=The%20exact%20functional%20RG%20equations,many%20couplings%20and%20nonlocal%20operators" TargetMode="External" /><Relationship Type="http://schemas.openxmlformats.org/officeDocument/2006/relationships/hyperlink" Id="rId26" Target="file://file_0000000012187230adca322938214439#:~:text=The%20program%20does%20,level%20proof.%20Instead%20it" TargetMode="External" /><Relationship Type="http://schemas.openxmlformats.org/officeDocument/2006/relationships/hyperlink" Id="rId104" Target="file://file_0000000012187230adca322938214439#:~:text=This%20is%20a%20perturbative%20expectation%2C,be%20carried%20out%20in%20detail" TargetMode="External" /><Relationship Type="http://schemas.openxmlformats.org/officeDocument/2006/relationships/hyperlink" Id="rId34" Target="file://file_0000000012187230adca322938214439#:~:text=This%20is%20not%20claimed%20to,grained%20effective%20measures" TargetMode="External" /><Relationship Type="http://schemas.openxmlformats.org/officeDocument/2006/relationships/hyperlink" Id="rId39" Target="file://file_0000000012187230adca322938214439#:~:text=This%20is%20the%20,It%20implies" TargetMode="External" /><Relationship Type="http://schemas.openxmlformats.org/officeDocument/2006/relationships/hyperlink" Id="rId94" Target="file://file_0000000012187230adca322938214439#:~:text=This%20provides%20a%20,for%20a%20mass%20scale" TargetMode="External" /><Relationship Type="http://schemas.openxmlformats.org/officeDocument/2006/relationships/hyperlink" Id="rId70" Target="file://file_0000000012187230adca322938214439#:~:text=To%20test%20IR%E2%80%931%2FIR%E2%80%932%2C%20we%20propose%3A" TargetMode="External" /><Relationship Type="http://schemas.openxmlformats.org/officeDocument/2006/relationships/hyperlink" Id="rId65" Target="file://file_0000000012187230adca322938214439#:~:text=Topological%20modes%20may%20produce%20%5C%28%5Clambda_,is%20controlled%20by%20%5C%28%5Clambda_%7B%5Cmathrm%7Bloc" TargetMode="External" /><Relationship Type="http://schemas.openxmlformats.org/officeDocument/2006/relationships/hyperlink" Id="rId64" Target="file://file_0000000012187230adca322938214439#:~:text=Topological%20sectors%20,We%20therefore%20distinguish" TargetMode="External" /><Relationship Type="http://schemas.openxmlformats.org/officeDocument/2006/relationships/hyperlink" Id="rId119" Target="file://file_0000000012187230adca322938214439#:~:text=We%20package%20this%20into%20a,central%20dynamic%20conjecture" TargetMode="External" /><Relationship Type="http://schemas.openxmlformats.org/officeDocument/2006/relationships/hyperlink" Id="rId82" Target="file://file_0000000012187230adca322938214439#:~:text=Writing%20%5C%28%5Crho%28A%29%20%3D%20e%5E%7B,becomes" TargetMode="External" /><Relationship Type="http://schemas.openxmlformats.org/officeDocument/2006/relationships/hyperlink" Id="rId93" Target="file://file_0000000012187230adca322938214439#:~:text=Writing%20%5C%28%5Crho%28A%29%20%3D%20e%5E%7B,measure%7D%7D%28A" TargetMode="External" /><Relationship Type="http://schemas.openxmlformats.org/officeDocument/2006/relationships/hyperlink" Id="rId53" Target="file://file_0000000012187230adca322938214439#:~:text=capacity,ignored%20in%20functional%20inequalities" TargetMode="External" /><Relationship Type="http://schemas.openxmlformats.org/officeDocument/2006/relationships/hyperlink" Id="rId32" Target="file://file_0000000012187230adca322938214439#:~:text=effects" TargetMode="External" /><Relationship Type="http://schemas.openxmlformats.org/officeDocument/2006/relationships/hyperlink" Id="rId107" Target="file://file_0000000012187230adca322938214439#:~:text=independent%20constraints%20,codimension%20submanifolds" TargetMode="External" /><Relationship Type="http://schemas.openxmlformats.org/officeDocument/2006/relationships/hyperlink" Id="rId95" Target="file://file_0000000012187230adca322938214439#:~:text=mass%20gap" TargetMode="External" /><Relationship Type="http://schemas.openxmlformats.org/officeDocument/2006/relationships/hyperlink" Id="rId29" Target="file://file_0000000012187230adca322938214439#:~:text=one%20derives%20the%20,for%20curvature" TargetMode="External" /><Relationship Type="http://schemas.openxmlformats.org/officeDocument/2006/relationships/hyperlink" Id="rId30" Target="file://file_0000000012187230adca322938214439#:~:text=which%20has%20the%20structure%20of,for%20curvature" TargetMode="External" /><Relationship Type="http://schemas.openxmlformats.org/officeDocument/2006/relationships/hyperlink" Id="rId79" Target="file://file_0000000012187230adca322938214439#:~:text=with%20%5C%28c_0,invariant%20quadratic%20term" TargetMode="External" /></Relationships>
</file>

<file path=word/_rels/footnotes.xml.rels><?xml version="1.0" encoding="UTF-8"?><Relationships xmlns="http://schemas.openxmlformats.org/package/2006/relationships"><Relationship Type="http://schemas.openxmlformats.org/officeDocument/2006/relationships/hyperlink" Id="rId126" Target="file://file_0000000012187230adca322938214439" TargetMode="External" /><Relationship Type="http://schemas.openxmlformats.org/officeDocument/2006/relationships/hyperlink" Id="rId23" Target="file://file_0000000012187230adca322938214439#:~:text=%3E%20%2A%2AConjecture%20D%20%28Local,observable%20subspace%20%5C%28%5Cmathcal%7BH%7D_%7B%5Cmathrm%7Bloc%7D%7D%5C%29." TargetMode="External" /><Relationship Type="http://schemas.openxmlformats.org/officeDocument/2006/relationships/hyperlink" Id="rId59" Target="file://file_0000000012187230adca322938214439#:~:text=%3E%20%2A%2AConjecture%20IR%E2%80%931%20%28Sectorwise%20Curvature,to%20the%20physical%20mass%20gap" TargetMode="External" /><Relationship Type="http://schemas.openxmlformats.org/officeDocument/2006/relationships/hyperlink" Id="rId63" Target="file://file_0000000012187230adca322938214439#:~:text=%3E%20%2A%2ALocal," TargetMode="External" /><Relationship Type="http://schemas.openxmlformats.org/officeDocument/2006/relationships/hyperlink" Id="rId103" Target="file://file_0000000012187230adca322938214439#:~:text=%3E%20," TargetMode="External" /><Relationship Type="http://schemas.openxmlformats.org/officeDocument/2006/relationships/hyperlink" Id="rId35" Target="file://file_0000000012187230adca322938214439#:~:text=%3E%20,2" TargetMode="External" /><Relationship Type="http://schemas.openxmlformats.org/officeDocument/2006/relationships/hyperlink" Id="rId67" Target="file://file_0000000012187230adca322938214439#:~:text=%3E%20,Dominant%20for%20Local%20Observables" TargetMode="External" /><Relationship Type="http://schemas.openxmlformats.org/officeDocument/2006/relationships/hyperlink" Id="rId36" Target="file://file_0000000012187230adca322938214439#:~:text=%3E%20,and%20of%20the" TargetMode="External" /><Relationship Type="http://schemas.openxmlformats.org/officeDocument/2006/relationships/hyperlink" Id="rId89" Target="file://file_0000000012187230adca322938214439#:~:text=%3E%20,are%20dynamically%20and%20analytically%20negligible" TargetMode="External" /><Relationship Type="http://schemas.openxmlformats.org/officeDocument/2006/relationships/hyperlink" Id="rId114" Target="file://file_0000000012187230adca322938214439#:~:text=%5C%28%5Clambda_%7B%5Cmathrm%7Bloc%7D%7D%3E0%5C%29%20holds%20on%20the%20local,0" TargetMode="External" /><Relationship Type="http://schemas.openxmlformats.org/officeDocument/2006/relationships/hyperlink" Id="rId111" Target="file://file_0000000012187230adca322938214439#:~:text=%5C%28%5Clambda_%7B%5Cmathrm%7Btop%7D%7D%5Cll%5Clambda_%7B%5Cmathrm%7Bloc%7D%7D%5C%29%20for%20%5C%28,point%20Schwinger%20functions" TargetMode="External" /><Relationship Type="http://schemas.openxmlformats.org/officeDocument/2006/relationships/hyperlink" Id="rId54" Target="file://file_0000000012187230adca322938214439#:~:text=%5C%28%5Cmathcal%7BM%7D%5C%29%20is%20" TargetMode="External" /><Relationship Type="http://schemas.openxmlformats.org/officeDocument/2006/relationships/hyperlink" Id="rId113" Target="file://file_0000000012187230adca322938214439#:~:text=%5C%28L,point%20Schwinger%20functions" TargetMode="External" /><Relationship Type="http://schemas.openxmlformats.org/officeDocument/2006/relationships/hyperlink" Id="rId78" Target="file://file_0000000012187230adca322938214439#:~:text=%5C%5B%20%5Crho%28A%29%20%3D%20%5Cdet%5Cleft%28%20%5Cfrac,ad%7D_A%5C%29%20is%20the%20adjoint%20action" TargetMode="External" /><Relationship Type="http://schemas.openxmlformats.org/officeDocument/2006/relationships/hyperlink" Id="rId121" Target="file://file_0000000012187230adca322938214439#:~:text=%5Cpartial_%5Ctau%20A%20%3D%20,where" TargetMode="External" /><Relationship Type="http://schemas.openxmlformats.org/officeDocument/2006/relationships/hyperlink" Id="rId66" Target="file://file_0000000012187230adca322938214439#:~:text=," TargetMode="External" /><Relationship Type="http://schemas.openxmlformats.org/officeDocument/2006/relationships/hyperlink" Id="rId50" Target="file://file_0000000012187230adca322938214439#:~:text=,%E2%87%92%20UV%20roughness%20is%20%E2%80%9Cmild%E2%80%9D" TargetMode="External" /><Relationship Type="http://schemas.openxmlformats.org/officeDocument/2006/relationships/hyperlink" Id="rId45" Target="file://file_0000000012187230adca322938214439#:~:text=,0" TargetMode="External" /><Relationship Type="http://schemas.openxmlformats.org/officeDocument/2006/relationships/hyperlink" Id="rId108" Target="file://file_0000000012187230adca322938214439#:~:text=,1%20hypersurfaces%20have%20positive%20capacity" TargetMode="External" /><Relationship Type="http://schemas.openxmlformats.org/officeDocument/2006/relationships/hyperlink" Id="rId52" Target="file://file_0000000012187230adca322938214439#:~:text=,1%2F2%7D%5CLambda_%7B%5Cmathrm%7BQCD" TargetMode="External" /><Relationship Type="http://schemas.openxmlformats.org/officeDocument/2006/relationships/hyperlink" Id="rId42" Target="file://file_0000000012187230adca322938214439#:~:text=,Delta%20V%7D%5C%29%20%28Eyring%E2%80%93Kramers" TargetMode="External" /><Relationship Type="http://schemas.openxmlformats.org/officeDocument/2006/relationships/hyperlink" Id="rId25" Target="file://file_0000000012187230adca322938214439#:~:text=,L%29%5Csubset%5C%7B0%5C%7D%5Ccup%5B%5Clambda%2C%5Cinfty" TargetMode="External" /><Relationship Type="http://schemas.openxmlformats.org/officeDocument/2006/relationships/hyperlink" Id="rId122" Target="file://file_0000000012187230adca322938214439#:~:text=,S_W%28U%29%7D." TargetMode="External" /><Relationship Type="http://schemas.openxmlformats.org/officeDocument/2006/relationships/hyperlink" Id="rId58" Target="file://file_0000000012187230adca322938214439#:~:text=,Sigma" TargetMode="External" /><Relationship Type="http://schemas.openxmlformats.org/officeDocument/2006/relationships/hyperlink" Id="rId97" Target="file://file_0000000012187230adca322938214439#:~:text=,a%20nonzero%20physical%20mass%20gap" TargetMode="External" /><Relationship Type="http://schemas.openxmlformats.org/officeDocument/2006/relationships/hyperlink" Id="rId110" Target="file://file_0000000012187230adca322938214439#:~:text=,are%20dynamically%20and%20analytically%20negligible" TargetMode="External" /><Relationship Type="http://schemas.openxmlformats.org/officeDocument/2006/relationships/hyperlink" Id="rId99" Target="file://file_0000000012187230adca322938214439#:~:text=,at%20each%20finite%20lattice%20spacing" TargetMode="External" /><Relationship Type="http://schemas.openxmlformats.org/officeDocument/2006/relationships/hyperlink" Id="rId61" Target="file://file_0000000012187230adca322938214439#:~:text=,be%20dominated%20by%20topological%20tunneling" TargetMode="External" /><Relationship Type="http://schemas.openxmlformats.org/officeDocument/2006/relationships/hyperlink" Id="rId49" Target="file://file_0000000012187230adca322938214439#:~:text=,be%20ignored%20in%20functional%20inequalities" TargetMode="External" /><Relationship Type="http://schemas.openxmlformats.org/officeDocument/2006/relationships/hyperlink" Id="rId55" Target="file://file_0000000012187230adca322938214439#:~:text=,codimension%20submanifolds" TargetMode="External" /><Relationship Type="http://schemas.openxmlformats.org/officeDocument/2006/relationships/hyperlink" Id="rId38" Target="file://file_0000000012187230adca322938214439#:~:text=,curvature%20from%20decaying%20to%20zero" TargetMode="External" /><Relationship Type="http://schemas.openxmlformats.org/officeDocument/2006/relationships/hyperlink" Id="rId85" Target="file://file_0000000012187230adca322938214439#:~:text=,excitations%20in%20each%20polarity%20sector" TargetMode="External" /><Relationship Type="http://schemas.openxmlformats.org/officeDocument/2006/relationships/hyperlink" Id="rId120" Target="file://file_0000000012187230adca322938214439#:~:text=,flow%20for%20the%20effective%20action" TargetMode="External" /><Relationship Type="http://schemas.openxmlformats.org/officeDocument/2006/relationships/hyperlink" Id="rId72" Target="file://file_0000000012187230adca322938214439#:~:text=,for%20local%20loops" TargetMode="External" /><Relationship Type="http://schemas.openxmlformats.org/officeDocument/2006/relationships/hyperlink" Id="rId57" Target="file://file_0000000012187230adca322938214439#:~:text=,functional%20inequalities%20in%20the%20IR" TargetMode="External" /><Relationship Type="http://schemas.openxmlformats.org/officeDocument/2006/relationships/hyperlink" Id="rId21" Target="file://file_0000000012187230adca322938214439#:~:text=,in%20a%20suitable%20Sobolev%20sense" TargetMode="External" /><Relationship Type="http://schemas.openxmlformats.org/officeDocument/2006/relationships/hyperlink" Id="rId27" Target="file://file_0000000012187230adca322938214439#:~:text=,is%20the%20corresponding%20gradient" TargetMode="External" /><Relationship Type="http://schemas.openxmlformats.org/officeDocument/2006/relationships/hyperlink" Id="rId56" Target="file://file_0000000012187230adca322938214439#:~:text=,physical%20scale%20after%20RG%20improvement" TargetMode="External" /><Relationship Type="http://schemas.openxmlformats.org/officeDocument/2006/relationships/hyperlink" Id="rId60" Target="file://file_0000000012187230adca322938214439#:~:text=,point%20Schwinger%20functions" TargetMode="External" /><Relationship Type="http://schemas.openxmlformats.org/officeDocument/2006/relationships/hyperlink" Id="rId92" Target="file://file_0000000012187230adca322938214439#:~:text=,polarity%20glueballs" TargetMode="External" /><Relationship Type="http://schemas.openxmlformats.org/officeDocument/2006/relationships/hyperlink" Id="rId51" Target="file://file_0000000012187230adca322938214439#:~:text=,positive%20curvature%20fixed%20point" TargetMode="External" /><Relationship Type="http://schemas.openxmlformats.org/officeDocument/2006/relationships/hyperlink" Id="rId62" Target="file://file_0000000012187230adca322938214439#:~:text=,space%20generated%20by%20local%20fields" TargetMode="External" /><Relationship Type="http://schemas.openxmlformats.org/officeDocument/2006/relationships/hyperlink" Id="rId87" Target="file://file_0000000012187230adca322938214439#:~:text=,under%20%5C%28%5Cmathcal%7BC" TargetMode="External" /><Relationship Type="http://schemas.openxmlformats.org/officeDocument/2006/relationships/hyperlink" Id="rId43" Target="file://file_0000000012187230adca322938214439#:~:text=,up%20to%20polynomial%20corrections" TargetMode="External" /><Relationship Type="http://schemas.openxmlformats.org/officeDocument/2006/relationships/hyperlink" Id="rId68" Target="file://file_0000000012187230adca322938214439#:~:text=,volume%20limit" TargetMode="External" /><Relationship Type="http://schemas.openxmlformats.org/officeDocument/2006/relationships/hyperlink" Id="rId86" Target="file://file_0000000012187230adca322938214439#:~:text=,x%29%5C%29%20in%20%5C%28%5Cmathcal%7BH" TargetMode="External" /><Relationship Type="http://schemas.openxmlformats.org/officeDocument/2006/relationships/hyperlink" Id="rId106" Target="file://file_0000000012187230adca322938214439#:~:text=1.%20,reg" TargetMode="External" /><Relationship Type="http://schemas.openxmlformats.org/officeDocument/2006/relationships/hyperlink" Id="rId109" Target="file://file_0000000012187230adca322938214439#:~:text=1.%20Prove%20polarity%20for%20,mu" TargetMode="External" /><Relationship Type="http://schemas.openxmlformats.org/officeDocument/2006/relationships/hyperlink" Id="rId102" Target="file://file_0000000012187230adca322938214439#:~:text=2.%20,point%20in%20the%20RG%E2%80%93Hessian%20flow" TargetMode="External" /><Relationship Type="http://schemas.openxmlformats.org/officeDocument/2006/relationships/hyperlink" Id="rId37" Target="file://file_0000000012187230adca322938214439#:~:text=3,Positivity" TargetMode="External" /><Relationship Type="http://schemas.openxmlformats.org/officeDocument/2006/relationships/hyperlink" Id="rId116" Target="file://file_0000000012187230adca322938214439#:~:text=3.%20,acting%20on%20local%20observables" TargetMode="External" /><Relationship Type="http://schemas.openxmlformats.org/officeDocument/2006/relationships/hyperlink" Id="rId48" Target="file://file_0000000012187230adca322938214439#:~:text=4" TargetMode="External" /><Relationship Type="http://schemas.openxmlformats.org/officeDocument/2006/relationships/hyperlink" Id="rId88" Target="file://file_0000000012187230adca322938214439#:~:text=5,C" TargetMode="External" /><Relationship Type="http://schemas.openxmlformats.org/officeDocument/2006/relationships/hyperlink" Id="rId46" Target="file://file_0000000012187230adca322938214439#:~:text=A%20plausible%20proof%20strategy%3A" TargetMode="External" /><Relationship Type="http://schemas.openxmlformats.org/officeDocument/2006/relationships/hyperlink" Id="rId33" Target="file://file_0000000012187230adca322938214439#:~:text=Adding%20a%20source%20term%20,2%20%2B%20%5Cmathbf%7BS%7D_%7B%5Cmathrm%7Banom" TargetMode="External" /><Relationship Type="http://schemas.openxmlformats.org/officeDocument/2006/relationships/hyperlink" Id="rId112" Target="file://file_0000000012187230adca322938214439#:~:text=Conjecture%20B%20,point%20in%20the%20RG%E2%80%93Hessian%20flow" TargetMode="External" /><Relationship Type="http://schemas.openxmlformats.org/officeDocument/2006/relationships/hyperlink" Id="rId76" Target="file://file_0000000012187230adca322938214439#:~:text=Define%20charge%20conjugation%20%5C%28%5Cmathcal," TargetMode="External" /><Relationship Type="http://schemas.openxmlformats.org/officeDocument/2006/relationships/hyperlink" Id="rId84" Target="file://file_0000000012187230adca322938214439#:~:text=Define%20plaquette%20operators%20,C%7DF_p%28x%29." TargetMode="External" /><Relationship Type="http://schemas.openxmlformats.org/officeDocument/2006/relationships/hyperlink" Id="rId91" Target="file://file_0000000012187230adca322938214439#:~:text=Elitzur%E2%80%99s%20Theorem%20states%20that%20a,invariant%20local%20operator%20is%20zero" TargetMode="External" /><Relationship Type="http://schemas.openxmlformats.org/officeDocument/2006/relationships/hyperlink" Id="rId98" Target="file://file_0000000012187230adca322938214439#:~:text=F%26O%20further%20establish%3A" TargetMode="External" /><Relationship Type="http://schemas.openxmlformats.org/officeDocument/2006/relationships/hyperlink" Id="rId44" Target="file://file_0000000012187230adca322938214439#:~:text=For%20our%20YM%20program%2C%20this,means" TargetMode="External" /><Relationship Type="http://schemas.openxmlformats.org/officeDocument/2006/relationships/hyperlink" Id="rId105" Target="file://file_0000000012187230adca322938214439#:~:text=From%20a%20technical%20standpoint%2C%20Conjecture,be%20carried%20out%20in%20detail" TargetMode="External" /><Relationship Type="http://schemas.openxmlformats.org/officeDocument/2006/relationships/hyperlink" Id="rId83" Target="file://file_0000000012187230adca322938214439#:~:text=Hence%20%5C%5B%20%5Cmathcal%7BH%7D%20%3D%20%5Cmathcal%7BH%7D,eigenspaces%20of%20%5C%28%5Cmathcal%7BC" TargetMode="External" /><Relationship Type="http://schemas.openxmlformats.org/officeDocument/2006/relationships/hyperlink" Id="rId96" Target="file://file_0000000012187230adca322938214439#:~:text=However%2C%20the%20final%20Clay,remains%20open" TargetMode="External" /><Relationship Type="http://schemas.openxmlformats.org/officeDocument/2006/relationships/hyperlink" Id="rId40" Target="file://file_0000000012187230adca322938214439#:~:text=If%20there%20exists%20%5C%28%5Crho,Gamma%28f%29." TargetMode="External" /><Relationship Type="http://schemas.openxmlformats.org/officeDocument/2006/relationships/hyperlink" Id="rId41" Target="file://file_0000000012187230adca322938214439#:~:text=In%20the%20YM%20context%2C%20we,with%20Conjectures%20A%20and%20B" TargetMode="External" /><Relationship Type="http://schemas.openxmlformats.org/officeDocument/2006/relationships/hyperlink" Id="rId90" Target="file://file_0000000012187230adca322938214439#:~:text=In%20the%20strong,orders%20split%20the%20two%20sectors" TargetMode="External" /><Relationship Type="http://schemas.openxmlformats.org/officeDocument/2006/relationships/hyperlink" Id="rId28" Target="file://file_0000000012187230adca322938214439#:~:text=Let%20,%7C%5Cnabla%20S_t%7C%5E2." TargetMode="External" /><Relationship Type="http://schemas.openxmlformats.org/officeDocument/2006/relationships/hyperlink" Id="rId101" Target="file://file_0000000012187230adca322938214439#:~:text=Logical%20Dependency%20Chain" TargetMode="External" /><Relationship Type="http://schemas.openxmlformats.org/officeDocument/2006/relationships/hyperlink" Id="rId115" Target="file://file_0000000012187230adca322938214439#:~:text=Making%20this%20precise%20in%20finite,spectral%20gap%20we%20actually%20need" TargetMode="External" /><Relationship Type="http://schemas.openxmlformats.org/officeDocument/2006/relationships/hyperlink" Id="rId80" Target="file://file_0000000012187230adca322938214439#:~:text=O%E2%80%99Carroll%29%20where%3A%20,established%20at%20finite%20lattice%20spacing" TargetMode="External" /><Relationship Type="http://schemas.openxmlformats.org/officeDocument/2006/relationships/hyperlink" Id="rId81" Target="file://file_0000000012187230adca322938214439#:~:text=One%20then%20shows%20,that" TargetMode="External" /><Relationship Type="http://schemas.openxmlformats.org/officeDocument/2006/relationships/hyperlink" Id="rId71" Target="file://file_0000000012187230adca322938214439#:~:text=Result%20so%20far%3A%20,little%20about%20true%20IR%20behavior" TargetMode="External" /><Relationship Type="http://schemas.openxmlformats.org/officeDocument/2006/relationships/hyperlink" Id="rId24" Target="file://file_0000000012187230adca322938214439#:~:text=The%20,2%20d%5Cmu." TargetMode="External" /><Relationship Type="http://schemas.openxmlformats.org/officeDocument/2006/relationships/hyperlink" Id="rId118" Target="file://file_0000000012187230adca322938214439#:~:text=The%20Clay%20Millennium%20problem%20asks,satisfying" TargetMode="External" /><Relationship Type="http://schemas.openxmlformats.org/officeDocument/2006/relationships/hyperlink" Id="rId73" Target="file://file_0000000012187230adca322938214439#:~:text=The%20aim%20is%20to%20distinguish%3A,driven%20mass" TargetMode="External" /><Relationship Type="http://schemas.openxmlformats.org/officeDocument/2006/relationships/hyperlink" Id="rId22" Target="file://file_0000000012187230adca322938214439#:~:text=The%20associated%20,mu" TargetMode="External" /><Relationship Type="http://schemas.openxmlformats.org/officeDocument/2006/relationships/hyperlink" Id="rId75" Target="file://file_0000000012187230adca322938214439#:~:text=The%20constructive%20lattice%20YM%20module,for" TargetMode="External" /><Relationship Type="http://schemas.openxmlformats.org/officeDocument/2006/relationships/hyperlink" Id="rId77" Target="file://file_0000000012187230adca322938214439#:~:text=The%20effect%20on%20the%20lattice,N" TargetMode="External" /><Relationship Type="http://schemas.openxmlformats.org/officeDocument/2006/relationships/hyperlink" Id="rId31" Target="file://file_0000000012187230adca322938214439#:~:text=The%20exact%20functional%20RG%20equations,many%20couplings%20and%20nonlocal%20operators" TargetMode="External" /><Relationship Type="http://schemas.openxmlformats.org/officeDocument/2006/relationships/hyperlink" Id="rId26" Target="file://file_0000000012187230adca322938214439#:~:text=The%20program%20does%20,level%20proof.%20Instead%20it" TargetMode="External" /><Relationship Type="http://schemas.openxmlformats.org/officeDocument/2006/relationships/hyperlink" Id="rId104" Target="file://file_0000000012187230adca322938214439#:~:text=This%20is%20a%20perturbative%20expectation%2C,be%20carried%20out%20in%20detail" TargetMode="External" /><Relationship Type="http://schemas.openxmlformats.org/officeDocument/2006/relationships/hyperlink" Id="rId34" Target="file://file_0000000012187230adca322938214439#:~:text=This%20is%20not%20claimed%20to,grained%20effective%20measures" TargetMode="External" /><Relationship Type="http://schemas.openxmlformats.org/officeDocument/2006/relationships/hyperlink" Id="rId39" Target="file://file_0000000012187230adca322938214439#:~:text=This%20is%20the%20,It%20implies" TargetMode="External" /><Relationship Type="http://schemas.openxmlformats.org/officeDocument/2006/relationships/hyperlink" Id="rId94" Target="file://file_0000000012187230adca322938214439#:~:text=This%20provides%20a%20,for%20a%20mass%20scale" TargetMode="External" /><Relationship Type="http://schemas.openxmlformats.org/officeDocument/2006/relationships/hyperlink" Id="rId70" Target="file://file_0000000012187230adca322938214439#:~:text=To%20test%20IR%E2%80%931%2FIR%E2%80%932%2C%20we%20propose%3A" TargetMode="External" /><Relationship Type="http://schemas.openxmlformats.org/officeDocument/2006/relationships/hyperlink" Id="rId65" Target="file://file_0000000012187230adca322938214439#:~:text=Topological%20modes%20may%20produce%20%5C%28%5Clambda_,is%20controlled%20by%20%5C%28%5Clambda_%7B%5Cmathrm%7Bloc" TargetMode="External" /><Relationship Type="http://schemas.openxmlformats.org/officeDocument/2006/relationships/hyperlink" Id="rId64" Target="file://file_0000000012187230adca322938214439#:~:text=Topological%20sectors%20,We%20therefore%20distinguish" TargetMode="External" /><Relationship Type="http://schemas.openxmlformats.org/officeDocument/2006/relationships/hyperlink" Id="rId119" Target="file://file_0000000012187230adca322938214439#:~:text=We%20package%20this%20into%20a,central%20dynamic%20conjecture" TargetMode="External" /><Relationship Type="http://schemas.openxmlformats.org/officeDocument/2006/relationships/hyperlink" Id="rId82" Target="file://file_0000000012187230adca322938214439#:~:text=Writing%20%5C%28%5Crho%28A%29%20%3D%20e%5E%7B,becomes" TargetMode="External" /><Relationship Type="http://schemas.openxmlformats.org/officeDocument/2006/relationships/hyperlink" Id="rId93" Target="file://file_0000000012187230adca322938214439#:~:text=Writing%20%5C%28%5Crho%28A%29%20%3D%20e%5E%7B,measure%7D%7D%28A" TargetMode="External" /><Relationship Type="http://schemas.openxmlformats.org/officeDocument/2006/relationships/hyperlink" Id="rId53" Target="file://file_0000000012187230adca322938214439#:~:text=capacity,ignored%20in%20functional%20inequalities" TargetMode="External" /><Relationship Type="http://schemas.openxmlformats.org/officeDocument/2006/relationships/hyperlink" Id="rId32" Target="file://file_0000000012187230adca322938214439#:~:text=effects" TargetMode="External" /><Relationship Type="http://schemas.openxmlformats.org/officeDocument/2006/relationships/hyperlink" Id="rId107" Target="file://file_0000000012187230adca322938214439#:~:text=independent%20constraints%20,codimension%20submanifolds" TargetMode="External" /><Relationship Type="http://schemas.openxmlformats.org/officeDocument/2006/relationships/hyperlink" Id="rId95" Target="file://file_0000000012187230adca322938214439#:~:text=mass%20gap" TargetMode="External" /><Relationship Type="http://schemas.openxmlformats.org/officeDocument/2006/relationships/hyperlink" Id="rId29" Target="file://file_0000000012187230adca322938214439#:~:text=one%20derives%20the%20,for%20curvature" TargetMode="External" /><Relationship Type="http://schemas.openxmlformats.org/officeDocument/2006/relationships/hyperlink" Id="rId30" Target="file://file_0000000012187230adca322938214439#:~:text=which%20has%20the%20structure%20of,for%20curvature" TargetMode="External" /><Relationship Type="http://schemas.openxmlformats.org/officeDocument/2006/relationships/hyperlink" Id="rId79" Target="file://file_0000000012187230adca322938214439#:~:text=with%20%5C%28c_0,invariant%20quadratic%20ter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2025-11-21T22:15:28Z</dcterms:created>
  <dcterms:modified xsi:type="dcterms:W3CDTF">2025-11-21T22:15:28Z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