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% ============================================================</w:t>
      </w:r>
      <w:r>
        <w:br/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{Logical Status and Theorem Map}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sec:logical-status-theorem-map</w:t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%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This document collects three related but logically distinct parts of the project:</w:t>
      </w:r>
      <w:r>
        <w:br/>
      </w:r>
      <w:r>
        <w:rPr>
          <w:rStyle w:val="NormalTok"/>
        </w:rPr>
        <w:t xml:space="preserve">local one-plaquette class-sector spectral asymptotics, finite-dimensional Wick</w:t>
      </w:r>
      <w:r>
        <w:br/>
      </w:r>
      <w:r>
        <w:rPr>
          <w:rStyle w:val="NormalTok"/>
        </w:rPr>
        <w:t xml:space="preserve">certificates for the fixed-rank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\SU</w:t>
      </w:r>
      <w:r>
        <w:rPr>
          <w:rStyle w:val="SpecialStringTok"/>
        </w:rPr>
        <w:t xml:space="preserve">(N)\)</w:t>
      </w:r>
      <w:r>
        <w:rPr>
          <w:rStyle w:val="NormalTok"/>
        </w:rPr>
        <w:t xml:space="preserve"> coefficients, and a conditional</w:t>
      </w:r>
      <w:r>
        <w:br/>
      </w:r>
      <w:r>
        <w:rPr>
          <w:rStyle w:val="NormalTok"/>
        </w:rPr>
        <w:t xml:space="preserve">projected-capacity route for global Wilson defect geometry.</w:t>
      </w:r>
      <w:r>
        <w:br/>
      </w:r>
      <w:r>
        <w:br/>
      </w:r>
      <w:r>
        <w:rPr>
          <w:rStyle w:val="NormalTok"/>
        </w:rPr>
        <w:t xml:space="preserve">The results are not presented as a proof of the four-dimensional Yang--Mills</w:t>
      </w:r>
      <w:r>
        <w:br/>
      </w:r>
      <w:r>
        <w:rPr>
          <w:rStyle w:val="NormalTok"/>
        </w:rPr>
        <w:t xml:space="preserve">mass gap.  The proven statements in this document are local or finite-dimensional</w:t>
      </w:r>
      <w:r>
        <w:br/>
      </w:r>
      <w:r>
        <w:rPr>
          <w:rStyle w:val="NormalTok"/>
        </w:rPr>
        <w:t xml:space="preserve">unless explicitly marked otherwise.  The projected-capacity part is a conditional</w:t>
      </w:r>
      <w:r>
        <w:br/>
      </w:r>
      <w:r>
        <w:rPr>
          <w:rStyle w:val="NormalTok"/>
        </w:rPr>
        <w:t xml:space="preserve">programmatic route: it identifies the deterministic and probabilistic estimates</w:t>
      </w:r>
      <w:r>
        <w:br/>
      </w:r>
      <w:r>
        <w:rPr>
          <w:rStyle w:val="NormalTok"/>
        </w:rPr>
        <w:t xml:space="preserve">that would be needed to pass from local class-sector control to an infinite-volume</w:t>
      </w:r>
      <w:r>
        <w:br/>
      </w:r>
      <w:r>
        <w:rPr>
          <w:rStyle w:val="NormalTok"/>
        </w:rPr>
        <w:t xml:space="preserve">source-stability theorem.</w:t>
      </w:r>
      <w:r>
        <w:br/>
      </w:r>
      <w:r>
        <w:br/>
      </w:r>
      <w:r>
        <w:rPr>
          <w:rStyle w:val="NormalTok"/>
        </w:rPr>
        <w:t xml:space="preserve">The organizing principle is therefore not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{local gap}</w:t>
      </w:r>
      <w:r>
        <w:br/>
      </w:r>
      <w:r>
        <w:rPr>
          <w:rStyle w:val="SpecialCharTok"/>
        </w:rPr>
        <w:t xml:space="preserve">\Longrightarrow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{Yang--Mills mass gap}</w:t>
      </w:r>
      <w:r>
        <w:rPr>
          <w:rStyle w:val="SpecialStringTok"/>
        </w:rPr>
        <w:t xml:space="preserve">,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but rather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{local class asymptotics}</w:t>
      </w:r>
      <w:r>
        <w:br/>
      </w:r>
      <w:r>
        <w:rPr>
          <w:rStyle w:val="SpecialCharTok"/>
        </w:rPr>
        <w:t xml:space="preserve">\Longrightarrow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{finite algebraic certificates}</w:t>
      </w:r>
      <w:r>
        <w:br/>
      </w:r>
      <w:r>
        <w:rPr>
          <w:rStyle w:val="SpecialCharTok"/>
        </w:rPr>
        <w:t xml:space="preserve">\Longrightarrow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{conditional global mechanism}</w:t>
      </w:r>
      <w:r>
        <w:rPr>
          <w:rStyle w:val="SpecialStringTok"/>
        </w:rPr>
        <w:t xml:space="preserve">.</w:t>
      </w:r>
      <w:r>
        <w:br/>
      </w:r>
      <w:r>
        <w:rPr>
          <w:rStyle w:val="SpecialStringTok"/>
        </w:rPr>
        <w:t xml:space="preserve">\]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{Three layers}</w:t>
      </w:r>
      <w:r>
        <w:br/>
      </w:r>
      <w:r>
        <w:br/>
      </w:r>
      <w:r>
        <w:rPr>
          <w:rStyle w:val="NormalTok"/>
        </w:rPr>
        <w:t xml:space="preserve">The document is divided into three layers.</w:t>
      </w:r>
      <w:r>
        <w:br/>
      </w:r>
      <w:r>
        <w:br/>
      </w:r>
      <w:r>
        <w:rPr>
          <w:rStyle w:val="KeywordTok"/>
        </w:rPr>
        <w:t xml:space="preserve">\paragraph</w:t>
      </w:r>
      <w:r>
        <w:rPr>
          <w:rStyle w:val="NormalTok"/>
        </w:rPr>
        <w:t xml:space="preserve">{Layer I: Local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\SU</w:t>
      </w:r>
      <w:r>
        <w:rPr>
          <w:rStyle w:val="SpecialStringTok"/>
        </w:rPr>
        <w:t xml:space="preserve">(3)\)</w:t>
      </w:r>
      <w:r>
        <w:rPr>
          <w:rStyle w:val="NormalTok"/>
        </w:rPr>
        <w:t xml:space="preserve"> one-plaquette class spectrum.}</w:t>
      </w:r>
      <w:r>
        <w:br/>
      </w:r>
      <w:r>
        <w:rPr>
          <w:rStyle w:val="NormalTok"/>
        </w:rPr>
        <w:t xml:space="preserve">The first layer proves the rank-two Weyl correction in the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\SU</w:t>
      </w:r>
      <w:r>
        <w:rPr>
          <w:rStyle w:val="SpecialStringTok"/>
        </w:rPr>
        <w:t xml:space="preserve">(3)\)</w:t>
      </w:r>
      <w:r>
        <w:br/>
      </w:r>
      <w:r>
        <w:rPr>
          <w:rStyle w:val="NormalTok"/>
        </w:rPr>
        <w:t xml:space="preserve">one-plaquette class-sector Hamiltonian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H_</w:t>
      </w:r>
      <w:r>
        <w:rPr>
          <w:rStyle w:val="SpecialCharTok"/>
        </w:rPr>
        <w:t xml:space="preserve">\beta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12 C_2</w:t>
      </w:r>
      <w:r>
        <w:br/>
      </w:r>
      <w:r>
        <w:rPr>
          <w:rStyle w:val="SpecialStringTok"/>
        </w:rPr>
        <w:t xml:space="preserve">+</w:t>
      </w:r>
      <w:r>
        <w:br/>
      </w:r>
      <w:r>
        <w:rPr>
          <w:rStyle w:val="SpecialCharTok"/>
        </w:rPr>
        <w:t xml:space="preserve">\beta\left</w:t>
      </w:r>
      <w:r>
        <w:rPr>
          <w:rStyle w:val="SpecialStringTok"/>
        </w:rPr>
        <w:t xml:space="preserve">(1-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13</w:t>
      </w:r>
      <w:r>
        <w:rPr>
          <w:rStyle w:val="SpecialCharTok"/>
        </w:rPr>
        <w:t xml:space="preserve">\Re\chi</w:t>
      </w:r>
      <w:r>
        <w:rPr>
          <w:rStyle w:val="SpecialStringTok"/>
        </w:rPr>
        <w:t xml:space="preserve">_{(1,0)}(g)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The main theorem is the three-term strong-potential expansion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\SU</w:t>
      </w:r>
      <w:r>
        <w:rPr>
          <w:rStyle w:val="SpecialStringTok"/>
        </w:rPr>
        <w:t xml:space="preserve">(3)}(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{2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}{3}}</w:t>
      </w:r>
      <w:r>
        <w:br/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5{16}</w:t>
      </w:r>
      <w:r>
        <w:br/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{311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6}{9216}</w:t>
      </w:r>
      <w:r>
        <w:rPr>
          <w:rStyle w:val="SpecialCharTok"/>
        </w:rPr>
        <w:t xml:space="preserve">\,\beta</w:t>
      </w:r>
      <w:r>
        <w:rPr>
          <w:rStyle w:val="SpecialStringTok"/>
        </w:rPr>
        <w:t xml:space="preserve">^{-1/2}</w:t>
      </w:r>
      <w:r>
        <w:br/>
      </w:r>
      <w:r>
        <w:rPr>
          <w:rStyle w:val="SpecialStringTok"/>
        </w:rPr>
        <w:t xml:space="preserve">+</w:t>
      </w:r>
      <w:r>
        <w:br/>
      </w:r>
      <w:r>
        <w:rPr>
          <w:rStyle w:val="SpecialStringTok"/>
        </w:rPr>
        <w:t xml:space="preserve">O(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^{-1}).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The order-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^{-1/2}\)</w:t>
      </w:r>
      <w:r>
        <w:rPr>
          <w:rStyle w:val="NormalTok"/>
        </w:rPr>
        <w:t xml:space="preserve"> coefficient is genuinely rank two.  A radial</w:t>
      </w:r>
      <w:r>
        <w:br/>
      </w:r>
      <w:r>
        <w:rPr>
          <w:rStyle w:val="NormalTok"/>
        </w:rPr>
        <w:t xml:space="preserve">calculation gives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c_{1}^{</w:t>
      </w:r>
      <w:r>
        <w:rPr>
          <w:rStyle w:val="SpecialCharTok"/>
        </w:rPr>
        <w:t xml:space="preserve">\mathrm</w:t>
      </w:r>
      <w:r>
        <w:rPr>
          <w:rStyle w:val="SpecialStringTok"/>
        </w:rPr>
        <w:t xml:space="preserve">{rad}}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{327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6}{9216},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whereas the full Weyl-invariant calculation gives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c_1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{311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6}{9216}.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Thus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c_1-c_1^{</w:t>
      </w:r>
      <w:r>
        <w:rPr>
          <w:rStyle w:val="SpecialCharTok"/>
        </w:rPr>
        <w:t xml:space="preserve">\mathrm</w:t>
      </w:r>
      <w:r>
        <w:rPr>
          <w:rStyle w:val="SpecialStringTok"/>
        </w:rPr>
        <w:t xml:space="preserve">{rad}}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6}{576},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and this discrepancy is exactly the contribution of the </w:t>
      </w:r>
      <w:r>
        <w:rPr>
          <w:rStyle w:val="SpecialStringTok"/>
        </w:rPr>
        <w:t xml:space="preserve">\(p_3^2\)</w:t>
      </w:r>
      <w:r>
        <w:rPr>
          <w:rStyle w:val="NormalTok"/>
        </w:rPr>
        <w:t xml:space="preserve"> term in the</w:t>
      </w:r>
      <w:r>
        <w:br/>
      </w:r>
      <w:r>
        <w:rPr>
          <w:rStyle w:val="NormalTok"/>
        </w:rPr>
        <w:t xml:space="preserve">degree-six Wilson-character expansion.</w:t>
      </w:r>
      <w:r>
        <w:br/>
      </w:r>
      <w:r>
        <w:br/>
      </w:r>
      <w:r>
        <w:rPr>
          <w:rStyle w:val="NormalTok"/>
        </w:rPr>
        <w:t xml:space="preserve">The finite leakage matrix attached to the same first-order data is recorded as a</w:t>
      </w:r>
      <w:r>
        <w:br/>
      </w:r>
      <w:r>
        <w:rPr>
          <w:rStyle w:val="NormalTok"/>
        </w:rPr>
        <w:t xml:space="preserve">finite-channel diagnostic only.  It is not asserted to be a full-channel polymer</w:t>
      </w:r>
      <w:r>
        <w:br/>
      </w:r>
      <w:r>
        <w:rPr>
          <w:rStyle w:val="NormalTok"/>
        </w:rPr>
        <w:t xml:space="preserve">constant.  The radial Laguerre tail obstruction explains why the finite matrix</w:t>
      </w:r>
      <w:r>
        <w:br/>
      </w:r>
      <w:r>
        <w:rPr>
          <w:rStyle w:val="NormalTok"/>
        </w:rPr>
        <w:t xml:space="preserve">cannot be promoted without an additional transfer norm, compact-group shell</w:t>
      </w:r>
      <w:r>
        <w:br/>
      </w:r>
      <w:r>
        <w:rPr>
          <w:rStyle w:val="NormalTok"/>
        </w:rPr>
        <w:t xml:space="preserve">estimate, or smoothing mechanism.</w:t>
      </w:r>
      <w:r>
        <w:br/>
      </w:r>
      <w:r>
        <w:br/>
      </w:r>
      <w:r>
        <w:rPr>
          <w:rStyle w:val="KeywordTok"/>
        </w:rPr>
        <w:t xml:space="preserve">\paragraph</w:t>
      </w:r>
      <w:r>
        <w:rPr>
          <w:rStyle w:val="NormalTok"/>
        </w:rPr>
        <w:t xml:space="preserve">{Layer II: Fixed-rank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\SU</w:t>
      </w:r>
      <w:r>
        <w:rPr>
          <w:rStyle w:val="SpecialStringTok"/>
        </w:rPr>
        <w:t xml:space="preserve">(N)\)</w:t>
      </w:r>
      <w:r>
        <w:rPr>
          <w:rStyle w:val="NormalTok"/>
        </w:rPr>
        <w:t xml:space="preserve"> local class gaps.}</w:t>
      </w:r>
      <w:r>
        <w:br/>
      </w:r>
      <w:r>
        <w:rPr>
          <w:rStyle w:val="NormalTok"/>
        </w:rPr>
        <w:t xml:space="preserve">The second layer gives fixed-rank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\SU</w:t>
      </w:r>
      <w:r>
        <w:rPr>
          <w:rStyle w:val="SpecialStringTok"/>
        </w:rPr>
        <w:t xml:space="preserve">(N)\)</w:t>
      </w:r>
      <w:r>
        <w:rPr>
          <w:rStyle w:val="NormalTok"/>
        </w:rPr>
        <w:t xml:space="preserve"> local class-sector coefficients in</w:t>
      </w:r>
      <w:r>
        <w:br/>
      </w:r>
      <w:r>
        <w:rPr>
          <w:rStyle w:val="NormalTok"/>
        </w:rPr>
        <w:t xml:space="preserve">the Weyl--Gaussian model.  Throughout this layer, </w:t>
      </w:r>
      <w:r>
        <w:rPr>
          <w:rStyle w:val="SpecialStringTok"/>
        </w:rPr>
        <w:t xml:space="preserve">\(N\)</w:t>
      </w:r>
      <w:r>
        <w:rPr>
          <w:rStyle w:val="NormalTok"/>
        </w:rPr>
        <w:t xml:space="preserve"> is fixed first and</w:t>
      </w:r>
      <w:r>
        <w:br/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\beta\to\infty</w:t>
      </w:r>
      <w:r>
        <w:rPr>
          <w:rStyle w:val="SpecialStringTok"/>
        </w:rPr>
        <w:t xml:space="preserve">\)</w:t>
      </w:r>
      <w:r>
        <w:rPr>
          <w:rStyle w:val="NormalTok"/>
        </w:rPr>
        <w:t xml:space="preserve">.  No uniform large-</w:t>
      </w:r>
      <w:r>
        <w:rPr>
          <w:rStyle w:val="SpecialStringTok"/>
        </w:rPr>
        <w:t xml:space="preserve">\(N\)</w:t>
      </w:r>
      <w:r>
        <w:rPr>
          <w:rStyle w:val="NormalTok"/>
        </w:rPr>
        <w:t xml:space="preserve"> assertion is made unless explicitly</w:t>
      </w:r>
      <w:r>
        <w:br/>
      </w:r>
      <w:r>
        <w:rPr>
          <w:rStyle w:val="NormalTok"/>
        </w:rPr>
        <w:t xml:space="preserve">stated.</w:t>
      </w:r>
      <w:r>
        <w:br/>
      </w:r>
      <w:r>
        <w:br/>
      </w:r>
      <w:r>
        <w:rPr>
          <w:rStyle w:val="NormalTok"/>
        </w:rPr>
        <w:t xml:space="preserve">The charge-conjugation-even local class gap is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\SU</w:t>
      </w:r>
      <w:r>
        <w:rPr>
          <w:rStyle w:val="SpecialStringTok"/>
        </w:rPr>
        <w:t xml:space="preserve">(N)}^{+}(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{2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}{N}}</w:t>
      </w:r>
      <w:r>
        <w:br/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{2N^2-3}{16N}</w:t>
      </w:r>
      <w:r>
        <w:br/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2(6N^4-24N^2+41)}{1024N^{3/2}}</w:t>
      </w:r>
      <w:r>
        <w:rPr>
          <w:rStyle w:val="SpecialCharTok"/>
        </w:rPr>
        <w:t xml:space="preserve">\,</w:t>
      </w:r>
      <w:r>
        <w:br/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^{-1/2}</w:t>
      </w:r>
      <w:r>
        <w:br/>
      </w:r>
      <w:r>
        <w:rPr>
          <w:rStyle w:val="SpecialStringTok"/>
        </w:rPr>
        <w:t xml:space="preserve">+</w:t>
      </w:r>
      <w:r>
        <w:br/>
      </w:r>
      <w:r>
        <w:rPr>
          <w:rStyle w:val="SpecialStringTok"/>
        </w:rPr>
        <w:t xml:space="preserve">O_N(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^{-1}).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The corresponding charge-conjugation-odd local class gap is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\SU</w:t>
      </w:r>
      <w:r>
        <w:rPr>
          <w:rStyle w:val="SpecialStringTok"/>
        </w:rPr>
        <w:t xml:space="preserve">(N)}^{-}(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{9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}{2N}}</w:t>
      </w:r>
      <w:r>
        <w:br/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{3(N^2-3)}{16N}</w:t>
      </w:r>
      <w:r>
        <w:br/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2(14N^4-97N^2+290)}{1536N^{3/2}}</w:t>
      </w:r>
      <w:r>
        <w:rPr>
          <w:rStyle w:val="SpecialCharTok"/>
        </w:rPr>
        <w:t xml:space="preserve">\,</w:t>
      </w:r>
      <w:r>
        <w:br/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^{-1/2}</w:t>
      </w:r>
      <w:r>
        <w:br/>
      </w:r>
      <w:r>
        <w:rPr>
          <w:rStyle w:val="SpecialStringTok"/>
        </w:rPr>
        <w:t xml:space="preserve">+</w:t>
      </w:r>
      <w:r>
        <w:br/>
      </w:r>
      <w:r>
        <w:rPr>
          <w:rStyle w:val="SpecialStringTok"/>
        </w:rPr>
        <w:t xml:space="preserve">O_N(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^{-1}).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The odd-sector coefficient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{3(N^2-3)}{16N}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is the corrected value.  In particular, the expression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{3(2N^2+1)}{16N}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does not belong to the final theorem stack.</w:t>
      </w:r>
      <w:r>
        <w:br/>
      </w:r>
      <w:r>
        <w:br/>
      </w:r>
      <w:r>
        <w:rPr>
          <w:rStyle w:val="NormalTok"/>
        </w:rPr>
        <w:t xml:space="preserve">Both fixed-rank formulas are supported by finite Wick certificates in the</w:t>
      </w:r>
      <w:r>
        <w:br/>
      </w:r>
      <w:r>
        <w:rPr>
          <w:rStyle w:val="NormalTok"/>
        </w:rPr>
        <w:t xml:space="preserve">traceless Hermitian Gaussian model with covariance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CharTok"/>
        </w:rPr>
        <w:t xml:space="preserve">\E</w:t>
      </w:r>
      <w:r>
        <w:rPr>
          <w:rStyle w:val="SpecialStringTok"/>
        </w:rPr>
        <w:t xml:space="preserve">[X_{ab}X_{cd}]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12</w:t>
      </w:r>
      <w:r>
        <w:br/>
      </w:r>
      <w:r>
        <w:rPr>
          <w:rStyle w:val="SpecialCharTok"/>
        </w:rPr>
        <w:t xml:space="preserve">\left</w:t>
      </w:r>
      <w:r>
        <w:rPr>
          <w:rStyle w:val="SpecialStringTok"/>
        </w:rPr>
        <w:t xml:space="preserve">(</w:t>
      </w:r>
      <w:r>
        <w:br/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_{ad}</w:t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_{bc}</w:t>
      </w:r>
      <w:r>
        <w:br/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1N</w:t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_{ab}</w:t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_{cd}</w:t>
      </w:r>
      <w:r>
        <w:br/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The even-sector </w:t>
      </w:r>
      <w:r>
        <w:rPr>
          <w:rStyle w:val="SpecialStringTok"/>
        </w:rPr>
        <w:t xml:space="preserve">\(H_1\)</w:t>
      </w:r>
      <w:r>
        <w:rPr>
          <w:rStyle w:val="NormalTok"/>
        </w:rPr>
        <w:t xml:space="preserve">-resolvent certificate gives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q_{</w:t>
      </w:r>
      <w:r>
        <w:rPr>
          <w:rStyle w:val="SpecialCharTok"/>
        </w:rPr>
        <w:t xml:space="preserve">\mathrm</w:t>
      </w:r>
      <w:r>
        <w:rPr>
          <w:rStyle w:val="SpecialStringTok"/>
        </w:rPr>
        <w:t xml:space="preserve">{res}}^{(N),+}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{34N^4-120N^2+171}{3072N^2},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while the odd-sector certificate gives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q_-^{(N)}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{14N^4-97N^2+290}{1536N^2}.</w:t>
      </w:r>
      <w:r>
        <w:br/>
      </w:r>
      <w:r>
        <w:rPr>
          <w:rStyle w:val="SpecialStringTok"/>
        </w:rPr>
        <w:t xml:space="preserve">\]</w:t>
      </w:r>
      <w:r>
        <w:br/>
      </w:r>
      <w:r>
        <w:br/>
      </w:r>
      <w:r>
        <w:rPr>
          <w:rStyle w:val="KeywordTok"/>
        </w:rPr>
        <w:t xml:space="preserve">\paragraph</w:t>
      </w:r>
      <w:r>
        <w:rPr>
          <w:rStyle w:val="NormalTok"/>
        </w:rPr>
        <w:t xml:space="preserve">{Layer III: Conditional projected-capacity route.}</w:t>
      </w:r>
      <w:r>
        <w:br/>
      </w:r>
      <w:r>
        <w:rPr>
          <w:rStyle w:val="NormalTok"/>
        </w:rPr>
        <w:t xml:space="preserve">The third layer concerns global Wilson defect geometry.  It is not a consequence</w:t>
      </w:r>
      <w:r>
        <w:br/>
      </w:r>
      <w:r>
        <w:rPr>
          <w:rStyle w:val="NormalTok"/>
        </w:rPr>
        <w:t xml:space="preserve">of the local one-plaquette theorems alone.</w:t>
      </w:r>
      <w:r>
        <w:br/>
      </w:r>
      <w:r>
        <w:br/>
      </w:r>
      <w:r>
        <w:rPr>
          <w:rStyle w:val="NormalTok"/>
        </w:rPr>
        <w:t xml:space="preserve">The incorrect target is a global fixed-window top-norm firewall of the form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CharTok"/>
        </w:rPr>
        <w:t xml:space="preserve">\|</w:t>
      </w:r>
      <w:r>
        <w:rPr>
          <w:rStyle w:val="SpecialStringTok"/>
        </w:rPr>
        <w:t xml:space="preserve">P_{</w:t>
      </w:r>
      <w:r>
        <w:rPr>
          <w:rStyle w:val="SpecialCharTok"/>
        </w:rPr>
        <w:t xml:space="preserve">\Lambda</w:t>
      </w:r>
      <w:r>
        <w:rPr>
          <w:rStyle w:val="SpecialStringTok"/>
        </w:rPr>
        <w:t xml:space="preserve">,L}</w:t>
      </w:r>
      <w:r>
        <w:rPr>
          <w:rStyle w:val="SpecialCharTok"/>
        </w:rPr>
        <w:t xml:space="preserve">\mathbf</w:t>
      </w:r>
      <w:r>
        <w:rPr>
          <w:rStyle w:val="SpecialStringTok"/>
        </w:rPr>
        <w:t xml:space="preserve"> 1_{D_L}P_{</w:t>
      </w:r>
      <w:r>
        <w:rPr>
          <w:rStyle w:val="SpecialCharTok"/>
        </w:rPr>
        <w:t xml:space="preserve">\Lambda</w:t>
      </w:r>
      <w:r>
        <w:rPr>
          <w:rStyle w:val="SpecialStringTok"/>
        </w:rPr>
        <w:t xml:space="preserve">,L}</w:t>
      </w:r>
      <w:r>
        <w:rPr>
          <w:rStyle w:val="SpecialCharTok"/>
        </w:rPr>
        <w:t xml:space="preserve">\|</w:t>
      </w:r>
      <w:r>
        <w:br/>
      </w:r>
      <w:r>
        <w:rPr>
          <w:rStyle w:val="SpecialCharTok"/>
        </w:rPr>
        <w:t xml:space="preserve">\le</w:t>
      </w:r>
      <w:r>
        <w:rPr>
          <w:rStyle w:val="SpecialStringTok"/>
        </w:rPr>
        <w:t xml:space="preserve"> c &lt; 1</w:t>
      </w:r>
      <w:r>
        <w:br/>
      </w:r>
      <w:r>
        <w:rPr>
          <w:rStyle w:val="SpecialCharTok"/>
        </w:rPr>
        <w:t xml:space="preserve">\qquad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{uniformly in }</w:t>
      </w:r>
      <w:r>
        <w:rPr>
          <w:rStyle w:val="SpecialStringTok"/>
        </w:rPr>
        <w:t xml:space="preserve">L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at fixed positive defect density.  Such a statement is false in large volume:</w:t>
      </w:r>
      <w:r>
        <w:br/>
      </w:r>
      <w:r>
        <w:rPr>
          <w:rStyle w:val="NormalTok"/>
        </w:rPr>
        <w:t xml:space="preserve">rare large defective islands occur somewhere in the box and can force the global</w:t>
      </w:r>
      <w:r>
        <w:br/>
      </w:r>
      <w:r>
        <w:rPr>
          <w:rStyle w:val="NormalTok"/>
        </w:rPr>
        <w:t xml:space="preserve">top norm close to one.</w:t>
      </w:r>
      <w:r>
        <w:br/>
      </w:r>
      <w:r>
        <w:br/>
      </w:r>
      <w:r>
        <w:rPr>
          <w:rStyle w:val="NormalTok"/>
        </w:rPr>
        <w:t xml:space="preserve">The viable replacement is rooted.  One studies the bad island connected to a</w:t>
      </w:r>
      <w:r>
        <w:br/>
      </w:r>
      <w:r>
        <w:rPr>
          <w:rStyle w:val="NormalTok"/>
        </w:rPr>
        <w:t xml:space="preserve">fixed root plaquette </w:t>
      </w:r>
      <w:r>
        <w:rPr>
          <w:rStyle w:val="SpecialStringTok"/>
        </w:rPr>
        <w:t xml:space="preserve">\(p_0\)</w:t>
      </w:r>
      <w:r>
        <w:rPr>
          <w:rStyle w:val="NormalTok"/>
        </w:rPr>
        <w:t xml:space="preserve">, weighted by its projected capacity.  The desired</w:t>
      </w:r>
      <w:r>
        <w:br/>
      </w:r>
      <w:r>
        <w:rPr>
          <w:rStyle w:val="NormalTok"/>
        </w:rPr>
        <w:t xml:space="preserve">summability object has the schematic form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\Gamma\ni</w:t>
      </w:r>
      <w:r>
        <w:rPr>
          <w:rStyle w:val="SpecialStringTok"/>
        </w:rPr>
        <w:t xml:space="preserve"> p_0}</w:t>
      </w:r>
      <w:r>
        <w:br/>
      </w:r>
      <w:r>
        <w:rPr>
          <w:rStyle w:val="SpecialCharTok"/>
        </w:rPr>
        <w:t xml:space="preserve">\exp\{</w:t>
      </w:r>
      <w:r>
        <w:rPr>
          <w:rStyle w:val="SpecialStringTok"/>
        </w:rPr>
        <w:t xml:space="preserve">a|</w:t>
      </w:r>
      <w:r>
        <w:rPr>
          <w:rStyle w:val="SpecialCharTok"/>
        </w:rPr>
        <w:t xml:space="preserve">\Gamma</w:t>
      </w:r>
      <w:r>
        <w:rPr>
          <w:rStyle w:val="SpecialStringTok"/>
        </w:rPr>
        <w:t xml:space="preserve">|+s</w:t>
      </w:r>
      <w:r>
        <w:rPr>
          <w:rStyle w:val="SpecialCharTok"/>
        </w:rPr>
        <w:t xml:space="preserve">\Theta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\Lambda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\Gamma</w:t>
      </w:r>
      <w:r>
        <w:rPr>
          <w:rStyle w:val="SpecialStringTok"/>
        </w:rPr>
        <w:t xml:space="preserve">)</w:t>
      </w:r>
      <w:r>
        <w:rPr>
          <w:rStyle w:val="SpecialCharTok"/>
        </w:rPr>
        <w:t xml:space="preserve">\}</w:t>
      </w:r>
      <w:r>
        <w:br/>
      </w:r>
      <w:r>
        <w:rPr>
          <w:rStyle w:val="SpecialCharTok"/>
        </w:rPr>
        <w:t xml:space="preserve">\,</w:t>
      </w:r>
      <w:r>
        <w:br/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 P_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\Gamma\subset</w:t>
      </w:r>
      <w:r>
        <w:rPr>
          <w:rStyle w:val="SpecialStringTok"/>
        </w:rPr>
        <w:t xml:space="preserve"> D_</w:t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&lt;</w:t>
      </w:r>
      <w:r>
        <w:rPr>
          <w:rStyle w:val="SpecialCharTok"/>
        </w:rPr>
        <w:t xml:space="preserve">\infty</w:t>
      </w:r>
      <w:r>
        <w:rPr>
          <w:rStyle w:val="SpecialStringTok"/>
        </w:rPr>
        <w:t xml:space="preserve">,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where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\Gamma</w:t>
      </w:r>
      <w:r>
        <w:rPr>
          <w:rStyle w:val="SpecialStringTok"/>
        </w:rPr>
        <w:t xml:space="preserve">\)</w:t>
      </w:r>
      <w:r>
        <w:rPr>
          <w:rStyle w:val="NormalTok"/>
        </w:rPr>
        <w:t xml:space="preserve"> ranges over connected plaquette animals containing </w:t>
      </w:r>
      <w:r>
        <w:rPr>
          <w:rStyle w:val="SpecialStringTok"/>
        </w:rPr>
        <w:t xml:space="preserve">\(p_0\)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The projected-capacity route therefore has the conditional structure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{inhomogeneous Wilson free-energy stability}</w:t>
      </w:r>
      <w:r>
        <w:br/>
      </w:r>
      <w:r>
        <w:rPr>
          <w:rStyle w:val="SpecialCharTok"/>
        </w:rPr>
        <w:t xml:space="preserve">\Longrightarrow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{hard-defect Peierls bound}</w:t>
      </w:r>
      <w:r>
        <w:br/>
      </w:r>
      <w:r>
        <w:rPr>
          <w:rStyle w:val="SpecialCharTok"/>
        </w:rPr>
        <w:t xml:space="preserve">\Longrightarrow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{rooted projected-capacity summability}</w:t>
      </w:r>
      <w:r>
        <w:br/>
      </w:r>
      <w:r>
        <w:rPr>
          <w:rStyle w:val="SpecialCharTok"/>
        </w:rPr>
        <w:t xml:space="preserve">\Longrightarrow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{source stability}</w:t>
      </w:r>
      <w:r>
        <w:rPr>
          <w:rStyle w:val="SpecialStringTok"/>
        </w:rPr>
        <w:t xml:space="preserve">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The open analytic input is the Wilson free-energy stability estimate strong</w:t>
      </w:r>
      <w:r>
        <w:br/>
      </w:r>
      <w:r>
        <w:rPr>
          <w:rStyle w:val="NormalTok"/>
        </w:rPr>
        <w:t xml:space="preserve">enough to support this chain.  Numerical projected-capacity audits are evidence</w:t>
      </w:r>
      <w:r>
        <w:br/>
      </w:r>
      <w:r>
        <w:rPr>
          <w:rStyle w:val="NormalTok"/>
        </w:rPr>
        <w:t xml:space="preserve">and calibration data for this route; they are not substitutes for the missing</w:t>
      </w:r>
      <w:r>
        <w:br/>
      </w:r>
      <w:r>
        <w:rPr>
          <w:rStyle w:val="NormalTok"/>
        </w:rPr>
        <w:t xml:space="preserve">stochastic theorem.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{Theorem-status convention}</w:t>
      </w:r>
      <w:r>
        <w:br/>
      </w:r>
      <w:r>
        <w:br/>
      </w:r>
      <w:r>
        <w:rPr>
          <w:rStyle w:val="NormalTok"/>
        </w:rPr>
        <w:t xml:space="preserve">Every result below is labeled according to one of the following statuses.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\renewcommand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\arraystretch</w:t>
      </w:r>
      <w:r>
        <w:rPr>
          <w:rStyle w:val="NormalTok"/>
        </w:rPr>
        <w:t xml:space="preserve">}{1.35}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}{p{0.24</w:t>
      </w:r>
      <w:r>
        <w:rPr>
          <w:rStyle w:val="FunctionTok"/>
        </w:rPr>
        <w:t xml:space="preserve">\linewidth</w:t>
      </w:r>
      <w:r>
        <w:rPr>
          <w:rStyle w:val="NormalTok"/>
        </w:rPr>
        <w:t xml:space="preserve">}p{0.66</w:t>
      </w:r>
      <w:r>
        <w:rPr>
          <w:rStyle w:val="FunctionTok"/>
        </w:rPr>
        <w:t xml:space="preserve">\linewidth</w:t>
      </w:r>
      <w:r>
        <w:rPr>
          <w:rStyle w:val="NormalTok"/>
        </w:rPr>
        <w:t xml:space="preserve">}}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Status label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Meaning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{Theorem}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A proved statement within the local or finite-dimensional model specified in</w:t>
      </w:r>
      <w:r>
        <w:br/>
      </w:r>
      <w:r>
        <w:rPr>
          <w:rStyle w:val="NormalTok"/>
        </w:rPr>
        <w:t xml:space="preserve">the hypotheses. </w:t>
      </w:r>
      <w:r>
        <w:rPr>
          <w:rStyle w:val="FunctionTok"/>
        </w:rPr>
        <w:t xml:space="preserve">\\</w:t>
      </w:r>
      <w:r>
        <w:br/>
      </w:r>
      <w:r>
        <w:br/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{Finite certificate}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An exact finite Wick, Gram, projection, or symbolic computation whose inputs and</w:t>
      </w:r>
      <w:r>
        <w:br/>
      </w:r>
      <w:r>
        <w:rPr>
          <w:rStyle w:val="NormalTok"/>
        </w:rPr>
        <w:t xml:space="preserve">outputs are explicitly stated. </w:t>
      </w:r>
      <w:r>
        <w:rPr>
          <w:rStyle w:val="FunctionTok"/>
        </w:rPr>
        <w:t xml:space="preserve">\\</w:t>
      </w:r>
      <w:r>
        <w:br/>
      </w:r>
      <w:r>
        <w:br/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{Numerical audit}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A computational check of a finite truncation, finite lattice, or finite spectral</w:t>
      </w:r>
      <w:r>
        <w:br/>
      </w:r>
      <w:r>
        <w:rPr>
          <w:rStyle w:val="NormalTok"/>
        </w:rPr>
        <w:t xml:space="preserve">window.  It is evidence, not a proof of an infinite-volume theorem. </w:t>
      </w:r>
      <w:r>
        <w:rPr>
          <w:rStyle w:val="FunctionTok"/>
        </w:rPr>
        <w:t xml:space="preserve">\\</w:t>
      </w:r>
      <w:r>
        <w:br/>
      </w:r>
      <w:r>
        <w:br/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{Conditional theorem}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A theorem whose conclusion follows once a clearly named analytic hypothesis is</w:t>
      </w:r>
      <w:r>
        <w:br/>
      </w:r>
      <w:r>
        <w:rPr>
          <w:rStyle w:val="NormalTok"/>
        </w:rPr>
        <w:t xml:space="preserve">supplied. </w:t>
      </w:r>
      <w:r>
        <w:rPr>
          <w:rStyle w:val="FunctionTok"/>
        </w:rPr>
        <w:t xml:space="preserve">\\</w:t>
      </w:r>
      <w:r>
        <w:br/>
      </w:r>
      <w:r>
        <w:br/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{Open input}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A missing analytic estimate required for the global projected-capacity route.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This convention is part of the mathematical content of the document.  It is used</w:t>
      </w:r>
      <w:r>
        <w:br/>
      </w:r>
      <w:r>
        <w:rPr>
          <w:rStyle w:val="NormalTok"/>
        </w:rPr>
        <w:t xml:space="preserve">to prevent local spectral coefficients, finite-dimensional diagnostics, and</w:t>
      </w:r>
      <w:r>
        <w:br/>
      </w:r>
      <w:r>
        <w:rPr>
          <w:rStyle w:val="NormalTok"/>
        </w:rPr>
        <w:t xml:space="preserve">conditional global mechanisms from being collapsed into a single unsupported</w:t>
      </w:r>
      <w:r>
        <w:br/>
      </w:r>
      <w:r>
        <w:rPr>
          <w:rStyle w:val="NormalTok"/>
        </w:rPr>
        <w:t xml:space="preserve">claim.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{What is not claimed}</w:t>
      </w:r>
      <w:r>
        <w:br/>
      </w:r>
      <w:r>
        <w:br/>
      </w:r>
      <w:r>
        <w:rPr>
          <w:rStyle w:val="NormalTok"/>
        </w:rPr>
        <w:t xml:space="preserve">This document does not claim that the local one-plaquette class gap is a physical</w:t>
      </w:r>
      <w:r>
        <w:br/>
      </w:r>
      <w:r>
        <w:rPr>
          <w:rStyle w:val="NormalTok"/>
        </w:rPr>
        <w:t xml:space="preserve">glueball mass.  It does not claim a completed infinite-volume Osterwalder--</w:t>
      </w:r>
      <w:r>
        <w:br/>
      </w:r>
      <w:r>
        <w:rPr>
          <w:rStyle w:val="NormalTok"/>
        </w:rPr>
        <w:t xml:space="preserve">Schrader construction.  It does not claim a continuum Yang--Mills mass gap.</w:t>
      </w:r>
      <w:r>
        <w:br/>
      </w:r>
      <w:r>
        <w:rPr>
          <w:rStyle w:val="NormalTok"/>
        </w:rPr>
        <w:t xml:space="preserve">It does not claim that the finite leakage matrix is a full-channel polymer</w:t>
      </w:r>
      <w:r>
        <w:br/>
      </w:r>
      <w:r>
        <w:rPr>
          <w:rStyle w:val="NormalTok"/>
        </w:rPr>
        <w:t xml:space="preserve">constant.  It does not claim that projected-capacity numerics prove the Wilson</w:t>
      </w:r>
      <w:r>
        <w:br/>
      </w:r>
      <w:r>
        <w:rPr>
          <w:rStyle w:val="NormalTok"/>
        </w:rPr>
        <w:t xml:space="preserve">free-energy stability estimate.</w:t>
      </w:r>
      <w:r>
        <w:br/>
      </w:r>
      <w:r>
        <w:br/>
      </w:r>
      <w:r>
        <w:rPr>
          <w:rStyle w:val="NormalTok"/>
        </w:rPr>
        <w:t xml:space="preserve">The claim is narrower and sharper: the local class-sector coefficients are</w:t>
      </w:r>
      <w:r>
        <w:br/>
      </w:r>
      <w:r>
        <w:rPr>
          <w:rStyle w:val="NormalTok"/>
        </w:rPr>
        <w:t xml:space="preserve">computed exactly through the displayed orders, the finite Wick certificates</w:t>
      </w:r>
      <w:r>
        <w:br/>
      </w:r>
      <w:r>
        <w:rPr>
          <w:rStyle w:val="NormalTok"/>
        </w:rPr>
        <w:t xml:space="preserve">verify the fixed-rank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\SU</w:t>
      </w:r>
      <w:r>
        <w:rPr>
          <w:rStyle w:val="SpecialStringTok"/>
        </w:rPr>
        <w:t xml:space="preserve">(N)\)</w:t>
      </w:r>
      <w:r>
        <w:rPr>
          <w:rStyle w:val="NormalTok"/>
        </w:rPr>
        <w:t xml:space="preserve"> formulas, and the projected-capacity mechanism</w:t>
      </w:r>
      <w:r>
        <w:br/>
      </w:r>
      <w:r>
        <w:rPr>
          <w:rStyle w:val="NormalTok"/>
        </w:rPr>
        <w:t xml:space="preserve">has a precise conditional target.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2026-05-30T15:42:28Z</dcterms:created>
  <dcterms:modified xsi:type="dcterms:W3CDTF">2026-05-30T15:42:28Z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