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7413" w14:textId="3713AF71" w:rsidR="00EF074E" w:rsidRPr="00D76646" w:rsidRDefault="00064908" w:rsidP="00EF074E">
      <w:pPr>
        <w:rPr>
          <w:rFonts w:asciiTheme="majorBidi" w:hAnsiTheme="majorBidi" w:cstheme="majorBidi"/>
          <w:b/>
          <w:bCs/>
        </w:rPr>
      </w:pPr>
      <w:r w:rsidRPr="00D76646">
        <w:rPr>
          <w:rFonts w:asciiTheme="majorBidi" w:hAnsiTheme="majorBidi" w:cstheme="majorBidi"/>
          <w:b/>
          <w:bCs/>
        </w:rPr>
        <w:t>Measles epidemiology</w:t>
      </w:r>
      <w:r w:rsidR="00C07BDC" w:rsidRPr="00D76646">
        <w:rPr>
          <w:rFonts w:asciiTheme="majorBidi" w:hAnsiTheme="majorBidi" w:cstheme="majorBidi"/>
          <w:b/>
          <w:bCs/>
        </w:rPr>
        <w:t xml:space="preserve"> </w:t>
      </w:r>
      <w:r w:rsidR="00EF074E" w:rsidRPr="00D76646">
        <w:rPr>
          <w:rFonts w:asciiTheme="majorBidi" w:hAnsiTheme="majorBidi" w:cstheme="majorBidi"/>
          <w:b/>
          <w:bCs/>
        </w:rPr>
        <w:t xml:space="preserve">and control impact in Saudi Arabia over </w:t>
      </w:r>
      <w:r w:rsidR="00C07BDC" w:rsidRPr="00D76646">
        <w:rPr>
          <w:rFonts w:asciiTheme="majorBidi" w:hAnsiTheme="majorBidi" w:cstheme="majorBidi"/>
          <w:b/>
          <w:bCs/>
        </w:rPr>
        <w:t>ten</w:t>
      </w:r>
      <w:r w:rsidR="00EF074E" w:rsidRPr="00D76646">
        <w:rPr>
          <w:rFonts w:asciiTheme="majorBidi" w:hAnsiTheme="majorBidi" w:cstheme="majorBidi"/>
          <w:b/>
          <w:bCs/>
        </w:rPr>
        <w:t xml:space="preserve"> years.</w:t>
      </w:r>
    </w:p>
    <w:p w14:paraId="5D5E00FE" w14:textId="28E4F368" w:rsidR="00B105AA" w:rsidRPr="00D76646" w:rsidRDefault="00D63C4B" w:rsidP="00AE48F4">
      <w:pPr>
        <w:spacing w:line="480" w:lineRule="auto"/>
        <w:jc w:val="both"/>
        <w:rPr>
          <w:rFonts w:asciiTheme="majorBidi" w:hAnsiTheme="majorBidi" w:cstheme="majorBidi"/>
        </w:rPr>
      </w:pPr>
      <w:bookmarkStart w:id="0" w:name="_Hlk200569757"/>
      <w:bookmarkStart w:id="1" w:name="_Hlk200572128"/>
      <w:bookmarkStart w:id="2" w:name="_Hlk200574656"/>
      <w:r w:rsidRPr="00D76646">
        <w:rPr>
          <w:rFonts w:asciiTheme="majorBidi" w:hAnsiTheme="majorBidi" w:cstheme="majorBidi"/>
        </w:rPr>
        <w:t>Before the era of vaccine measles epidemiology involved virus spread among the susceptible population, reducing its susceptibility rate to 3.0% to 7.0% and subsequently maintaining of as high as 93 to 97%</w:t>
      </w:r>
      <w:r w:rsidR="00071DF7" w:rsidRPr="00D76646">
        <w:rPr>
          <w:rFonts w:asciiTheme="majorBidi" w:hAnsiTheme="majorBidi" w:cstheme="majorBidi"/>
        </w:rPr>
        <w:t xml:space="preserve"> herd immunity </w:t>
      </w:r>
      <w:r w:rsidR="007B5239">
        <w:rPr>
          <w:rFonts w:asciiTheme="majorBidi" w:hAnsiTheme="majorBidi" w:cstheme="majorBidi"/>
        </w:rPr>
        <w:t xml:space="preserve">that is </w:t>
      </w:r>
      <w:r w:rsidR="00071DF7" w:rsidRPr="00D76646">
        <w:rPr>
          <w:rFonts w:asciiTheme="majorBidi" w:hAnsiTheme="majorBidi" w:cstheme="majorBidi"/>
        </w:rPr>
        <w:t xml:space="preserve">further </w:t>
      </w:r>
      <w:r w:rsidRPr="00D76646">
        <w:rPr>
          <w:rFonts w:asciiTheme="majorBidi" w:hAnsiTheme="majorBidi" w:cstheme="majorBidi"/>
        </w:rPr>
        <w:t>maintain</w:t>
      </w:r>
      <w:r w:rsidR="00071DF7" w:rsidRPr="00D76646">
        <w:rPr>
          <w:rFonts w:asciiTheme="majorBidi" w:hAnsiTheme="majorBidi" w:cstheme="majorBidi"/>
        </w:rPr>
        <w:t>ed</w:t>
      </w:r>
      <w:r w:rsidRPr="00D76646">
        <w:rPr>
          <w:rFonts w:asciiTheme="majorBidi" w:hAnsiTheme="majorBidi" w:cstheme="majorBidi"/>
        </w:rPr>
        <w:t xml:space="preserve"> by consistently circulating wild measles virus</w:t>
      </w:r>
      <w:r w:rsidR="00296035">
        <w:rPr>
          <w:rFonts w:asciiTheme="majorBidi" w:hAnsiTheme="majorBidi" w:cstheme="majorBidi"/>
        </w:rPr>
        <w:fldChar w:fldCharType="begin"/>
      </w:r>
      <w:r w:rsidR="002074D7">
        <w:rPr>
          <w:rFonts w:asciiTheme="majorBidi" w:hAnsiTheme="majorBidi" w:cstheme="majorBidi"/>
        </w:rPr>
        <w:instrText xml:space="preserve"> ADDIN ZOTERO_ITEM CSL_CITATION {"citationID":"BwNi3u19","properties":{"formattedCitation":"(1)","plainCitation":"(1)","noteIndex":0},"citationItems":[{"id":15,"uris":["http://zotero.org/users/17790777/items/W44JI5R2"],"itemData":{"id":15,"type":"webpage","abstract":"Read about measles and vaccination, including vaccine safety, efficacy, storage, and reporting.","container-title":"Epidemiology and Prevention of Vaccine-Preventable Diseases","language":"en-us","title":"Chapter 13: Measles","title-short":"Chapter 13","URL":"https://www.cdc.gov/pinkbook/hcp/table-of-contents/chapter-13-measles.html","author":[{"family":"CDC","given":""}],"accessed":{"date-parts":[["2026",3,21]]},"issued":{"date-parts":[["2024",9,30]]}}}],"schema":"https://github.com/citation-style-language/schema/raw/master/csl-citation.json"} </w:instrText>
      </w:r>
      <w:r w:rsidR="00296035">
        <w:rPr>
          <w:rFonts w:asciiTheme="majorBidi" w:hAnsiTheme="majorBidi" w:cstheme="majorBidi"/>
        </w:rPr>
        <w:fldChar w:fldCharType="separate"/>
      </w:r>
      <w:r w:rsidR="00296035" w:rsidRPr="00296035">
        <w:rPr>
          <w:rFonts w:ascii="Times New Roman" w:hAnsi="Times New Roman" w:cs="Times New Roman"/>
        </w:rPr>
        <w:t>(1)</w:t>
      </w:r>
      <w:r w:rsidR="00296035">
        <w:rPr>
          <w:rFonts w:asciiTheme="majorBidi" w:hAnsiTheme="majorBidi" w:cstheme="majorBidi"/>
        </w:rPr>
        <w:fldChar w:fldCharType="end"/>
      </w:r>
      <w:bookmarkEnd w:id="0"/>
      <w:bookmarkEnd w:id="1"/>
      <w:r w:rsidRPr="00D76646">
        <w:rPr>
          <w:rFonts w:asciiTheme="majorBidi" w:hAnsiTheme="majorBidi" w:cstheme="majorBidi"/>
        </w:rPr>
        <w:t>.</w:t>
      </w:r>
      <w:r w:rsidR="00071DF7" w:rsidRPr="00D76646">
        <w:rPr>
          <w:rFonts w:asciiTheme="majorBidi" w:hAnsiTheme="majorBidi" w:cstheme="majorBidi"/>
        </w:rPr>
        <w:t xml:space="preserve"> </w:t>
      </w:r>
      <w:bookmarkStart w:id="3" w:name="_Hlk200571315"/>
      <w:bookmarkStart w:id="4" w:name="_Hlk200575585"/>
      <w:bookmarkStart w:id="5" w:name="_Hlk200574361"/>
      <w:bookmarkEnd w:id="2"/>
      <w:r w:rsidR="00071DF7" w:rsidRPr="00D76646">
        <w:rPr>
          <w:rFonts w:asciiTheme="majorBidi" w:hAnsiTheme="majorBidi" w:cstheme="majorBidi"/>
        </w:rPr>
        <w:t xml:space="preserve">Vaccination became the </w:t>
      </w:r>
      <w:r w:rsidR="007B5239">
        <w:rPr>
          <w:rFonts w:asciiTheme="majorBidi" w:hAnsiTheme="majorBidi" w:cstheme="majorBidi"/>
        </w:rPr>
        <w:t xml:space="preserve">main </w:t>
      </w:r>
      <w:r w:rsidR="00071DF7" w:rsidRPr="00D76646">
        <w:rPr>
          <w:rFonts w:asciiTheme="majorBidi" w:hAnsiTheme="majorBidi" w:cstheme="majorBidi"/>
        </w:rPr>
        <w:t xml:space="preserve">means of achieving high level of herd immunity without having to pay the price of high mortality and morbidity. </w:t>
      </w:r>
      <w:r w:rsidR="00064908">
        <w:rPr>
          <w:rFonts w:asciiTheme="majorBidi" w:hAnsiTheme="majorBidi" w:cstheme="majorBidi"/>
        </w:rPr>
        <w:t>The current estimate is that m</w:t>
      </w:r>
      <w:r w:rsidR="00064908" w:rsidRPr="00064908">
        <w:rPr>
          <w:rFonts w:asciiTheme="majorBidi" w:hAnsiTheme="majorBidi" w:cstheme="majorBidi"/>
        </w:rPr>
        <w:t xml:space="preserve">easles vaccination averted </w:t>
      </w:r>
      <w:r w:rsidR="00064908">
        <w:rPr>
          <w:rFonts w:asciiTheme="majorBidi" w:hAnsiTheme="majorBidi" w:cstheme="majorBidi"/>
        </w:rPr>
        <w:t>over</w:t>
      </w:r>
      <w:r w:rsidR="00064908" w:rsidRPr="00064908">
        <w:rPr>
          <w:rFonts w:asciiTheme="majorBidi" w:hAnsiTheme="majorBidi" w:cstheme="majorBidi"/>
        </w:rPr>
        <w:t xml:space="preserve"> 60 million </w:t>
      </w:r>
      <w:r w:rsidR="00064908">
        <w:rPr>
          <w:rFonts w:asciiTheme="majorBidi" w:hAnsiTheme="majorBidi" w:cstheme="majorBidi"/>
        </w:rPr>
        <w:t xml:space="preserve">global </w:t>
      </w:r>
      <w:r w:rsidR="00064908" w:rsidRPr="00064908">
        <w:rPr>
          <w:rFonts w:asciiTheme="majorBidi" w:hAnsiTheme="majorBidi" w:cstheme="majorBidi"/>
        </w:rPr>
        <w:t>deaths between 2000 and 2023</w:t>
      </w:r>
      <w:r w:rsidR="00993604">
        <w:rPr>
          <w:rFonts w:asciiTheme="majorBidi" w:hAnsiTheme="majorBidi" w:cstheme="majorBidi"/>
        </w:rPr>
        <w:fldChar w:fldCharType="begin"/>
      </w:r>
      <w:r w:rsidR="002074D7">
        <w:rPr>
          <w:rFonts w:asciiTheme="majorBidi" w:hAnsiTheme="majorBidi" w:cstheme="majorBidi"/>
        </w:rPr>
        <w:instrText xml:space="preserve"> ADDIN ZOTERO_ITEM CSL_CITATION {"citationID":"YaOQCTDr","properties":{"formattedCitation":"(2)","plainCitation":"(2)","noteIndex":0},"citationItems":[{"id":14,"uris":["http://zotero.org/users/17790777/items/DP5HTVFU"],"itemData":{"id":14,"type":"article-journal","container-title":"Morbidity and Mortality Weekly Report","DOI":"10.15585/mmwr.mm7345a4","ISSN":"0149-2195","issue":"45","journalAbbreviation":"MMWR Morb Mortal Wkly Rep","page":"1036-1042","PMID":"39541251","PMCID":"PMC11576049","source":"PubMed Central","title":"Progress Toward Measles Elimination — Worldwide, 2000–2023","volume":"73","author":[{"family":"Minta","given":"Anna A."},{"family":"Ferrari","given":"Matt"},{"family":"Antoni","given":"Sebastien"},{"family":"Lambert","given":"Brian"},{"family":"Sayi","given":"Takudzwa S."},{"family":"Hsu","given":"Christopher H."},{"family":"Steulet","given":"Claudia"},{"family":"Gacic-Dobo","given":"Marta"},{"family":"Rota","given":"Paul A."},{"family":"Mulders","given":"Mick N."},{"family":"Wimmer","given":"Alice"},{"family":"Bose","given":"Anindya Sekhar"},{"family":"O’Connor","given":"Patrick"},{"family":"Crowcroft","given":"Natasha S."}],"issued":{"date-parts":[["2024",11,14]]}}}],"schema":"https://github.com/citation-style-language/schema/raw/master/csl-citation.json"} </w:instrText>
      </w:r>
      <w:r w:rsidR="00993604">
        <w:rPr>
          <w:rFonts w:asciiTheme="majorBidi" w:hAnsiTheme="majorBidi" w:cstheme="majorBidi"/>
        </w:rPr>
        <w:fldChar w:fldCharType="separate"/>
      </w:r>
      <w:r w:rsidR="00993604" w:rsidRPr="00993604">
        <w:rPr>
          <w:rFonts w:ascii="Times New Roman" w:hAnsi="Times New Roman" w:cs="Times New Roman"/>
        </w:rPr>
        <w:t>(2)</w:t>
      </w:r>
      <w:r w:rsidR="00993604">
        <w:rPr>
          <w:rFonts w:asciiTheme="majorBidi" w:hAnsiTheme="majorBidi" w:cstheme="majorBidi"/>
        </w:rPr>
        <w:fldChar w:fldCharType="end"/>
      </w:r>
      <w:bookmarkEnd w:id="3"/>
      <w:bookmarkEnd w:id="4"/>
      <w:r w:rsidR="00294DDF">
        <w:rPr>
          <w:rFonts w:asciiTheme="majorBidi" w:hAnsiTheme="majorBidi" w:cstheme="majorBidi"/>
        </w:rPr>
        <w:t xml:space="preserve"> </w:t>
      </w:r>
      <w:bookmarkEnd w:id="5"/>
      <w:r w:rsidR="00294DDF">
        <w:rPr>
          <w:rFonts w:asciiTheme="majorBidi" w:hAnsiTheme="majorBidi" w:cstheme="majorBidi"/>
        </w:rPr>
        <w:t>reducing the number of cases</w:t>
      </w:r>
      <w:r w:rsidR="009E7AAE">
        <w:rPr>
          <w:rFonts w:asciiTheme="majorBidi" w:hAnsiTheme="majorBidi" w:cstheme="majorBidi"/>
        </w:rPr>
        <w:t xml:space="preserve"> </w:t>
      </w:r>
      <w:r w:rsidR="00294DDF" w:rsidRPr="00D76646">
        <w:rPr>
          <w:rFonts w:asciiTheme="majorBidi" w:hAnsiTheme="majorBidi" w:cstheme="majorBidi"/>
        </w:rPr>
        <w:t>from 36,940,000 in 2000 to 10,341,000 and the annual number of measles deaths from 800,000 in 2000 to 107,500 in 2023</w:t>
      </w:r>
      <w:r w:rsidR="00993604">
        <w:rPr>
          <w:rFonts w:asciiTheme="majorBidi" w:hAnsiTheme="majorBidi" w:cstheme="majorBidi"/>
        </w:rPr>
        <w:fldChar w:fldCharType="begin"/>
      </w:r>
      <w:r w:rsidR="002074D7">
        <w:rPr>
          <w:rFonts w:asciiTheme="majorBidi" w:hAnsiTheme="majorBidi" w:cstheme="majorBidi"/>
        </w:rPr>
        <w:instrText xml:space="preserve"> ADDIN ZOTERO_ITEM CSL_CITATION {"citationID":"hceRpasX","properties":{"formattedCitation":"(2)","plainCitation":"(2)","noteIndex":0},"citationItems":[{"id":14,"uris":["http://zotero.org/users/17790777/items/DP5HTVFU"],"itemData":{"id":14,"type":"article-journal","container-title":"Morbidity and Mortality Weekly Report","DOI":"10.15585/mmwr.mm7345a4","ISSN":"0149-2195","issue":"45","journalAbbreviation":"MMWR Morb Mortal Wkly Rep","page":"1036-1042","PMID":"39541251","PMCID":"PMC11576049","source":"PubMed Central","title":"Progress Toward Measles Elimination — Worldwide, 2000–2023","volume":"73","author":[{"family":"Minta","given":"Anna A."},{"family":"Ferrari","given":"Matt"},{"family":"Antoni","given":"Sebastien"},{"family":"Lambert","given":"Brian"},{"family":"Sayi","given":"Takudzwa S."},{"family":"Hsu","given":"Christopher H."},{"family":"Steulet","given":"Claudia"},{"family":"Gacic-Dobo","given":"Marta"},{"family":"Rota","given":"Paul A."},{"family":"Mulders","given":"Mick N."},{"family":"Wimmer","given":"Alice"},{"family":"Bose","given":"Anindya Sekhar"},{"family":"O’Connor","given":"Patrick"},{"family":"Crowcroft","given":"Natasha S."}],"issued":{"date-parts":[["2024",11,14]]}}}],"schema":"https://github.com/citation-style-language/schema/raw/master/csl-citation.json"} </w:instrText>
      </w:r>
      <w:r w:rsidR="00993604">
        <w:rPr>
          <w:rFonts w:asciiTheme="majorBidi" w:hAnsiTheme="majorBidi" w:cstheme="majorBidi"/>
        </w:rPr>
        <w:fldChar w:fldCharType="separate"/>
      </w:r>
      <w:r w:rsidR="00902AB5" w:rsidRPr="00902AB5">
        <w:rPr>
          <w:rFonts w:ascii="Times New Roman" w:hAnsi="Times New Roman" w:cs="Times New Roman"/>
        </w:rPr>
        <w:t>(2)</w:t>
      </w:r>
      <w:r w:rsidR="00993604">
        <w:rPr>
          <w:rFonts w:asciiTheme="majorBidi" w:hAnsiTheme="majorBidi" w:cstheme="majorBidi"/>
        </w:rPr>
        <w:fldChar w:fldCharType="end"/>
      </w:r>
      <w:r w:rsidR="00294DDF" w:rsidRPr="00D76646">
        <w:rPr>
          <w:rFonts w:asciiTheme="majorBidi" w:hAnsiTheme="majorBidi" w:cstheme="majorBidi"/>
        </w:rPr>
        <w:t xml:space="preserve">. </w:t>
      </w:r>
      <w:r w:rsidR="00F24B9B">
        <w:rPr>
          <w:rFonts w:asciiTheme="majorBidi" w:hAnsiTheme="majorBidi" w:cstheme="majorBidi"/>
        </w:rPr>
        <w:t>H</w:t>
      </w:r>
      <w:r w:rsidR="00064908">
        <w:rPr>
          <w:rFonts w:asciiTheme="majorBidi" w:hAnsiTheme="majorBidi" w:cstheme="majorBidi"/>
        </w:rPr>
        <w:t xml:space="preserve">owever, </w:t>
      </w:r>
      <w:r w:rsidR="00064908" w:rsidRPr="00D76646">
        <w:rPr>
          <w:rFonts w:asciiTheme="majorBidi" w:hAnsiTheme="majorBidi" w:cstheme="majorBidi"/>
        </w:rPr>
        <w:t xml:space="preserve">measles remains a major killer </w:t>
      </w:r>
      <w:r w:rsidR="00064908">
        <w:rPr>
          <w:rFonts w:asciiTheme="majorBidi" w:hAnsiTheme="majorBidi" w:cstheme="majorBidi"/>
        </w:rPr>
        <w:t xml:space="preserve">leading to </w:t>
      </w:r>
      <w:r w:rsidR="00693E98">
        <w:rPr>
          <w:rFonts w:asciiTheme="majorBidi" w:hAnsiTheme="majorBidi" w:cstheme="majorBidi"/>
        </w:rPr>
        <w:t xml:space="preserve">107,500 deaths </w:t>
      </w:r>
      <w:r w:rsidR="00071DF7" w:rsidRPr="00D76646">
        <w:rPr>
          <w:rFonts w:asciiTheme="majorBidi" w:hAnsiTheme="majorBidi" w:cstheme="majorBidi"/>
        </w:rPr>
        <w:t xml:space="preserve">due to </w:t>
      </w:r>
      <w:r w:rsidR="009E7AAE">
        <w:rPr>
          <w:rFonts w:asciiTheme="majorBidi" w:hAnsiTheme="majorBidi" w:cstheme="majorBidi"/>
        </w:rPr>
        <w:t xml:space="preserve">lack of vaccination or low </w:t>
      </w:r>
      <w:r w:rsidR="00071DF7" w:rsidRPr="00D76646">
        <w:rPr>
          <w:rFonts w:asciiTheme="majorBidi" w:hAnsiTheme="majorBidi" w:cstheme="majorBidi"/>
        </w:rPr>
        <w:t>vaccination</w:t>
      </w:r>
      <w:r w:rsidR="009E7AAE">
        <w:rPr>
          <w:rFonts w:asciiTheme="majorBidi" w:hAnsiTheme="majorBidi" w:cstheme="majorBidi"/>
        </w:rPr>
        <w:t xml:space="preserve"> coverage</w:t>
      </w:r>
      <w:r w:rsidR="00071DF7" w:rsidRPr="00D76646">
        <w:rPr>
          <w:rFonts w:asciiTheme="majorBidi" w:hAnsiTheme="majorBidi" w:cstheme="majorBidi"/>
        </w:rPr>
        <w:t xml:space="preserve"> age </w:t>
      </w:r>
      <w:r w:rsidR="00294DDF" w:rsidRPr="00D76646">
        <w:rPr>
          <w:rFonts w:asciiTheme="majorBidi" w:hAnsiTheme="majorBidi" w:cstheme="majorBidi"/>
        </w:rPr>
        <w:t xml:space="preserve">of </w:t>
      </w:r>
      <w:r w:rsidR="00294DDF">
        <w:rPr>
          <w:rFonts w:asciiTheme="majorBidi" w:hAnsiTheme="majorBidi" w:cstheme="majorBidi"/>
        </w:rPr>
        <w:t>below</w:t>
      </w:r>
      <w:r w:rsidR="00693E98">
        <w:rPr>
          <w:rFonts w:asciiTheme="majorBidi" w:hAnsiTheme="majorBidi" w:cstheme="majorBidi"/>
        </w:rPr>
        <w:t xml:space="preserve"> </w:t>
      </w:r>
      <w:r w:rsidR="00071DF7" w:rsidRPr="00D76646">
        <w:rPr>
          <w:rFonts w:asciiTheme="majorBidi" w:hAnsiTheme="majorBidi" w:cstheme="majorBidi"/>
        </w:rPr>
        <w:t xml:space="preserve">5 years </w:t>
      </w:r>
      <w:r w:rsidR="00693E98">
        <w:rPr>
          <w:rFonts w:asciiTheme="majorBidi" w:hAnsiTheme="majorBidi" w:cstheme="majorBidi"/>
        </w:rPr>
        <w:t>of age</w:t>
      </w:r>
      <w:r w:rsidR="00902AB5">
        <w:rPr>
          <w:rFonts w:asciiTheme="majorBidi" w:hAnsiTheme="majorBidi" w:cstheme="majorBidi"/>
        </w:rPr>
        <w:fldChar w:fldCharType="begin"/>
      </w:r>
      <w:r w:rsidR="002074D7">
        <w:rPr>
          <w:rFonts w:asciiTheme="majorBidi" w:hAnsiTheme="majorBidi" w:cstheme="majorBidi"/>
        </w:rPr>
        <w:instrText xml:space="preserve"> ADDIN ZOTERO_ITEM CSL_CITATION {"citationID":"6BeQqX4c","properties":{"formattedCitation":"(2)","plainCitation":"(2)","noteIndex":0},"citationItems":[{"id":14,"uris":["http://zotero.org/users/17790777/items/DP5HTVFU"],"itemData":{"id":14,"type":"article-journal","container-title":"Morbidity and Mortality Weekly Report","DOI":"10.15585/mmwr.mm7345a4","ISSN":"0149-2195","issue":"45","journalAbbreviation":"MMWR Morb Mortal Wkly Rep","page":"1036-1042","PMID":"39541251","PMCID":"PMC11576049","source":"PubMed Central","title":"Progress Toward Measles Elimination — Worldwide, 2000–2023","volume":"73","author":[{"family":"Minta","given":"Anna A."},{"family":"Ferrari","given":"Matt"},{"family":"Antoni","given":"Sebastien"},{"family":"Lambert","given":"Brian"},{"family":"Sayi","given":"Takudzwa S."},{"family":"Hsu","given":"Christopher H."},{"family":"Steulet","given":"Claudia"},{"family":"Gacic-Dobo","given":"Marta"},{"family":"Rota","given":"Paul A."},{"family":"Mulders","given":"Mick N."},{"family":"Wimmer","given":"Alice"},{"family":"Bose","given":"Anindya Sekhar"},{"family":"O’Connor","given":"Patrick"},{"family":"Crowcroft","given":"Natasha S."}],"issued":{"date-parts":[["2024",11,14]]}}}],"schema":"https://github.com/citation-style-language/schema/raw/master/csl-citation.json"} </w:instrText>
      </w:r>
      <w:r w:rsidR="00902AB5">
        <w:rPr>
          <w:rFonts w:asciiTheme="majorBidi" w:hAnsiTheme="majorBidi" w:cstheme="majorBidi"/>
        </w:rPr>
        <w:fldChar w:fldCharType="separate"/>
      </w:r>
      <w:r w:rsidR="00902AB5" w:rsidRPr="00902AB5">
        <w:rPr>
          <w:rFonts w:ascii="Times New Roman" w:hAnsi="Times New Roman" w:cs="Times New Roman"/>
        </w:rPr>
        <w:t>(2)</w:t>
      </w:r>
      <w:r w:rsidR="00902AB5">
        <w:rPr>
          <w:rFonts w:asciiTheme="majorBidi" w:hAnsiTheme="majorBidi" w:cstheme="majorBidi"/>
        </w:rPr>
        <w:fldChar w:fldCharType="end"/>
      </w:r>
      <w:r w:rsidR="007B5239" w:rsidRPr="007B5239">
        <w:rPr>
          <w:rFonts w:asciiTheme="majorBidi" w:hAnsiTheme="majorBidi" w:cstheme="majorBidi"/>
        </w:rPr>
        <w:t xml:space="preserve"> </w:t>
      </w:r>
      <w:r w:rsidR="00DB0685">
        <w:rPr>
          <w:rFonts w:asciiTheme="majorBidi" w:hAnsiTheme="majorBidi" w:cstheme="majorBidi"/>
        </w:rPr>
        <w:t>as v</w:t>
      </w:r>
      <w:r w:rsidR="006D079E">
        <w:rPr>
          <w:rFonts w:asciiTheme="majorBidi" w:hAnsiTheme="majorBidi" w:cstheme="majorBidi"/>
        </w:rPr>
        <w:t xml:space="preserve">accination coverage of ≥95% </w:t>
      </w:r>
      <w:r w:rsidR="00DB0685">
        <w:rPr>
          <w:rFonts w:asciiTheme="majorBidi" w:hAnsiTheme="majorBidi" w:cstheme="majorBidi"/>
        </w:rPr>
        <w:t xml:space="preserve">with </w:t>
      </w:r>
      <w:r w:rsidR="006D079E" w:rsidRPr="00406003">
        <w:rPr>
          <w:rFonts w:asciiTheme="majorBidi" w:hAnsiTheme="majorBidi" w:cstheme="majorBidi"/>
        </w:rPr>
        <w:t xml:space="preserve">two doses </w:t>
      </w:r>
      <w:r w:rsidR="00DB0685">
        <w:rPr>
          <w:rFonts w:asciiTheme="majorBidi" w:hAnsiTheme="majorBidi" w:cstheme="majorBidi"/>
        </w:rPr>
        <w:t xml:space="preserve">of </w:t>
      </w:r>
      <w:r w:rsidR="006D079E">
        <w:rPr>
          <w:rFonts w:asciiTheme="majorBidi" w:hAnsiTheme="majorBidi" w:cstheme="majorBidi"/>
        </w:rPr>
        <w:t xml:space="preserve">measles containing vaccine is required to </w:t>
      </w:r>
      <w:r w:rsidR="00DB0685">
        <w:rPr>
          <w:rFonts w:asciiTheme="majorBidi" w:hAnsiTheme="majorBidi" w:cstheme="majorBidi"/>
        </w:rPr>
        <w:t xml:space="preserve">consistently maintain high level of herd immunity and efficiently </w:t>
      </w:r>
      <w:r w:rsidR="006D079E">
        <w:rPr>
          <w:rFonts w:asciiTheme="majorBidi" w:hAnsiTheme="majorBidi" w:cstheme="majorBidi"/>
        </w:rPr>
        <w:t xml:space="preserve">control measles </w:t>
      </w:r>
      <w:r w:rsidR="006D079E" w:rsidRPr="00406003">
        <w:rPr>
          <w:rFonts w:asciiTheme="majorBidi" w:hAnsiTheme="majorBidi" w:cstheme="majorBidi"/>
        </w:rPr>
        <w:t>and prevent outbreaks</w:t>
      </w:r>
      <w:r w:rsidR="00902AB5">
        <w:rPr>
          <w:rFonts w:asciiTheme="majorBidi" w:hAnsiTheme="majorBidi" w:cstheme="majorBidi"/>
        </w:rPr>
        <w:fldChar w:fldCharType="begin"/>
      </w:r>
      <w:r w:rsidR="002074D7">
        <w:rPr>
          <w:rFonts w:asciiTheme="majorBidi" w:hAnsiTheme="majorBidi" w:cstheme="majorBidi"/>
        </w:rPr>
        <w:instrText xml:space="preserve"> ADDIN ZOTERO_ITEM CSL_CITATION {"citationID":"BRgN6vyY","properties":{"formattedCitation":"(3\\uc0\\u8211{}5)","plainCitation":"(3–5)","noteIndex":0},"citationItems":[{"id":12,"uris":["http://zotero.org/users/17790777/items/3ULBMRKH"],"itemData":{"id":12,"type":"article-journal","abstract":"OBJECTIVES: The objectives of this study were as follows: to determine mean percentages of measles vaccination coverage with zero, one and two doses of vaccine and anti-measles herd immunity levels in World Health Organization (WHO) regions in 2023; to assess variations in measles vaccination coverage and anti-measles herd immunity-related indicators from 2019 to 2023; and to assess whether zero-dose measles vaccination coverage indicators were on track to achieve the Immunization Agenda 2030 objective.\nMETHODS: Mean percentages of vaccination coverage with two, one and zero doses of measles vaccine in WHO regions in 2023 were calculated using data from the WHO/UNICEF global and regional immunization information system.\nRESULTS: In 2023, the global mean two-dose measles vaccination coverage was 65.3%, and mean two-dose vaccination coverage was lower than 95% in all WHO regions; the mean prevalence of measles-protected individuals in the target vaccination population was 87.6%, and anti-measles herd immunity levels in the target vaccination population were sufficient to block the transmission of measles viruses with greater transmissibility (Ro ≥ 15) only in the Western Pacific and European WHO regions. The global mean two-dose measles vaccination coverage decreased by 3.7% from 2019 to 2023. In 2023, the mean zero-dose measles coverage and number of zero-dose measles children were, respectively, 36.7% and 40.6% greater than the values required to be on track to achieve the 2030 objective.\nCONCLUSION: This study found that all measles-vaccination-coverage-related indicators worsened from 2019 to 2023, and the zero-dose measles vaccination coverage and number of zero-dose measles children in 2023 were not on track to achieve the AI2030 objective. Interventions to increase routine two-dose measles vaccination coverage should be developed in all WHO regions.","container-title":"Vaccines","DOI":"10.3390/vaccines13020157","ISSN":"2076-393X","issue":"2","journalAbbreviation":"Vaccines (Basel)","language":"eng","page":"157","PMID":"40006704","PMCID":"PMC11860562","source":"PubMed","title":"Measles Vaccination Coverage and Anti-Measles Herd Immunity Levels in the World and WHO Regions Worsened from 2019 to 2023","volume":"13","author":[{"family":"Plans-Rubió","given":"Pedro"}],"issued":{"date-parts":[["2025",2,5]]}}},{"id":11,"uris":["http://zotero.org/users/17790777/items/CI7ZJNXM"],"itemData":{"id":11,"type":"article-journal","abstract":"In 2012, the World Health Organization (WHO) established the Global Vaccine Action Plan with the objective to promote essential vaccinations in all countries and achieve at least 90% vaccination coverage for all routine vaccines by 2020. The study assessed the mean percentages of vaccination coverage in 2019 for 13 routine vaccines, vaccination coverage variation from 2015 to 2019, and herd immunity levels against measles and pertussis in 2019 in countries and regions of WHO. In 2019, the mean percentages of vaccination coverage were lower than 90% for 10 (78.9%) routine vaccines. The mean percentages of vaccination coverage also decreased from 2015 to 2019 for six (46.2%) routine vaccines. The prevalence of individuals with vaccine-induced measles immunity in the target measles vaccination population was 88.1%, and the prevalence of individuals with vaccine-induced pertussis immunity in the target pertussis vaccination population was 81.1%. Herd immunity against measles viruses with Ro = 18 was established in 63 (32.5%) countries but not established in any region. Herd immunity against pertussis agents was not established in any country and in any region of WHO. National immunization programs must be improved to achieve ≥90% vaccination coverage in all countries and regions. Likewise, it is necessary to achieve ≥95% vaccination coverage with two doses of measles vaccines and three doses of pertussis vaccines in all countries and regions.","container-title":"Vaccines","DOI":"10.3390/vaccines9030256","ISSN":"2076-393X","issue":"3","language":"en","license":"http://creativecommons.org/licenses/by/3.0/","page":"256","publisher":"Multidisciplinary Digital Publishing Institute","source":"www.mdpi.com","title":"Vaccination Coverage for Routine Vaccines and Herd Immunity Levels against Measles and Pertussis in the World in 2019","volume":"9","author":[{"family":"Plans-Rubió","given":"Pedro"}],"issued":{"date-parts":[["2021",3]]}}},{"id":10,"uris":["http://zotero.org/users/17790777/items/66IRL5GB"],"itemData":{"id":10,"type":"webpage","abstract":"Measles vaccination coverage has steadily declined since the beginning of the COVID-19 pandemic.","language":"en","title":"Nearly 40 million children are dangerously susceptible to growing measles threat","URL":"https://www.who.int/news/item/23-11-2022-nearly-40-million-children-are-dangerously-susceptible-to-growing-measles-threat","accessed":{"date-parts":[["2026",3,21]]}}}],"schema":"https://github.com/citation-style-language/schema/raw/master/csl-citation.json"} </w:instrText>
      </w:r>
      <w:r w:rsidR="00902AB5">
        <w:rPr>
          <w:rFonts w:asciiTheme="majorBidi" w:hAnsiTheme="majorBidi" w:cstheme="majorBidi"/>
        </w:rPr>
        <w:fldChar w:fldCharType="separate"/>
      </w:r>
      <w:r w:rsidR="00D24CFD" w:rsidRPr="00D24CFD">
        <w:rPr>
          <w:rFonts w:ascii="Times New Roman" w:hAnsi="Times New Roman" w:cs="Times New Roman"/>
          <w:kern w:val="0"/>
        </w:rPr>
        <w:t>(3–5)</w:t>
      </w:r>
      <w:r w:rsidR="00902AB5">
        <w:rPr>
          <w:rFonts w:asciiTheme="majorBidi" w:hAnsiTheme="majorBidi" w:cstheme="majorBidi"/>
        </w:rPr>
        <w:fldChar w:fldCharType="end"/>
      </w:r>
      <w:r w:rsidR="006D079E">
        <w:rPr>
          <w:rFonts w:asciiTheme="majorBidi" w:hAnsiTheme="majorBidi" w:cstheme="majorBidi"/>
        </w:rPr>
        <w:t>.</w:t>
      </w:r>
      <w:r w:rsidR="00EF074E" w:rsidRPr="00D76646">
        <w:rPr>
          <w:rFonts w:asciiTheme="majorBidi" w:hAnsiTheme="majorBidi" w:cstheme="majorBidi"/>
        </w:rPr>
        <w:t xml:space="preserve"> </w:t>
      </w:r>
      <w:r w:rsidR="00DB0685">
        <w:rPr>
          <w:rFonts w:asciiTheme="majorBidi" w:hAnsiTheme="majorBidi" w:cstheme="majorBidi"/>
        </w:rPr>
        <w:t>In c</w:t>
      </w:r>
      <w:r w:rsidR="00DB0685" w:rsidRPr="00D76646">
        <w:rPr>
          <w:rFonts w:asciiTheme="majorBidi" w:hAnsiTheme="majorBidi" w:cstheme="majorBidi"/>
        </w:rPr>
        <w:t>ommunities with low vaccination coverage</w:t>
      </w:r>
      <w:r w:rsidR="00DB0685">
        <w:rPr>
          <w:rFonts w:asciiTheme="majorBidi" w:hAnsiTheme="majorBidi" w:cstheme="majorBidi"/>
        </w:rPr>
        <w:t xml:space="preserve"> and subsequently low</w:t>
      </w:r>
      <w:r w:rsidR="00337441" w:rsidRPr="00D76646">
        <w:rPr>
          <w:rFonts w:asciiTheme="majorBidi" w:hAnsiTheme="majorBidi" w:cstheme="majorBidi"/>
        </w:rPr>
        <w:t xml:space="preserve"> herd immunity </w:t>
      </w:r>
      <w:r w:rsidR="00DB0685" w:rsidRPr="007A5A74">
        <w:rPr>
          <w:rFonts w:asciiTheme="majorBidi" w:hAnsiTheme="majorBidi" w:cstheme="majorBidi"/>
        </w:rPr>
        <w:t xml:space="preserve">measles </w:t>
      </w:r>
      <w:r w:rsidR="00337441" w:rsidRPr="007A5A74">
        <w:rPr>
          <w:rFonts w:asciiTheme="majorBidi" w:hAnsiTheme="majorBidi" w:cstheme="majorBidi"/>
        </w:rPr>
        <w:t>resurge</w:t>
      </w:r>
      <w:r w:rsidR="00294DDF" w:rsidRPr="007A5A74">
        <w:rPr>
          <w:rFonts w:asciiTheme="majorBidi" w:hAnsiTheme="majorBidi" w:cstheme="majorBidi"/>
        </w:rPr>
        <w:t xml:space="preserve"> due to t</w:t>
      </w:r>
      <w:r w:rsidR="00DF0DA0" w:rsidRPr="007A5A74">
        <w:rPr>
          <w:rFonts w:asciiTheme="majorBidi" w:hAnsiTheme="majorBidi" w:cstheme="majorBidi"/>
        </w:rPr>
        <w:t>he high measles contagiousness</w:t>
      </w:r>
      <w:r w:rsidR="00294DDF" w:rsidRPr="007A5A74">
        <w:rPr>
          <w:rFonts w:asciiTheme="majorBidi" w:hAnsiTheme="majorBidi" w:cstheme="majorBidi"/>
        </w:rPr>
        <w:t xml:space="preserve"> with a basic reproduction number (R₀) often between 12 and 18</w:t>
      </w:r>
      <w:r w:rsidR="00D24CFD">
        <w:rPr>
          <w:rFonts w:asciiTheme="majorBidi" w:hAnsiTheme="majorBidi" w:cstheme="majorBidi"/>
        </w:rPr>
        <w:fldChar w:fldCharType="begin"/>
      </w:r>
      <w:r w:rsidR="002074D7">
        <w:rPr>
          <w:rFonts w:asciiTheme="majorBidi" w:hAnsiTheme="majorBidi" w:cstheme="majorBidi"/>
        </w:rPr>
        <w:instrText xml:space="preserve"> ADDIN ZOTERO_ITEM CSL_CITATION {"citationID":"6vEDAmys","properties":{"formattedCitation":"(6)","plainCitation":"(6)","noteIndex":0},"citationItems":[{"id":9,"uris":["http://zotero.org/users/17790777/items/SVQFTR4T"],"itemData":{"id":9,"type":"article-journal","abstract":"The basic reproduction number, R nought (R0), is defined as the average number of secondary cases of an infectious disease arising from a typical case in a totally susceptible population, and can be estimated in populations if pre-existing immunity can be accounted for in the calculation. R0 determines the herd immunity threshold and therefore the immunisation coverage required to achieve elimination of an infectious disease. As R0 increases, higher immunisation coverage is required to achieve herd immunity. In July, 2010, a panel of experts convened by WHO concluded that measles can and should be eradicated. Despite the existence of an effective vaccine, regions have had varying success in measles control, in part because measles is one of the most contagious infections. For measles, R0 is often cited to be 12-18, which means that each person with measles would, on average, infect 12-18 other people in a totally susceptible population. We did a systematic review to find studies reporting rigorous estimates and determinants of measles R0. Studies were included if they were a primary source of R0, addressed pre-existing immunity, and accounted for pre-existing immunity in their calculation of R0. A search of key databases was done in January, 2015, and repeated in November, 2016, and yielded 10 883 unique citations. After screening for relevancy and quality, 18 studies met inclusion criteria, providing 58 R0 estimates. We calculated median measles R0 values stratified by key covariates. We found that R0 estimates vary more than the often cited range of 12-18. Our results highlight the importance of countries calculating R0 using locally derived data or, if this is not possible, using parameter estimates from similar settings. Additional data and agreed review methods are needed to strengthen the evidence base for measles elimination modelling.","container-title":"The Lancet. Infectious Diseases","DOI":"10.1016/S1473-3099(17)30307-9","ISSN":"1474-4457","issue":"12","journalAbbreviation":"Lancet Infect Dis","language":"eng","page":"e420-e428","PMID":"28757186","source":"PubMed","title":"The basic reproduction number (R0) of measles: a systematic review","title-short":"The basic reproduction number (R0) of measles","volume":"17","author":[{"family":"Guerra","given":"Fiona M."},{"family":"Bolotin","given":"Shelly"},{"family":"Lim","given":"Gillian"},{"family":"Heffernan","given":"Jane"},{"family":"Deeks","given":"Shelley L."},{"family":"Li","given":"Ye"},{"family":"Crowcroft","given":"Natasha S."}],"issued":{"date-parts":[["2017",12]]}}}],"schema":"https://github.com/citation-style-language/schema/raw/master/csl-citation.json"} </w:instrText>
      </w:r>
      <w:r w:rsidR="00D24CFD">
        <w:rPr>
          <w:rFonts w:asciiTheme="majorBidi" w:hAnsiTheme="majorBidi" w:cstheme="majorBidi"/>
        </w:rPr>
        <w:fldChar w:fldCharType="separate"/>
      </w:r>
      <w:r w:rsidR="00D24CFD" w:rsidRPr="00D24CFD">
        <w:rPr>
          <w:rFonts w:ascii="Times New Roman" w:hAnsi="Times New Roman" w:cs="Times New Roman"/>
        </w:rPr>
        <w:t>(6)</w:t>
      </w:r>
      <w:r w:rsidR="00D24CFD">
        <w:rPr>
          <w:rFonts w:asciiTheme="majorBidi" w:hAnsiTheme="majorBidi" w:cstheme="majorBidi"/>
        </w:rPr>
        <w:fldChar w:fldCharType="end"/>
      </w:r>
      <w:r w:rsidR="00294DDF" w:rsidRPr="007A5A74">
        <w:rPr>
          <w:rFonts w:asciiTheme="majorBidi" w:hAnsiTheme="majorBidi" w:cstheme="majorBidi"/>
        </w:rPr>
        <w:t xml:space="preserve">. The </w:t>
      </w:r>
      <w:r w:rsidR="00DF0DA0" w:rsidRPr="007A5A74">
        <w:rPr>
          <w:rFonts w:asciiTheme="majorBidi" w:hAnsiTheme="majorBidi" w:cstheme="majorBidi"/>
        </w:rPr>
        <w:t>under 5 children population</w:t>
      </w:r>
      <w:r w:rsidR="00CB5B14" w:rsidRPr="007A5A74">
        <w:rPr>
          <w:rFonts w:asciiTheme="majorBidi" w:hAnsiTheme="majorBidi" w:cstheme="majorBidi"/>
        </w:rPr>
        <w:t xml:space="preserve"> among whom </w:t>
      </w:r>
      <w:r w:rsidR="00DF0DA0" w:rsidRPr="007A5A74">
        <w:rPr>
          <w:rFonts w:asciiTheme="majorBidi" w:hAnsiTheme="majorBidi" w:cstheme="majorBidi"/>
        </w:rPr>
        <w:t xml:space="preserve">malnourishment </w:t>
      </w:r>
      <w:r w:rsidR="00CB5B14" w:rsidRPr="007A5A74">
        <w:rPr>
          <w:rFonts w:asciiTheme="majorBidi" w:hAnsiTheme="majorBidi" w:cstheme="majorBidi"/>
        </w:rPr>
        <w:t xml:space="preserve">prevail measles deaths occur because of its </w:t>
      </w:r>
      <w:r w:rsidR="00DF0DA0" w:rsidRPr="007A5A74">
        <w:rPr>
          <w:rFonts w:asciiTheme="majorBidi" w:hAnsiTheme="majorBidi" w:cstheme="majorBidi"/>
        </w:rPr>
        <w:t>complications</w:t>
      </w:r>
      <w:r w:rsidR="00DF0DA0" w:rsidRPr="00D76646">
        <w:rPr>
          <w:rFonts w:asciiTheme="majorBidi" w:hAnsiTheme="majorBidi" w:cstheme="majorBidi"/>
        </w:rPr>
        <w:t xml:space="preserve"> including pneumonia diarrhea, otitis media, and encephalitis</w:t>
      </w:r>
      <w:r w:rsidR="00AE48F4">
        <w:rPr>
          <w:rFonts w:asciiTheme="majorBidi" w:hAnsiTheme="majorBidi" w:cstheme="majorBidi"/>
        </w:rPr>
        <w:fldChar w:fldCharType="begin"/>
      </w:r>
      <w:r w:rsidR="002074D7">
        <w:rPr>
          <w:rFonts w:asciiTheme="majorBidi" w:hAnsiTheme="majorBidi" w:cstheme="majorBidi"/>
        </w:rPr>
        <w:instrText xml:space="preserve"> ADDIN ZOTERO_ITEM CSL_CITATION {"citationID":"V0uGCpG4","properties":{"formattedCitation":"(7)","plainCitation":"(7)","noteIndex":0},"citationItems":[{"id":8,"uris":["http://zotero.org/users/17790777/items/TM25ZV4X"],"itemData":{"id":8,"type":"article-journal","abstract":"Measles is a highly contagious, potentially fatal, but vaccine-preventable disease caused by measles virus. Symptoms include fever, maculopapular rash, and at least one of cough, coryza, or conjunctivitis, although vaccinated individuals can have milder or even no symptoms. Laboratory diagnosis relies largely on the detection of specific IgM antibodies in serum, dried blood spots, or oral fluid, or the detection of viral RNA in throat or nasopharyngeal swabs, urine, or oral fluid. Complications can affect many organs and often include otitis media, laryngotracheobronchitis, pneumonia, stomatitis, and diarrhoea. Neurological complications are uncommon but serious, and can occur during or soon after the acute disease (eg, acute disseminated encephalomyelitis) or months or even years later (eg, measles inclusion body encephalitis and subacute sclerosing panencephalitis). Patient management mainly involves supportive therapy, such as vitamin A supplementation, monitoring for and treatment of secondary bacterial infections with antibiotics, and rehydration in the case of severe diarrhoea. There is no specific antiviral therapy for the treatment of measles, and disease control largely depends on prevention. However, despite the availability of a safe and effective vaccine, measles is still endemic in many countries and causes considerable morbidity and mortality, especially among children in resource-poor settings. The low case numbers reported in 2020, after a worldwide resurgence of measles between 2017 and 2019, have to be interpreted cautiously, owing to the effect of the COVID-19 pandemic on disease surveillance. Disrupted vaccination activities during the pandemic increase the potential for another resurgence of measles in the near future, and effective, timely catch-up vaccination campaigns, strong commitment and leadership, and sufficient resources will be required to mitigate this threat.","container-title":"Lancet","DOI":"10.1016/S0140-6736(21)02004-3","ISSN":"1474-547X","issue":"10325","journalAbbreviation":"Lancet","language":"eng","page":"678-690","PMID":"35093206","publisher-place":"London, England","source":"PubMed","title":"Measles","volume":"399","author":[{"family":"Hübschen","given":"Judith M."},{"family":"Gouandjika-Vasilache","given":"Ionela"},{"family":"Dina","given":"Julia"}],"issued":{"date-parts":[["2022",2,12]]}}}],"schema":"https://github.com/citation-style-language/schema/raw/master/csl-citation.json"} </w:instrText>
      </w:r>
      <w:r w:rsidR="00AE48F4">
        <w:rPr>
          <w:rFonts w:asciiTheme="majorBidi" w:hAnsiTheme="majorBidi" w:cstheme="majorBidi"/>
        </w:rPr>
        <w:fldChar w:fldCharType="separate"/>
      </w:r>
      <w:r w:rsidR="00AE48F4" w:rsidRPr="00AE48F4">
        <w:rPr>
          <w:rFonts w:ascii="Times New Roman" w:hAnsi="Times New Roman" w:cs="Times New Roman"/>
        </w:rPr>
        <w:t>(7)</w:t>
      </w:r>
      <w:r w:rsidR="00AE48F4">
        <w:rPr>
          <w:rFonts w:asciiTheme="majorBidi" w:hAnsiTheme="majorBidi" w:cstheme="majorBidi"/>
        </w:rPr>
        <w:fldChar w:fldCharType="end"/>
      </w:r>
      <w:r w:rsidR="00DF0DA0" w:rsidRPr="00D76646">
        <w:rPr>
          <w:rFonts w:asciiTheme="majorBidi" w:hAnsiTheme="majorBidi" w:cstheme="majorBidi"/>
        </w:rPr>
        <w:t>.</w:t>
      </w:r>
      <w:r w:rsidR="00AE48F4" w:rsidRPr="00D76646">
        <w:rPr>
          <w:rFonts w:asciiTheme="majorBidi" w:hAnsiTheme="majorBidi" w:cstheme="majorBidi"/>
        </w:rPr>
        <w:t xml:space="preserve"> </w:t>
      </w:r>
    </w:p>
    <w:p w14:paraId="6FB7EB6A" w14:textId="1B3EFF4F" w:rsidR="00C463CF" w:rsidRPr="00D76646" w:rsidRDefault="00FF1BD2" w:rsidP="00AE48F4">
      <w:pPr>
        <w:spacing w:line="480" w:lineRule="auto"/>
        <w:jc w:val="both"/>
        <w:rPr>
          <w:rFonts w:asciiTheme="majorBidi" w:hAnsiTheme="majorBidi" w:cstheme="majorBidi"/>
        </w:rPr>
      </w:pPr>
      <w:r>
        <w:rPr>
          <w:rFonts w:asciiTheme="majorBidi" w:hAnsiTheme="majorBidi" w:cstheme="majorBidi"/>
        </w:rPr>
        <w:t>The measles virus</w:t>
      </w:r>
      <w:r w:rsidR="00EF074E" w:rsidRPr="00D76646">
        <w:rPr>
          <w:rFonts w:asciiTheme="majorBidi" w:hAnsiTheme="majorBidi" w:cstheme="majorBidi"/>
        </w:rPr>
        <w:t xml:space="preserve"> is a </w:t>
      </w:r>
      <w:r w:rsidR="00774930" w:rsidRPr="00D76646">
        <w:rPr>
          <w:rFonts w:asciiTheme="majorBidi" w:hAnsiTheme="majorBidi" w:cstheme="majorBidi"/>
        </w:rPr>
        <w:t>single</w:t>
      </w:r>
      <w:r w:rsidR="00EF074E" w:rsidRPr="00D76646">
        <w:rPr>
          <w:rFonts w:asciiTheme="majorBidi" w:hAnsiTheme="majorBidi" w:cstheme="majorBidi"/>
        </w:rPr>
        <w:t xml:space="preserve"> stranded RNA </w:t>
      </w:r>
      <w:r w:rsidR="00774930" w:rsidRPr="00D76646">
        <w:rPr>
          <w:rFonts w:asciiTheme="majorBidi" w:hAnsiTheme="majorBidi" w:cstheme="majorBidi"/>
        </w:rPr>
        <w:t>helical</w:t>
      </w:r>
      <w:r w:rsidR="00EF074E" w:rsidRPr="00D76646">
        <w:rPr>
          <w:rFonts w:asciiTheme="majorBidi" w:hAnsiTheme="majorBidi" w:cstheme="majorBidi"/>
        </w:rPr>
        <w:t xml:space="preserve"> enveloped virus that belongs to the family paramyxoviridae, genus </w:t>
      </w:r>
      <w:r w:rsidR="00774930" w:rsidRPr="00D76646">
        <w:rPr>
          <w:rFonts w:asciiTheme="majorBidi" w:hAnsiTheme="majorBidi" w:cstheme="majorBidi"/>
        </w:rPr>
        <w:t>m</w:t>
      </w:r>
      <w:r w:rsidR="00EF074E" w:rsidRPr="00D76646">
        <w:rPr>
          <w:rFonts w:asciiTheme="majorBidi" w:hAnsiTheme="majorBidi" w:cstheme="majorBidi"/>
        </w:rPr>
        <w:t>orbillivirus</w:t>
      </w:r>
      <w:r w:rsidR="00C34312" w:rsidRPr="00D76646">
        <w:rPr>
          <w:rFonts w:asciiTheme="majorBidi" w:hAnsiTheme="majorBidi" w:cstheme="majorBidi"/>
        </w:rPr>
        <w:t xml:space="preserve"> </w:t>
      </w:r>
      <w:r w:rsidR="00EF074E" w:rsidRPr="00D76646">
        <w:rPr>
          <w:rFonts w:asciiTheme="majorBidi" w:hAnsiTheme="majorBidi" w:cstheme="majorBidi"/>
        </w:rPr>
        <w:t>with a single serotype</w:t>
      </w:r>
      <w:r w:rsidR="00774930" w:rsidRPr="00D76646">
        <w:rPr>
          <w:rFonts w:asciiTheme="majorBidi" w:hAnsiTheme="majorBidi" w:cstheme="majorBidi"/>
        </w:rPr>
        <w:t xml:space="preserve"> and human as the only host</w:t>
      </w:r>
      <w:r w:rsidR="007A5A74">
        <w:rPr>
          <w:rFonts w:asciiTheme="majorBidi" w:hAnsiTheme="majorBidi" w:cstheme="majorBidi"/>
        </w:rPr>
        <w:t xml:space="preserve"> </w:t>
      </w:r>
      <w:r w:rsidR="007A5A74" w:rsidRPr="00D76646">
        <w:rPr>
          <w:rFonts w:asciiTheme="majorBidi" w:hAnsiTheme="majorBidi" w:cstheme="majorBidi"/>
        </w:rPr>
        <w:t>[</w:t>
      </w:r>
      <w:r w:rsidR="007A5A74">
        <w:rPr>
          <w:rFonts w:asciiTheme="majorBidi" w:hAnsiTheme="majorBidi" w:cstheme="majorBidi"/>
        </w:rPr>
        <w:t>8</w:t>
      </w:r>
      <w:r w:rsidR="007A5A74" w:rsidRPr="00D76646">
        <w:rPr>
          <w:rFonts w:asciiTheme="majorBidi" w:hAnsiTheme="majorBidi" w:cstheme="majorBidi"/>
        </w:rPr>
        <w:t>]</w:t>
      </w:r>
      <w:r w:rsidR="00C34312" w:rsidRPr="00D76646">
        <w:rPr>
          <w:rFonts w:asciiTheme="majorBidi" w:hAnsiTheme="majorBidi" w:cstheme="majorBidi"/>
        </w:rPr>
        <w:t xml:space="preserve">. </w:t>
      </w:r>
      <w:r w:rsidR="00CB5B14">
        <w:rPr>
          <w:rFonts w:asciiTheme="majorBidi" w:hAnsiTheme="majorBidi" w:cstheme="majorBidi"/>
        </w:rPr>
        <w:t xml:space="preserve">The virus </w:t>
      </w:r>
      <w:r w:rsidR="00C463CF" w:rsidRPr="00D76646">
        <w:rPr>
          <w:rFonts w:asciiTheme="majorBidi" w:hAnsiTheme="majorBidi" w:cstheme="majorBidi"/>
        </w:rPr>
        <w:t>infects the lungs alveolar macrophages and dendritic cells through haemagglutinin protein on its surface and fuses with the plasma membrane through fusion protein leading to systemic spread of the virus with primary and secondary viraemia</w:t>
      </w:r>
      <w:r w:rsidR="00AE48F4">
        <w:rPr>
          <w:rFonts w:asciiTheme="majorBidi" w:hAnsiTheme="majorBidi" w:cstheme="majorBidi"/>
        </w:rPr>
        <w:fldChar w:fldCharType="begin"/>
      </w:r>
      <w:r w:rsidR="002074D7">
        <w:rPr>
          <w:rFonts w:asciiTheme="majorBidi" w:hAnsiTheme="majorBidi" w:cstheme="majorBidi"/>
        </w:rPr>
        <w:instrText xml:space="preserve"> ADDIN ZOTERO_ITEM CSL_CITATION {"citationID":"8SFXlTYN","properties":{"formattedCitation":"(1)","plainCitation":"(1)","noteIndex":0},"citationItems":[{"id":15,"uris":["http://zotero.org/users/17790777/items/W44JI5R2"],"itemData":{"id":15,"type":"webpage","abstract":"Read about measles and vaccination, including vaccine safety, efficacy, storage, and reporting.","container-title":"Epidemiology and Prevention of Vaccine-Preventable Diseases","language":"en-us","title":"Chapter 13: Measles","title-short":"Chapter 13","URL":"https://www.cdc.gov/pinkbook/hcp/table-of-contents/chapter-13-measles.html","author":[{"family":"CDC","given":""}],"accessed":{"date-parts":[["2026",3,21]]},"issued":{"date-parts":[["2024",9,30]]}}}],"schema":"https://github.com/citation-style-language/schema/raw/master/csl-citation.json"} </w:instrText>
      </w:r>
      <w:r w:rsidR="00AE48F4">
        <w:rPr>
          <w:rFonts w:asciiTheme="majorBidi" w:hAnsiTheme="majorBidi" w:cstheme="majorBidi"/>
        </w:rPr>
        <w:fldChar w:fldCharType="separate"/>
      </w:r>
      <w:r w:rsidR="00AE48F4" w:rsidRPr="00AE48F4">
        <w:rPr>
          <w:rFonts w:ascii="Times New Roman" w:hAnsi="Times New Roman" w:cs="Times New Roman"/>
        </w:rPr>
        <w:t>(1)</w:t>
      </w:r>
      <w:r w:rsidR="00AE48F4">
        <w:rPr>
          <w:rFonts w:asciiTheme="majorBidi" w:hAnsiTheme="majorBidi" w:cstheme="majorBidi"/>
        </w:rPr>
        <w:fldChar w:fldCharType="end"/>
      </w:r>
      <w:r w:rsidR="00EF074E" w:rsidRPr="00D76646">
        <w:rPr>
          <w:rFonts w:asciiTheme="majorBidi" w:hAnsiTheme="majorBidi" w:cstheme="majorBidi"/>
        </w:rPr>
        <w:t>.</w:t>
      </w:r>
    </w:p>
    <w:p w14:paraId="74552A21" w14:textId="7A72DAAE" w:rsidR="00FA431A" w:rsidRPr="00D76646" w:rsidRDefault="001549B7" w:rsidP="002A1C6A">
      <w:pPr>
        <w:autoSpaceDE w:val="0"/>
        <w:autoSpaceDN w:val="0"/>
        <w:adjustRightInd w:val="0"/>
        <w:spacing w:after="0" w:line="480" w:lineRule="auto"/>
        <w:jc w:val="both"/>
        <w:rPr>
          <w:rFonts w:asciiTheme="majorBidi" w:hAnsiTheme="majorBidi" w:cstheme="majorBidi"/>
        </w:rPr>
      </w:pPr>
      <w:r w:rsidRPr="00D76646">
        <w:rPr>
          <w:rFonts w:asciiTheme="majorBidi" w:hAnsiTheme="majorBidi" w:cstheme="majorBidi"/>
        </w:rPr>
        <w:lastRenderedPageBreak/>
        <w:t xml:space="preserve">In Saudi Arabia since introduction of measles vaccine 1974 </w:t>
      </w:r>
      <w:r w:rsidR="004F509F" w:rsidRPr="00D76646">
        <w:rPr>
          <w:rFonts w:asciiTheme="majorBidi" w:hAnsiTheme="majorBidi" w:cstheme="majorBidi"/>
        </w:rPr>
        <w:t xml:space="preserve">through annual campaigns </w:t>
      </w:r>
      <w:r w:rsidR="00FD3027" w:rsidRPr="00D76646">
        <w:rPr>
          <w:rFonts w:asciiTheme="majorBidi" w:hAnsiTheme="majorBidi" w:cstheme="majorBidi"/>
        </w:rPr>
        <w:t>that targeted</w:t>
      </w:r>
      <w:r w:rsidR="004F509F" w:rsidRPr="00D76646">
        <w:rPr>
          <w:rFonts w:asciiTheme="majorBidi" w:hAnsiTheme="majorBidi" w:cstheme="majorBidi"/>
        </w:rPr>
        <w:t xml:space="preserve"> 1-9 years old </w:t>
      </w:r>
      <w:r w:rsidR="003A586D" w:rsidRPr="00D76646">
        <w:rPr>
          <w:rFonts w:asciiTheme="majorBidi" w:hAnsiTheme="majorBidi" w:cstheme="majorBidi"/>
        </w:rPr>
        <w:t>children</w:t>
      </w:r>
      <w:r w:rsidR="00B75AD6">
        <w:rPr>
          <w:rFonts w:asciiTheme="majorBidi" w:hAnsiTheme="majorBidi" w:cstheme="majorBidi"/>
        </w:rPr>
        <w:fldChar w:fldCharType="begin"/>
      </w:r>
      <w:r w:rsidR="002074D7">
        <w:rPr>
          <w:rFonts w:asciiTheme="majorBidi" w:hAnsiTheme="majorBidi" w:cstheme="majorBidi"/>
        </w:rPr>
        <w:instrText xml:space="preserve"> ADDIN ZOTERO_ITEM CSL_CITATION {"citationID":"g1vgZ6GZ","properties":{"formattedCitation":"(8)","plainCitation":"(8)","noteIndex":0},"citationItems":[{"id":7,"uris":["http://zotero.org/users/17790777/items/T4JDX6BH"],"itemData":{"id":7,"type":"article-journal","abstract":"Before the implementation of the two-dose measles immunization policy in Saudi Arabia, 50 per cent of measles cases in children below the age of one year were reported for the age group 6-8 months. In 1991 two doses of measles vaccine, at 6 months and 12 months, the second dose incorporated with MMR, were integrated into the expanded programme of immunization (EPI). Since 1993, vaccination coverage for the second dose has been above 90 per cent. While measles incidence remains stable in infants below 6 months of age, the incidence in children 9-11 months of age dropped by 50 per cent. The greatest impact was seen in the 6-8-month age group where the incidence dropped by more than 75 per cent. Moreover this two-dose strategy resulted in a situation in which 80 per cent of the measles cases were in children above the age of 5 years, mostly those who had not had two doses of measles vaccine. Further control measures should include non-selective vaccination of school children against measles. The two-dose measles vaccination policy is visualized as a necessity if the goal of measles elimination is to be achieved. Routine monthly reports validated by surveys using the WHO standard 30 cluster technique was used for the study.","container-title":"Journal of Tropical Pediatrics","DOI":"10.1093/tropej/45.2.98","ISSN":"0142-6338","issue":"2","journalAbbreviation":"J Trop Pediatr","language":"eng","page":"98-104","PMID":"10341504","source":"PubMed","title":"Measles immunization: early two-doses policy experience","title-short":"Measles immunization","volume":"45","author":[{"family":"Mazrou","given":"Y. Y.","non-dropping-particle":"al-"},{"family":"Jeffri","given":"M.","non-dropping-particle":"al-"},{"family":"Ahmed","given":"O. M."},{"family":"Aziz","given":"K. M."},{"family":"Mishkas","given":"A. H."}],"issued":{"date-parts":[["1999",4]]}}}],"schema":"https://github.com/citation-style-language/schema/raw/master/csl-citation.json"} </w:instrText>
      </w:r>
      <w:r w:rsidR="00B75AD6">
        <w:rPr>
          <w:rFonts w:asciiTheme="majorBidi" w:hAnsiTheme="majorBidi" w:cstheme="majorBidi"/>
        </w:rPr>
        <w:fldChar w:fldCharType="separate"/>
      </w:r>
      <w:r w:rsidR="00B75AD6" w:rsidRPr="00B75AD6">
        <w:rPr>
          <w:rFonts w:ascii="Times New Roman" w:hAnsi="Times New Roman" w:cs="Times New Roman"/>
        </w:rPr>
        <w:t>(8)</w:t>
      </w:r>
      <w:r w:rsidR="00B75AD6">
        <w:rPr>
          <w:rFonts w:asciiTheme="majorBidi" w:hAnsiTheme="majorBidi" w:cstheme="majorBidi"/>
        </w:rPr>
        <w:fldChar w:fldCharType="end"/>
      </w:r>
      <w:r w:rsidR="00E231DB" w:rsidRPr="00D76646">
        <w:rPr>
          <w:rFonts w:asciiTheme="majorBidi" w:hAnsiTheme="majorBidi" w:cstheme="majorBidi"/>
        </w:rPr>
        <w:t>. In 1982 Shw</w:t>
      </w:r>
      <w:r w:rsidR="00675E08" w:rsidRPr="00D76646">
        <w:rPr>
          <w:rFonts w:asciiTheme="majorBidi" w:hAnsiTheme="majorBidi" w:cstheme="majorBidi"/>
        </w:rPr>
        <w:t>a</w:t>
      </w:r>
      <w:r w:rsidR="00E231DB" w:rsidRPr="00D76646">
        <w:rPr>
          <w:rFonts w:asciiTheme="majorBidi" w:hAnsiTheme="majorBidi" w:cstheme="majorBidi"/>
        </w:rPr>
        <w:t>rtz vaccine was first introduced</w:t>
      </w:r>
      <w:r w:rsidRPr="00D76646">
        <w:rPr>
          <w:rFonts w:asciiTheme="majorBidi" w:hAnsiTheme="majorBidi" w:cstheme="majorBidi"/>
        </w:rPr>
        <w:t xml:space="preserve"> </w:t>
      </w:r>
      <w:r w:rsidR="00E231DB" w:rsidRPr="00D76646">
        <w:rPr>
          <w:rFonts w:asciiTheme="majorBidi" w:hAnsiTheme="majorBidi" w:cstheme="majorBidi"/>
        </w:rPr>
        <w:t>to immunize 9 months infants</w:t>
      </w:r>
      <w:r w:rsidR="00FD3027" w:rsidRPr="00D76646">
        <w:rPr>
          <w:rFonts w:asciiTheme="majorBidi" w:hAnsiTheme="majorBidi" w:cstheme="majorBidi"/>
        </w:rPr>
        <w:t xml:space="preserve"> with initially a low </w:t>
      </w:r>
      <w:r w:rsidR="00FA431A" w:rsidRPr="00D76646">
        <w:rPr>
          <w:rFonts w:asciiTheme="majorBidi" w:hAnsiTheme="majorBidi" w:cstheme="majorBidi"/>
        </w:rPr>
        <w:t>vaccination coverage</w:t>
      </w:r>
      <w:r w:rsidRPr="00D76646">
        <w:rPr>
          <w:rFonts w:asciiTheme="majorBidi" w:hAnsiTheme="majorBidi" w:cstheme="majorBidi"/>
        </w:rPr>
        <w:t xml:space="preserve"> </w:t>
      </w:r>
      <w:r w:rsidR="00FD3027" w:rsidRPr="00D76646">
        <w:rPr>
          <w:rFonts w:asciiTheme="majorBidi" w:hAnsiTheme="majorBidi" w:cstheme="majorBidi"/>
        </w:rPr>
        <w:t xml:space="preserve">that </w:t>
      </w:r>
      <w:r w:rsidRPr="00D76646">
        <w:rPr>
          <w:rFonts w:asciiTheme="majorBidi" w:hAnsiTheme="majorBidi" w:cstheme="majorBidi"/>
        </w:rPr>
        <w:t xml:space="preserve">increased over the </w:t>
      </w:r>
      <w:r w:rsidR="003A586D" w:rsidRPr="00D76646">
        <w:rPr>
          <w:rFonts w:asciiTheme="majorBidi" w:hAnsiTheme="majorBidi" w:cstheme="majorBidi"/>
        </w:rPr>
        <w:t>1980s</w:t>
      </w:r>
      <w:r w:rsidR="00430776" w:rsidRPr="00D76646">
        <w:rPr>
          <w:rFonts w:asciiTheme="majorBidi" w:hAnsiTheme="majorBidi" w:cstheme="majorBidi"/>
        </w:rPr>
        <w:t xml:space="preserve"> </w:t>
      </w:r>
      <w:r w:rsidR="009D39CF" w:rsidRPr="00D76646">
        <w:rPr>
          <w:rFonts w:asciiTheme="majorBidi" w:hAnsiTheme="majorBidi" w:cstheme="majorBidi"/>
        </w:rPr>
        <w:t>to exceed</w:t>
      </w:r>
      <w:r w:rsidRPr="00D76646">
        <w:rPr>
          <w:rFonts w:asciiTheme="majorBidi" w:hAnsiTheme="majorBidi" w:cstheme="majorBidi"/>
        </w:rPr>
        <w:t xml:space="preserve"> 90% </w:t>
      </w:r>
      <w:r w:rsidR="003A586D" w:rsidRPr="00D76646">
        <w:rPr>
          <w:rFonts w:asciiTheme="majorBidi" w:hAnsiTheme="majorBidi" w:cstheme="majorBidi"/>
        </w:rPr>
        <w:t xml:space="preserve">1990 </w:t>
      </w:r>
      <w:r w:rsidR="00430776" w:rsidRPr="00D76646">
        <w:rPr>
          <w:rFonts w:asciiTheme="majorBidi" w:hAnsiTheme="majorBidi" w:cstheme="majorBidi"/>
        </w:rPr>
        <w:t>using</w:t>
      </w:r>
      <w:r w:rsidR="00B75AD6">
        <w:rPr>
          <w:rFonts w:asciiTheme="majorBidi" w:hAnsiTheme="majorBidi" w:cstheme="majorBidi"/>
        </w:rPr>
        <w:fldChar w:fldCharType="begin"/>
      </w:r>
      <w:r w:rsidR="002074D7">
        <w:rPr>
          <w:rFonts w:asciiTheme="majorBidi" w:hAnsiTheme="majorBidi" w:cstheme="majorBidi"/>
        </w:rPr>
        <w:instrText xml:space="preserve"> ADDIN ZOTERO_ITEM CSL_CITATION {"citationID":"Riuomdms","properties":{"formattedCitation":"(8)","plainCitation":"(8)","noteIndex":0},"citationItems":[{"id":7,"uris":["http://zotero.org/users/17790777/items/T4JDX6BH"],"itemData":{"id":7,"type":"article-journal","abstract":"Before the implementation of the two-dose measles immunization policy in Saudi Arabia, 50 per cent of measles cases in children below the age of one year were reported for the age group 6-8 months. In 1991 two doses of measles vaccine, at 6 months and 12 months, the second dose incorporated with MMR, were integrated into the expanded programme of immunization (EPI). Since 1993, vaccination coverage for the second dose has been above 90 per cent. While measles incidence remains stable in infants below 6 months of age, the incidence in children 9-11 months of age dropped by 50 per cent. The greatest impact was seen in the 6-8-month age group where the incidence dropped by more than 75 per cent. Moreover this two-dose strategy resulted in a situation in which 80 per cent of the measles cases were in children above the age of 5 years, mostly those who had not had two doses of measles vaccine. Further control measures should include non-selective vaccination of school children against measles. The two-dose measles vaccination policy is visualized as a necessity if the goal of measles elimination is to be achieved. Routine monthly reports validated by surveys using the WHO standard 30 cluster technique was used for the study.","container-title":"Journal of Tropical Pediatrics","DOI":"10.1093/tropej/45.2.98","ISSN":"0142-6338","issue":"2","journalAbbreviation":"J Trop Pediatr","language":"eng","page":"98-104","PMID":"10341504","source":"PubMed","title":"Measles immunization: early two-doses policy experience","title-short":"Measles immunization","volume":"45","author":[{"family":"Mazrou","given":"Y. Y.","non-dropping-particle":"al-"},{"family":"Jeffri","given":"M.","non-dropping-particle":"al-"},{"family":"Ahmed","given":"O. M."},{"family":"Aziz","given":"K. M."},{"family":"Mishkas","given":"A. H."}],"issued":{"date-parts":[["1999",4]]}}}],"schema":"https://github.com/citation-style-language/schema/raw/master/csl-citation.json"} </w:instrText>
      </w:r>
      <w:r w:rsidR="00B75AD6">
        <w:rPr>
          <w:rFonts w:asciiTheme="majorBidi" w:hAnsiTheme="majorBidi" w:cstheme="majorBidi"/>
        </w:rPr>
        <w:fldChar w:fldCharType="separate"/>
      </w:r>
      <w:r w:rsidR="00B75AD6" w:rsidRPr="00B75AD6">
        <w:rPr>
          <w:rFonts w:ascii="Times New Roman" w:hAnsi="Times New Roman" w:cs="Times New Roman"/>
        </w:rPr>
        <w:t>(8)</w:t>
      </w:r>
      <w:r w:rsidR="00B75AD6">
        <w:rPr>
          <w:rFonts w:asciiTheme="majorBidi" w:hAnsiTheme="majorBidi" w:cstheme="majorBidi"/>
        </w:rPr>
        <w:fldChar w:fldCharType="end"/>
      </w:r>
      <w:r w:rsidR="004704E4" w:rsidRPr="00D76646">
        <w:rPr>
          <w:rFonts w:asciiTheme="majorBidi" w:hAnsiTheme="majorBidi" w:cstheme="majorBidi"/>
        </w:rPr>
        <w:t xml:space="preserve">. </w:t>
      </w:r>
      <w:r w:rsidR="00FD3027" w:rsidRPr="00D76646">
        <w:rPr>
          <w:rFonts w:asciiTheme="majorBidi" w:hAnsiTheme="majorBidi" w:cstheme="majorBidi"/>
        </w:rPr>
        <w:t>The</w:t>
      </w:r>
      <w:r w:rsidR="00FA431A" w:rsidRPr="00D76646">
        <w:rPr>
          <w:rFonts w:asciiTheme="majorBidi" w:hAnsiTheme="majorBidi" w:cstheme="majorBidi"/>
        </w:rPr>
        <w:t xml:space="preserve">n in 1991 a </w:t>
      </w:r>
      <w:r w:rsidR="00FD3027" w:rsidRPr="00D76646">
        <w:rPr>
          <w:rFonts w:asciiTheme="majorBidi" w:hAnsiTheme="majorBidi" w:cstheme="majorBidi"/>
        </w:rPr>
        <w:t>two</w:t>
      </w:r>
      <w:r w:rsidR="00FA431A" w:rsidRPr="00D76646">
        <w:rPr>
          <w:rFonts w:asciiTheme="majorBidi" w:hAnsiTheme="majorBidi" w:cstheme="majorBidi"/>
        </w:rPr>
        <w:t>-dose</w:t>
      </w:r>
      <w:r w:rsidR="00FD3027" w:rsidRPr="00D76646">
        <w:rPr>
          <w:rFonts w:asciiTheme="majorBidi" w:hAnsiTheme="majorBidi" w:cstheme="majorBidi"/>
        </w:rPr>
        <w:t xml:space="preserve"> policy was introduced </w:t>
      </w:r>
      <w:r w:rsidR="00FA431A" w:rsidRPr="00D76646">
        <w:rPr>
          <w:rFonts w:asciiTheme="majorBidi" w:hAnsiTheme="majorBidi" w:cstheme="majorBidi"/>
        </w:rPr>
        <w:t xml:space="preserve">which comprised </w:t>
      </w:r>
      <w:r w:rsidR="00C6297D" w:rsidRPr="00D76646">
        <w:rPr>
          <w:rFonts w:asciiTheme="majorBidi" w:hAnsiTheme="majorBidi" w:cstheme="majorBidi"/>
        </w:rPr>
        <w:t xml:space="preserve">one dose </w:t>
      </w:r>
      <w:r w:rsidR="004B3A0A" w:rsidRPr="00D76646">
        <w:rPr>
          <w:rFonts w:asciiTheme="majorBidi" w:hAnsiTheme="majorBidi" w:cstheme="majorBidi"/>
        </w:rPr>
        <w:t>of the</w:t>
      </w:r>
      <w:r w:rsidR="00C6297D" w:rsidRPr="00D76646">
        <w:rPr>
          <w:rFonts w:asciiTheme="majorBidi" w:hAnsiTheme="majorBidi" w:cstheme="majorBidi"/>
        </w:rPr>
        <w:t xml:space="preserve"> </w:t>
      </w:r>
      <w:r w:rsidR="00FA431A" w:rsidRPr="00D76646">
        <w:rPr>
          <w:rFonts w:asciiTheme="majorBidi" w:hAnsiTheme="majorBidi" w:cstheme="majorBidi"/>
        </w:rPr>
        <w:t xml:space="preserve"> more immunogenic Edmonston Zagreb vaccine </w:t>
      </w:r>
      <w:r w:rsidR="004B3A0A" w:rsidRPr="00D76646">
        <w:rPr>
          <w:rFonts w:asciiTheme="majorBidi" w:hAnsiTheme="majorBidi" w:cstheme="majorBidi"/>
        </w:rPr>
        <w:t xml:space="preserve">at 6-month </w:t>
      </w:r>
      <w:r w:rsidR="00FA431A" w:rsidRPr="00D76646">
        <w:rPr>
          <w:rFonts w:asciiTheme="majorBidi" w:hAnsiTheme="majorBidi" w:cstheme="majorBidi"/>
        </w:rPr>
        <w:t xml:space="preserve">and </w:t>
      </w:r>
      <w:r w:rsidR="00C6297D" w:rsidRPr="00D76646">
        <w:rPr>
          <w:rFonts w:asciiTheme="majorBidi" w:hAnsiTheme="majorBidi" w:cstheme="majorBidi"/>
        </w:rPr>
        <w:t xml:space="preserve">one dose </w:t>
      </w:r>
      <w:r w:rsidR="004B3A0A" w:rsidRPr="00D76646">
        <w:rPr>
          <w:rFonts w:asciiTheme="majorBidi" w:hAnsiTheme="majorBidi" w:cstheme="majorBidi"/>
        </w:rPr>
        <w:t xml:space="preserve">of </w:t>
      </w:r>
      <w:r w:rsidR="00FA431A" w:rsidRPr="00D76646">
        <w:rPr>
          <w:rFonts w:asciiTheme="majorBidi" w:hAnsiTheme="majorBidi" w:cstheme="majorBidi"/>
        </w:rPr>
        <w:t xml:space="preserve">MMR vaccine </w:t>
      </w:r>
      <w:r w:rsidR="00C6297D" w:rsidRPr="00D76646">
        <w:rPr>
          <w:rFonts w:asciiTheme="majorBidi" w:hAnsiTheme="majorBidi" w:cstheme="majorBidi"/>
        </w:rPr>
        <w:t xml:space="preserve">at 12 months </w:t>
      </w:r>
      <w:r w:rsidR="00FA431A" w:rsidRPr="00D76646">
        <w:rPr>
          <w:rFonts w:asciiTheme="majorBidi" w:hAnsiTheme="majorBidi" w:cstheme="majorBidi"/>
        </w:rPr>
        <w:t xml:space="preserve">to reduce the number of measles cases in the community at large and </w:t>
      </w:r>
      <w:r w:rsidR="009D39CF" w:rsidRPr="00D76646">
        <w:rPr>
          <w:rFonts w:asciiTheme="majorBidi" w:hAnsiTheme="majorBidi" w:cstheme="majorBidi"/>
        </w:rPr>
        <w:t xml:space="preserve"> </w:t>
      </w:r>
      <w:r w:rsidR="00C6297D" w:rsidRPr="00D76646">
        <w:rPr>
          <w:rFonts w:asciiTheme="majorBidi" w:hAnsiTheme="majorBidi" w:cstheme="majorBidi"/>
        </w:rPr>
        <w:t xml:space="preserve">among those </w:t>
      </w:r>
      <w:r w:rsidR="004B3A0A" w:rsidRPr="00D76646">
        <w:rPr>
          <w:rFonts w:asciiTheme="majorBidi" w:hAnsiTheme="majorBidi" w:cstheme="majorBidi"/>
        </w:rPr>
        <w:t>of</w:t>
      </w:r>
      <w:r w:rsidR="00C6297D" w:rsidRPr="00D76646">
        <w:rPr>
          <w:rFonts w:asciiTheme="majorBidi" w:hAnsiTheme="majorBidi" w:cstheme="majorBidi"/>
        </w:rPr>
        <w:t xml:space="preserve"> </w:t>
      </w:r>
      <w:r w:rsidR="009D39CF" w:rsidRPr="00D76646">
        <w:rPr>
          <w:rFonts w:asciiTheme="majorBidi" w:hAnsiTheme="majorBidi" w:cstheme="majorBidi"/>
        </w:rPr>
        <w:t>less than five years old children</w:t>
      </w:r>
      <w:r w:rsidR="00FA431A" w:rsidRPr="00D76646">
        <w:rPr>
          <w:rFonts w:asciiTheme="majorBidi" w:hAnsiTheme="majorBidi" w:cstheme="majorBidi"/>
        </w:rPr>
        <w:t xml:space="preserve">; to eliminate or reduce measles occurring </w:t>
      </w:r>
      <w:r w:rsidR="009D39CF" w:rsidRPr="00D76646">
        <w:rPr>
          <w:rFonts w:asciiTheme="majorBidi" w:hAnsiTheme="majorBidi" w:cstheme="majorBidi"/>
        </w:rPr>
        <w:t>at</w:t>
      </w:r>
      <w:r w:rsidR="00FA431A" w:rsidRPr="00D76646">
        <w:rPr>
          <w:rFonts w:asciiTheme="majorBidi" w:hAnsiTheme="majorBidi" w:cstheme="majorBidi"/>
        </w:rPr>
        <w:t xml:space="preserve"> 6 and 9 months, which accounts for about 50</w:t>
      </w:r>
      <w:r w:rsidR="009D39CF" w:rsidRPr="00D76646">
        <w:rPr>
          <w:rFonts w:asciiTheme="majorBidi" w:hAnsiTheme="majorBidi" w:cstheme="majorBidi"/>
        </w:rPr>
        <w:t>%</w:t>
      </w:r>
      <w:r w:rsidR="00FA431A" w:rsidRPr="00D76646">
        <w:rPr>
          <w:rFonts w:asciiTheme="majorBidi" w:hAnsiTheme="majorBidi" w:cstheme="majorBidi"/>
        </w:rPr>
        <w:t xml:space="preserve"> of</w:t>
      </w:r>
      <w:r w:rsidR="009D39CF" w:rsidRPr="00D76646">
        <w:rPr>
          <w:rFonts w:asciiTheme="majorBidi" w:hAnsiTheme="majorBidi" w:cstheme="majorBidi"/>
        </w:rPr>
        <w:t xml:space="preserve"> </w:t>
      </w:r>
      <w:r w:rsidR="00FA431A" w:rsidRPr="00D76646">
        <w:rPr>
          <w:rFonts w:asciiTheme="majorBidi" w:hAnsiTheme="majorBidi" w:cstheme="majorBidi"/>
        </w:rPr>
        <w:t xml:space="preserve">cases </w:t>
      </w:r>
      <w:r w:rsidR="004B3A0A" w:rsidRPr="00D76646">
        <w:rPr>
          <w:rFonts w:asciiTheme="majorBidi" w:hAnsiTheme="majorBidi" w:cstheme="majorBidi"/>
        </w:rPr>
        <w:t>b</w:t>
      </w:r>
      <w:r w:rsidR="009D39CF" w:rsidRPr="00D76646">
        <w:rPr>
          <w:rFonts w:asciiTheme="majorBidi" w:hAnsiTheme="majorBidi" w:cstheme="majorBidi"/>
        </w:rPr>
        <w:t>e</w:t>
      </w:r>
      <w:r w:rsidR="00FA431A" w:rsidRPr="00D76646">
        <w:rPr>
          <w:rFonts w:asciiTheme="majorBidi" w:hAnsiTheme="majorBidi" w:cstheme="majorBidi"/>
        </w:rPr>
        <w:t xml:space="preserve">low the age of </w:t>
      </w:r>
      <w:r w:rsidR="009D39CF" w:rsidRPr="00D76646">
        <w:rPr>
          <w:rFonts w:asciiTheme="majorBidi" w:hAnsiTheme="majorBidi" w:cstheme="majorBidi"/>
        </w:rPr>
        <w:t xml:space="preserve"> one year </w:t>
      </w:r>
      <w:r w:rsidR="00C6297D" w:rsidRPr="00D76646">
        <w:rPr>
          <w:rFonts w:asciiTheme="majorBidi" w:hAnsiTheme="majorBidi" w:cstheme="majorBidi"/>
        </w:rPr>
        <w:t>b</w:t>
      </w:r>
      <w:r w:rsidR="009D39CF" w:rsidRPr="00D76646">
        <w:rPr>
          <w:rFonts w:asciiTheme="majorBidi" w:hAnsiTheme="majorBidi" w:cstheme="majorBidi"/>
        </w:rPr>
        <w:t>ased on the ministry</w:t>
      </w:r>
      <w:r w:rsidR="00FA431A" w:rsidRPr="00D76646">
        <w:rPr>
          <w:rFonts w:asciiTheme="majorBidi" w:hAnsiTheme="majorBidi" w:cstheme="majorBidi"/>
        </w:rPr>
        <w:t xml:space="preserve"> of health repo</w:t>
      </w:r>
      <w:r w:rsidR="009D39CF" w:rsidRPr="00D76646">
        <w:rPr>
          <w:rFonts w:asciiTheme="majorBidi" w:hAnsiTheme="majorBidi" w:cstheme="majorBidi"/>
        </w:rPr>
        <w:t>rt</w:t>
      </w:r>
      <w:r w:rsidR="002A1C6A">
        <w:rPr>
          <w:rFonts w:asciiTheme="majorBidi" w:hAnsiTheme="majorBidi" w:cstheme="majorBidi"/>
        </w:rPr>
        <w:fldChar w:fldCharType="begin"/>
      </w:r>
      <w:r w:rsidR="002074D7">
        <w:rPr>
          <w:rFonts w:asciiTheme="majorBidi" w:hAnsiTheme="majorBidi" w:cstheme="majorBidi"/>
        </w:rPr>
        <w:instrText xml:space="preserve"> ADDIN ZOTERO_ITEM CSL_CITATION {"citationID":"mp65i5kC","properties":{"formattedCitation":"(9)","plainCitation":"(9)","noteIndex":0},"citationItems":[{"id":6,"uris":["http://zotero.org/users/17790777/items/NNCUH34V"],"itemData":{"id":6,"type":"article-journal","abstract":"This paper describes the measles immunization programme in Saudi Arabia and the change from the single-dose schedule with the Schwartz vaccine to the double-dose schedule with the Edmonston-Zagreb vaccine. The recent measles-mumps-rubella school campaign is also described.","container-title":"Eastern Mediterranean Health Journal = La Revue De Sante De La Mediterranee Orientale = Al-Majallah Al-Sihhiyah Li-Sharq Al-Mutawassit","ISSN":"1020-3397","issue":"4-5","journalAbbreviation":"East Mediterr Health J","language":"eng","page":"829-834","PMID":"15332786","source":"PubMed","title":"Measles immunization in Saudi Arabia: the need for change","title-short":"Measles immunization in Saudi Arabia","volume":"7","author":[{"family":"Khalil","given":"M. K."},{"family":"Al-Mazrou","given":"Y. Y."},{"family":"Al-Jeffri","given":"M."},{"family":"Al-Ghamdy","given":"Y. S."}],"issued":{"date-parts":[["2001"]]}}}],"schema":"https://github.com/citation-style-language/schema/raw/master/csl-citation.json"} </w:instrText>
      </w:r>
      <w:r w:rsidR="002A1C6A">
        <w:rPr>
          <w:rFonts w:asciiTheme="majorBidi" w:hAnsiTheme="majorBidi" w:cstheme="majorBidi"/>
        </w:rPr>
        <w:fldChar w:fldCharType="separate"/>
      </w:r>
      <w:r w:rsidR="002A1C6A" w:rsidRPr="002A1C6A">
        <w:rPr>
          <w:rFonts w:ascii="Times New Roman" w:hAnsi="Times New Roman" w:cs="Times New Roman"/>
        </w:rPr>
        <w:t>(9)</w:t>
      </w:r>
      <w:r w:rsidR="002A1C6A">
        <w:rPr>
          <w:rFonts w:asciiTheme="majorBidi" w:hAnsiTheme="majorBidi" w:cstheme="majorBidi"/>
        </w:rPr>
        <w:fldChar w:fldCharType="end"/>
      </w:r>
      <w:r w:rsidR="00C6297D" w:rsidRPr="00D76646">
        <w:rPr>
          <w:rFonts w:asciiTheme="majorBidi" w:hAnsiTheme="majorBidi" w:cstheme="majorBidi"/>
        </w:rPr>
        <w:t xml:space="preserve">. As of 2001 the schedule was modified </w:t>
      </w:r>
      <w:r w:rsidR="004B3A0A" w:rsidRPr="00D76646">
        <w:rPr>
          <w:rFonts w:asciiTheme="majorBidi" w:hAnsiTheme="majorBidi" w:cstheme="majorBidi"/>
        </w:rPr>
        <w:t>to two</w:t>
      </w:r>
      <w:r w:rsidR="00C6297D" w:rsidRPr="00D76646">
        <w:rPr>
          <w:rFonts w:asciiTheme="majorBidi" w:hAnsiTheme="majorBidi" w:cstheme="majorBidi"/>
        </w:rPr>
        <w:t xml:space="preserve"> doses of the MMR vaccine: the first at 12 months and the second at 6 years of age</w:t>
      </w:r>
      <w:r w:rsidR="002A1C6A">
        <w:rPr>
          <w:rFonts w:asciiTheme="majorBidi" w:hAnsiTheme="majorBidi" w:cstheme="majorBidi"/>
        </w:rPr>
        <w:fldChar w:fldCharType="begin"/>
      </w:r>
      <w:r w:rsidR="002074D7">
        <w:rPr>
          <w:rFonts w:asciiTheme="majorBidi" w:hAnsiTheme="majorBidi" w:cstheme="majorBidi"/>
        </w:rPr>
        <w:instrText xml:space="preserve"> ADDIN ZOTERO_ITEM CSL_CITATION {"citationID":"ziiU31NN","properties":{"formattedCitation":"(9)","plainCitation":"(9)","noteIndex":0},"citationItems":[{"id":6,"uris":["http://zotero.org/users/17790777/items/NNCUH34V"],"itemData":{"id":6,"type":"article-journal","abstract":"This paper describes the measles immunization programme in Saudi Arabia and the change from the single-dose schedule with the Schwartz vaccine to the double-dose schedule with the Edmonston-Zagreb vaccine. The recent measles-mumps-rubella school campaign is also described.","container-title":"Eastern Mediterranean Health Journal = La Revue De Sante De La Mediterranee Orientale = Al-Majallah Al-Sihhiyah Li-Sharq Al-Mutawassit","ISSN":"1020-3397","issue":"4-5","journalAbbreviation":"East Mediterr Health J","language":"eng","page":"829-834","PMID":"15332786","source":"PubMed","title":"Measles immunization in Saudi Arabia: the need for change","title-short":"Measles immunization in Saudi Arabia","volume":"7","author":[{"family":"Khalil","given":"M. K."},{"family":"Al-Mazrou","given":"Y. Y."},{"family":"Al-Jeffri","given":"M."},{"family":"Al-Ghamdy","given":"Y. S."}],"issued":{"date-parts":[["2001"]]}}}],"schema":"https://github.com/citation-style-language/schema/raw/master/csl-citation.json"} </w:instrText>
      </w:r>
      <w:r w:rsidR="002A1C6A">
        <w:rPr>
          <w:rFonts w:asciiTheme="majorBidi" w:hAnsiTheme="majorBidi" w:cstheme="majorBidi"/>
        </w:rPr>
        <w:fldChar w:fldCharType="separate"/>
      </w:r>
      <w:r w:rsidR="002A1C6A" w:rsidRPr="002A1C6A">
        <w:rPr>
          <w:rFonts w:ascii="Times New Roman" w:hAnsi="Times New Roman" w:cs="Times New Roman"/>
        </w:rPr>
        <w:t>(9)</w:t>
      </w:r>
      <w:r w:rsidR="002A1C6A">
        <w:rPr>
          <w:rFonts w:asciiTheme="majorBidi" w:hAnsiTheme="majorBidi" w:cstheme="majorBidi"/>
        </w:rPr>
        <w:fldChar w:fldCharType="end"/>
      </w:r>
      <w:r w:rsidR="00C6297D" w:rsidRPr="00D76646">
        <w:rPr>
          <w:rFonts w:asciiTheme="majorBidi" w:hAnsiTheme="majorBidi" w:cstheme="majorBidi"/>
        </w:rPr>
        <w:t>.</w:t>
      </w:r>
      <w:r w:rsidR="00EF3CC2" w:rsidRPr="00EF3CC2">
        <w:rPr>
          <w:rFonts w:asciiTheme="majorBidi" w:hAnsiTheme="majorBidi" w:cstheme="majorBidi"/>
        </w:rPr>
        <w:t xml:space="preserve"> </w:t>
      </w:r>
      <w:r w:rsidR="00EF3CC2" w:rsidRPr="00E56E48">
        <w:rPr>
          <w:rFonts w:asciiTheme="majorBidi" w:hAnsiTheme="majorBidi" w:cstheme="majorBidi"/>
        </w:rPr>
        <w:t>This is a retrospective descriptive study conducted to analyze the trend,</w:t>
      </w:r>
      <w:r w:rsidR="00EF3CC2">
        <w:rPr>
          <w:rFonts w:asciiTheme="majorBidi" w:hAnsiTheme="majorBidi" w:cstheme="majorBidi" w:hint="cs"/>
          <w:rtl/>
        </w:rPr>
        <w:t xml:space="preserve"> </w:t>
      </w:r>
      <w:r w:rsidR="00EF3CC2" w:rsidRPr="00E56E48">
        <w:rPr>
          <w:rFonts w:asciiTheme="majorBidi" w:hAnsiTheme="majorBidi" w:cstheme="majorBidi"/>
        </w:rPr>
        <w:t>distribution and impact of control of measles in Saudi Arabia in a period between the year 2014 to 2023.</w:t>
      </w:r>
      <w:r w:rsidR="005E60E4" w:rsidRPr="005E60E4">
        <w:t xml:space="preserve"> </w:t>
      </w:r>
      <w:r w:rsidR="005E60E4" w:rsidRPr="005E60E4">
        <w:rPr>
          <w:rFonts w:asciiTheme="majorBidi" w:hAnsiTheme="majorBidi" w:cstheme="majorBidi"/>
        </w:rPr>
        <w:t>Moreover, the study aimed to describe national epidemiological patterns rather than establish causal associations</w:t>
      </w:r>
      <w:r w:rsidR="005E60E4">
        <w:rPr>
          <w:rFonts w:asciiTheme="majorBidi" w:hAnsiTheme="majorBidi" w:cstheme="majorBidi"/>
        </w:rPr>
        <w:t>.</w:t>
      </w:r>
    </w:p>
    <w:p w14:paraId="7450D53F" w14:textId="77777777" w:rsidR="0046436F" w:rsidRPr="0046436F" w:rsidRDefault="0046436F" w:rsidP="0046436F">
      <w:pPr>
        <w:spacing w:after="0" w:line="480" w:lineRule="auto"/>
        <w:rPr>
          <w:rFonts w:asciiTheme="majorBidi" w:hAnsiTheme="majorBidi" w:cstheme="majorBidi"/>
          <w:b/>
          <w:bCs/>
        </w:rPr>
      </w:pPr>
      <w:r w:rsidRPr="0046436F">
        <w:rPr>
          <w:rFonts w:asciiTheme="majorBidi" w:hAnsiTheme="majorBidi" w:cstheme="majorBidi"/>
          <w:b/>
          <w:bCs/>
        </w:rPr>
        <w:t>Methodology</w:t>
      </w:r>
    </w:p>
    <w:p w14:paraId="5C11C25A" w14:textId="77777777" w:rsidR="0046436F" w:rsidRPr="0046436F" w:rsidRDefault="0046436F" w:rsidP="0046436F">
      <w:pPr>
        <w:spacing w:after="0" w:line="480" w:lineRule="auto"/>
        <w:rPr>
          <w:rFonts w:asciiTheme="majorBidi" w:hAnsiTheme="majorBidi" w:cstheme="majorBidi"/>
          <w:b/>
          <w:bCs/>
        </w:rPr>
      </w:pPr>
    </w:p>
    <w:p w14:paraId="3059E943" w14:textId="437F75FE" w:rsidR="0046436F" w:rsidRPr="0046436F" w:rsidRDefault="0046436F" w:rsidP="00EF2C95">
      <w:pPr>
        <w:spacing w:after="0" w:line="480" w:lineRule="auto"/>
        <w:rPr>
          <w:rFonts w:asciiTheme="majorBidi" w:hAnsiTheme="majorBidi" w:cstheme="majorBidi"/>
        </w:rPr>
      </w:pPr>
      <w:r w:rsidRPr="0046436F">
        <w:rPr>
          <w:rFonts w:asciiTheme="majorBidi" w:hAnsiTheme="majorBidi" w:cstheme="majorBidi"/>
        </w:rPr>
        <w:t>This descriptive epidemiological study analyzed the absolute number of reported measles cases, crude incidence rates (CIRs), average annual incidence rates (AAIRs), and temporal trends in Saudi Arabia during 2014–2023. Data were obtained from the annual statistical yearbooks published by the Saudi Ministry of Health (MOH) and population estimates provided by the General Authority for Statistics (GASTAT)</w:t>
      </w:r>
      <w:r w:rsidR="00EF2C95">
        <w:rPr>
          <w:rFonts w:asciiTheme="majorBidi" w:hAnsiTheme="majorBidi" w:cstheme="majorBidi"/>
        </w:rPr>
        <w:fldChar w:fldCharType="begin"/>
      </w:r>
      <w:r w:rsidR="00EF2C95">
        <w:rPr>
          <w:rFonts w:asciiTheme="majorBidi" w:hAnsiTheme="majorBidi" w:cstheme="majorBidi"/>
        </w:rPr>
        <w:instrText xml:space="preserve"> ADDIN ZOTERO_ITEM CSL_CITATION {"citationID":"OBxvNus5","properties":{"unsorted":false,"formattedCitation":"(10)","plainCitation":"(10)","noteIndex":0},"citationItems":[{"id":85,"uris":["http://zotero.org/users/17790777/items/9K3Z5PQE"],"itemData":{"id":85,"type":"webpage","title":"Statistical Yearbook - Statistical Yearbook","URL":"https://www.moh.gov.sa/en/Ministry/Statistics/book/Pages/default.aspx","accessed":{"date-parts":[["2025",10,9]]}}}],"schema":"https://github.com/citation-style-language/schema/raw/master/csl-citation.json"} </w:instrText>
      </w:r>
      <w:r w:rsidR="00EF2C95">
        <w:rPr>
          <w:rFonts w:asciiTheme="majorBidi" w:hAnsiTheme="majorBidi" w:cstheme="majorBidi"/>
        </w:rPr>
        <w:fldChar w:fldCharType="separate"/>
      </w:r>
      <w:r w:rsidR="00EF2C95" w:rsidRPr="00EF2C95">
        <w:rPr>
          <w:rFonts w:ascii="Times New Roman" w:hAnsi="Times New Roman" w:cs="Times New Roman"/>
        </w:rPr>
        <w:t>(10)</w:t>
      </w:r>
      <w:r w:rsidR="00EF2C95">
        <w:rPr>
          <w:rFonts w:asciiTheme="majorBidi" w:hAnsiTheme="majorBidi" w:cstheme="majorBidi"/>
        </w:rPr>
        <w:fldChar w:fldCharType="end"/>
      </w:r>
      <w:r w:rsidRPr="0046436F">
        <w:rPr>
          <w:rFonts w:asciiTheme="majorBidi" w:hAnsiTheme="majorBidi" w:cstheme="majorBidi"/>
        </w:rPr>
        <w:t>. The MOH yearbooks provided longitudinal national surveillance data on vaccine-preventable diseases, including measles cases that were either laboratory-confirmed or clinically diagnosed.</w:t>
      </w:r>
      <w:r w:rsidR="00431291">
        <w:rPr>
          <w:rFonts w:asciiTheme="majorBidi" w:hAnsiTheme="majorBidi" w:cstheme="majorBidi"/>
        </w:rPr>
        <w:t xml:space="preserve"> </w:t>
      </w:r>
      <w:r w:rsidR="00431291" w:rsidRPr="00431291">
        <w:rPr>
          <w:rFonts w:asciiTheme="majorBidi" w:hAnsiTheme="majorBidi" w:cstheme="majorBidi"/>
        </w:rPr>
        <w:t xml:space="preserve">National and regional population estimates </w:t>
      </w:r>
      <w:r w:rsidR="00431291" w:rsidRPr="00431291">
        <w:rPr>
          <w:rFonts w:asciiTheme="majorBidi" w:hAnsiTheme="majorBidi" w:cstheme="majorBidi"/>
        </w:rPr>
        <w:lastRenderedPageBreak/>
        <w:t>were obtained from GASTAT, whereas age-specific population estimates were derived from the United Nations World Population Prospects 2024</w:t>
      </w:r>
      <w:r w:rsidR="00EF2C95">
        <w:rPr>
          <w:rFonts w:asciiTheme="majorBidi" w:hAnsiTheme="majorBidi" w:cstheme="majorBidi"/>
        </w:rPr>
        <w:fldChar w:fldCharType="begin"/>
      </w:r>
      <w:r w:rsidR="00EF2C95">
        <w:rPr>
          <w:rFonts w:asciiTheme="majorBidi" w:hAnsiTheme="majorBidi" w:cstheme="majorBidi"/>
        </w:rPr>
        <w:instrText xml:space="preserve"> ADDIN ZOTERO_ITEM CSL_CITATION {"citationID":"uic50oJE","properties":{"unsorted":false,"formattedCitation":"(11)","plainCitation":"(11)","noteIndex":0},"citationItems":[{"id":667,"uris":["http://zotero.org/users/17790777/items/598NYZ6S"],"itemData":{"id":667,"type":"webpage","title":"World Population Prospects","URL":"https://population.un.org/wpp/downloads?folder=Standard%20Projections&amp;group=Most%20used","accessed":{"date-parts":[["2026",9,6]]}}}],"schema":"https://github.com/citation-style-language/schema/raw/master/csl-citation.json"} </w:instrText>
      </w:r>
      <w:r w:rsidR="00EF2C95">
        <w:rPr>
          <w:rFonts w:asciiTheme="majorBidi" w:hAnsiTheme="majorBidi" w:cstheme="majorBidi"/>
        </w:rPr>
        <w:fldChar w:fldCharType="separate"/>
      </w:r>
      <w:r w:rsidR="00EF2C95" w:rsidRPr="00EF2C95">
        <w:rPr>
          <w:rFonts w:ascii="Times New Roman" w:hAnsi="Times New Roman" w:cs="Times New Roman"/>
        </w:rPr>
        <w:t>(11)</w:t>
      </w:r>
      <w:r w:rsidR="00EF2C95">
        <w:rPr>
          <w:rFonts w:asciiTheme="majorBidi" w:hAnsiTheme="majorBidi" w:cstheme="majorBidi"/>
        </w:rPr>
        <w:fldChar w:fldCharType="end"/>
      </w:r>
      <w:r w:rsidR="00431291" w:rsidRPr="00431291">
        <w:rPr>
          <w:rFonts w:asciiTheme="majorBidi" w:hAnsiTheme="majorBidi" w:cstheme="majorBidi"/>
        </w:rPr>
        <w:t>.</w:t>
      </w:r>
    </w:p>
    <w:p w14:paraId="04567EC5" w14:textId="77777777" w:rsidR="0046436F" w:rsidRPr="0046436F" w:rsidRDefault="0046436F" w:rsidP="0046436F">
      <w:pPr>
        <w:spacing w:after="0" w:line="480" w:lineRule="auto"/>
        <w:rPr>
          <w:rFonts w:asciiTheme="majorBidi" w:hAnsiTheme="majorBidi" w:cstheme="majorBidi"/>
        </w:rPr>
      </w:pPr>
    </w:p>
    <w:p w14:paraId="44355F84" w14:textId="09F476FC" w:rsidR="000D4D05" w:rsidRPr="0046436F" w:rsidRDefault="0046436F" w:rsidP="0046436F">
      <w:pPr>
        <w:spacing w:after="0" w:line="480" w:lineRule="auto"/>
        <w:jc w:val="both"/>
        <w:rPr>
          <w:rFonts w:asciiTheme="majorBidi" w:hAnsiTheme="majorBidi" w:cstheme="majorBidi"/>
        </w:rPr>
      </w:pPr>
      <w:r w:rsidRPr="0046436F">
        <w:rPr>
          <w:rFonts w:asciiTheme="majorBidi" w:hAnsiTheme="majorBidi" w:cstheme="majorBidi"/>
        </w:rPr>
        <w:t>Regional measles incidence was assessed across the 20 health regions of Saudi Arabia during 2014–2023, using the corresponding annual regional population estimates as denominators. The average annual incidence rate (AAIR) for each health region and age group was calculated by dividing the total number of measles cases reported in the respective health region or age group during 2014–2023 by the sum of the corresponding annual population estimates over the same period and multiplying by 100,000. The AAIR was expressed as the average number of reported measles cases per 100,000 population per year for each health region or age group.</w:t>
      </w:r>
    </w:p>
    <w:p w14:paraId="01DB4E96" w14:textId="77777777" w:rsidR="00726B3A" w:rsidRPr="00D76646" w:rsidRDefault="00726B3A" w:rsidP="00DD72A3">
      <w:pPr>
        <w:jc w:val="both"/>
        <w:rPr>
          <w:rFonts w:asciiTheme="majorBidi" w:hAnsiTheme="majorBidi" w:cstheme="majorBidi"/>
        </w:rPr>
      </w:pPr>
    </w:p>
    <w:p w14:paraId="2F4CB97C" w14:textId="77777777" w:rsidR="00EF074E" w:rsidRDefault="00EF074E" w:rsidP="00DD72A3">
      <w:pPr>
        <w:jc w:val="both"/>
        <w:rPr>
          <w:rFonts w:asciiTheme="majorBidi" w:hAnsiTheme="majorBidi" w:cstheme="majorBidi"/>
          <w:b/>
          <w:bCs/>
        </w:rPr>
      </w:pPr>
      <w:r w:rsidRPr="00D76646">
        <w:rPr>
          <w:rFonts w:asciiTheme="majorBidi" w:hAnsiTheme="majorBidi" w:cstheme="majorBidi"/>
          <w:b/>
          <w:bCs/>
        </w:rPr>
        <w:t>Results</w:t>
      </w:r>
    </w:p>
    <w:p w14:paraId="42205A3C" w14:textId="57D1DC2B" w:rsidR="00D95496" w:rsidRDefault="00D95496" w:rsidP="00DD72A3">
      <w:pPr>
        <w:spacing w:line="480" w:lineRule="auto"/>
        <w:jc w:val="both"/>
        <w:rPr>
          <w:rFonts w:asciiTheme="majorBidi" w:hAnsiTheme="majorBidi" w:cstheme="majorBidi"/>
        </w:rPr>
      </w:pPr>
      <w:r w:rsidRPr="00E36E11">
        <w:rPr>
          <w:rFonts w:asciiTheme="majorBidi" w:hAnsiTheme="majorBidi" w:cstheme="majorBidi"/>
        </w:rPr>
        <w:t xml:space="preserve">During the period </w:t>
      </w:r>
      <w:r w:rsidR="008520BB">
        <w:rPr>
          <w:rFonts w:asciiTheme="majorBidi" w:hAnsiTheme="majorBidi" w:cstheme="majorBidi"/>
        </w:rPr>
        <w:t>from</w:t>
      </w:r>
      <w:r w:rsidRPr="00E36E11">
        <w:rPr>
          <w:rFonts w:asciiTheme="majorBidi" w:hAnsiTheme="majorBidi" w:cstheme="majorBidi"/>
        </w:rPr>
        <w:t xml:space="preserve"> 2104 </w:t>
      </w:r>
      <w:r w:rsidR="008520BB">
        <w:rPr>
          <w:rFonts w:asciiTheme="majorBidi" w:hAnsiTheme="majorBidi" w:cstheme="majorBidi"/>
        </w:rPr>
        <w:t>to</w:t>
      </w:r>
      <w:r w:rsidRPr="00E36E11">
        <w:rPr>
          <w:rFonts w:asciiTheme="majorBidi" w:hAnsiTheme="majorBidi" w:cstheme="majorBidi"/>
        </w:rPr>
        <w:t xml:space="preserve"> 2016, the number of cases </w:t>
      </w:r>
      <w:r w:rsidR="00FF12DA" w:rsidRPr="00E36E11">
        <w:rPr>
          <w:rFonts w:asciiTheme="majorBidi" w:hAnsiTheme="majorBidi" w:cstheme="majorBidi"/>
        </w:rPr>
        <w:t>was</w:t>
      </w:r>
      <w:r w:rsidRPr="00E36E11">
        <w:rPr>
          <w:rFonts w:asciiTheme="majorBidi" w:hAnsiTheme="majorBidi" w:cstheme="majorBidi"/>
        </w:rPr>
        <w:t xml:space="preserve"> relatively low and </w:t>
      </w:r>
      <w:r w:rsidR="00E36E11" w:rsidRPr="00E36E11">
        <w:rPr>
          <w:rFonts w:asciiTheme="majorBidi" w:hAnsiTheme="majorBidi" w:cstheme="majorBidi"/>
        </w:rPr>
        <w:t>steady</w:t>
      </w:r>
      <w:r w:rsidRPr="00E36E11">
        <w:rPr>
          <w:rFonts w:asciiTheme="majorBidi" w:hAnsiTheme="majorBidi" w:cstheme="majorBidi"/>
        </w:rPr>
        <w:t xml:space="preserve">. The number of cases steadily increases after words to peak in the years 2018. This was followed by slight decline in the number of cases during the year 2019 </w:t>
      </w:r>
      <w:r w:rsidR="00A94D25">
        <w:rPr>
          <w:rFonts w:asciiTheme="majorBidi" w:hAnsiTheme="majorBidi" w:cstheme="majorBidi"/>
        </w:rPr>
        <w:t xml:space="preserve">and </w:t>
      </w:r>
      <w:r w:rsidR="00A94D25" w:rsidRPr="00E36E11">
        <w:rPr>
          <w:rFonts w:asciiTheme="majorBidi" w:hAnsiTheme="majorBidi" w:cstheme="majorBidi"/>
        </w:rPr>
        <w:t>a</w:t>
      </w:r>
      <w:r w:rsidR="00E36E11">
        <w:rPr>
          <w:rFonts w:asciiTheme="majorBidi" w:hAnsiTheme="majorBidi" w:cstheme="majorBidi"/>
        </w:rPr>
        <w:t xml:space="preserve"> </w:t>
      </w:r>
      <w:r w:rsidRPr="00E36E11">
        <w:rPr>
          <w:rFonts w:asciiTheme="majorBidi" w:hAnsiTheme="majorBidi" w:cstheme="majorBidi"/>
        </w:rPr>
        <w:t xml:space="preserve">sharp </w:t>
      </w:r>
      <w:r w:rsidR="00E36E11" w:rsidRPr="00E36E11">
        <w:rPr>
          <w:rFonts w:asciiTheme="majorBidi" w:hAnsiTheme="majorBidi" w:cstheme="majorBidi"/>
        </w:rPr>
        <w:t>decline</w:t>
      </w:r>
      <w:r w:rsidRPr="00E36E11">
        <w:rPr>
          <w:rFonts w:asciiTheme="majorBidi" w:hAnsiTheme="majorBidi" w:cstheme="majorBidi"/>
        </w:rPr>
        <w:t xml:space="preserve"> in the year 2020. There was a rebound in the number of cases starting in the year 2021 with a modest decrease in the year 2022 followed by a major surge in the year 2023</w:t>
      </w:r>
      <w:r w:rsidR="00FF12DA">
        <w:rPr>
          <w:rFonts w:asciiTheme="majorBidi" w:hAnsiTheme="majorBidi" w:cstheme="majorBidi"/>
        </w:rPr>
        <w:t xml:space="preserve"> (Figure 1)</w:t>
      </w:r>
      <w:r w:rsidR="00E36E11" w:rsidRPr="00E36E11">
        <w:rPr>
          <w:rFonts w:asciiTheme="majorBidi" w:hAnsiTheme="majorBidi" w:cstheme="majorBidi"/>
        </w:rPr>
        <w:t>.</w:t>
      </w:r>
    </w:p>
    <w:p w14:paraId="6A8BAF2D" w14:textId="77777777" w:rsidR="00C37033" w:rsidRPr="00E36E11" w:rsidRDefault="00C37033" w:rsidP="00DD72A3">
      <w:pPr>
        <w:spacing w:line="480" w:lineRule="auto"/>
        <w:jc w:val="both"/>
        <w:rPr>
          <w:rFonts w:asciiTheme="majorBidi" w:hAnsiTheme="majorBidi" w:cstheme="majorBidi"/>
        </w:rPr>
      </w:pPr>
    </w:p>
    <w:p w14:paraId="66479072" w14:textId="18E031C5" w:rsidR="001A54DD" w:rsidRDefault="001A54DD" w:rsidP="00DD72A3">
      <w:pPr>
        <w:jc w:val="both"/>
        <w:rPr>
          <w:rFonts w:asciiTheme="majorBidi" w:hAnsiTheme="majorBidi" w:cstheme="majorBidi"/>
          <w:noProof/>
        </w:rPr>
      </w:pPr>
    </w:p>
    <w:p w14:paraId="2D749E31" w14:textId="6092A694" w:rsidR="00EF074E" w:rsidRDefault="00963E7E" w:rsidP="00DD72A3">
      <w:pPr>
        <w:jc w:val="both"/>
        <w:rPr>
          <w:rFonts w:asciiTheme="majorBidi" w:hAnsiTheme="majorBidi" w:cstheme="majorBidi"/>
        </w:rPr>
      </w:pPr>
      <w:r>
        <w:rPr>
          <w:rFonts w:asciiTheme="majorBidi" w:hAnsiTheme="majorBidi" w:cstheme="majorBidi"/>
          <w:noProof/>
        </w:rPr>
        <w:lastRenderedPageBreak/>
        <mc:AlternateContent>
          <mc:Choice Requires="wps">
            <w:drawing>
              <wp:anchor distT="0" distB="0" distL="114300" distR="114300" simplePos="0" relativeHeight="251659264" behindDoc="0" locked="0" layoutInCell="1" allowOverlap="1" wp14:anchorId="18DBCF2D" wp14:editId="18368656">
                <wp:simplePos x="0" y="0"/>
                <wp:positionH relativeFrom="column">
                  <wp:posOffset>95250</wp:posOffset>
                </wp:positionH>
                <wp:positionV relativeFrom="paragraph">
                  <wp:posOffset>69850</wp:posOffset>
                </wp:positionV>
                <wp:extent cx="4845050" cy="334371"/>
                <wp:effectExtent l="0" t="0" r="12700" b="27940"/>
                <wp:wrapNone/>
                <wp:docPr id="504656238" name="Rectangle 9"/>
                <wp:cNvGraphicFramePr/>
                <a:graphic xmlns:a="http://schemas.openxmlformats.org/drawingml/2006/main">
                  <a:graphicData uri="http://schemas.microsoft.com/office/word/2010/wordprocessingShape">
                    <wps:wsp>
                      <wps:cNvSpPr/>
                      <wps:spPr>
                        <a:xfrm>
                          <a:off x="0" y="0"/>
                          <a:ext cx="4845050" cy="33437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38C10F" w14:textId="7ECC4E9B" w:rsidR="00337F00" w:rsidRPr="004773ED" w:rsidRDefault="00FF12DA" w:rsidP="00FF12DA">
                            <w:pPr>
                              <w:jc w:val="center"/>
                              <w:rPr>
                                <w:b/>
                                <w:bCs/>
                              </w:rPr>
                            </w:pPr>
                            <w:r w:rsidRPr="004773ED">
                              <w:rPr>
                                <w:b/>
                                <w:bCs/>
                                <w:color w:val="000000" w:themeColor="text1"/>
                              </w:rPr>
                              <w:t>Figure 1</w:t>
                            </w:r>
                            <w:r w:rsidR="00963E7E">
                              <w:rPr>
                                <w:b/>
                                <w:bCs/>
                                <w:color w:val="000000" w:themeColor="text1"/>
                              </w:rPr>
                              <w:t>a</w:t>
                            </w:r>
                            <w:r w:rsidRPr="004773ED">
                              <w:rPr>
                                <w:b/>
                                <w:bCs/>
                                <w:color w:val="000000" w:themeColor="text1"/>
                              </w:rPr>
                              <w:t xml:space="preserve"> : Cases of </w:t>
                            </w:r>
                            <w:r w:rsidR="00337F00" w:rsidRPr="004773ED">
                              <w:rPr>
                                <w:b/>
                                <w:bCs/>
                                <w:color w:val="000000" w:themeColor="text1"/>
                              </w:rPr>
                              <w:t xml:space="preserve">measles </w:t>
                            </w:r>
                            <w:r w:rsidRPr="004773ED">
                              <w:rPr>
                                <w:b/>
                                <w:bCs/>
                                <w:color w:val="000000" w:themeColor="text1"/>
                              </w:rPr>
                              <w:t xml:space="preserve">reported </w:t>
                            </w:r>
                            <w:r w:rsidR="00337F00" w:rsidRPr="004773ED">
                              <w:rPr>
                                <w:b/>
                                <w:bCs/>
                                <w:color w:val="000000" w:themeColor="text1"/>
                              </w:rPr>
                              <w:t>over 10</w:t>
                            </w:r>
                            <w:r w:rsidR="004773ED" w:rsidRPr="004773ED">
                              <w:rPr>
                                <w:b/>
                                <w:bCs/>
                                <w:color w:val="000000" w:themeColor="text1"/>
                              </w:rPr>
                              <w:t xml:space="preserve"> years from 2014 to 2013</w:t>
                            </w:r>
                            <w:r w:rsidR="00337F00" w:rsidRPr="004773ED">
                              <w:rPr>
                                <w:b/>
                                <w:bCs/>
                                <w:color w:val="000000" w:themeColor="text1"/>
                              </w:rPr>
                              <w:t xml:space="preserve"> </w:t>
                            </w:r>
                            <w:r w:rsidR="00337F00" w:rsidRPr="004773ED">
                              <w:rPr>
                                <w:b/>
                                <w:bCs/>
                              </w:rPr>
                              <w:t>(2-14-2023)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BCF2D" id="Rectangle 9" o:spid="_x0000_s1026" style="position:absolute;left:0;text-align:left;margin-left:7.5pt;margin-top:5.5pt;width:381.5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" fillcolor="white [3212]" strokecolor="white [3212]" strokeweight="1pt">
                <v:textbox>
                  <w:txbxContent>
                    <w:p w14:paraId="0B38C10F" w14:textId="7ECC4E9B" w:rsidR="00337F00" w:rsidRPr="004773ED" w:rsidRDefault="00FF12DA" w:rsidP="00FF12DA">
                      <w:pPr>
                        <w:jc w:val="center"/>
                        <w:rPr>
                          <w:b/>
                          <w:bCs/>
                        </w:rPr>
                      </w:pPr>
                      <w:r w:rsidRPr="004773ED">
                        <w:rPr>
                          <w:b/>
                          <w:bCs/>
                          <w:color w:val="000000" w:themeColor="text1"/>
                        </w:rPr>
                        <w:t>Figure 1</w:t>
                      </w:r>
                      <w:r w:rsidR="00963E7E">
                        <w:rPr>
                          <w:b/>
                          <w:bCs/>
                          <w:color w:val="000000" w:themeColor="text1"/>
                        </w:rPr>
                        <w:t>a</w:t>
                      </w:r>
                      <w:r w:rsidRPr="004773ED">
                        <w:rPr>
                          <w:b/>
                          <w:bCs/>
                          <w:color w:val="000000" w:themeColor="text1"/>
                        </w:rPr>
                        <w:t xml:space="preserve"> : Cases of </w:t>
                      </w:r>
                      <w:r w:rsidR="00337F00" w:rsidRPr="004773ED">
                        <w:rPr>
                          <w:b/>
                          <w:bCs/>
                          <w:color w:val="000000" w:themeColor="text1"/>
                        </w:rPr>
                        <w:t xml:space="preserve">measles </w:t>
                      </w:r>
                      <w:r w:rsidRPr="004773ED">
                        <w:rPr>
                          <w:b/>
                          <w:bCs/>
                          <w:color w:val="000000" w:themeColor="text1"/>
                        </w:rPr>
                        <w:t xml:space="preserve">reported </w:t>
                      </w:r>
                      <w:r w:rsidR="00337F00" w:rsidRPr="004773ED">
                        <w:rPr>
                          <w:b/>
                          <w:bCs/>
                          <w:color w:val="000000" w:themeColor="text1"/>
                        </w:rPr>
                        <w:t>over 10</w:t>
                      </w:r>
                      <w:r w:rsidR="004773ED" w:rsidRPr="004773ED">
                        <w:rPr>
                          <w:b/>
                          <w:bCs/>
                          <w:color w:val="000000" w:themeColor="text1"/>
                        </w:rPr>
                        <w:t xml:space="preserve"> years from 2014 to 2013</w:t>
                      </w:r>
                      <w:r w:rsidR="00337F00" w:rsidRPr="004773ED">
                        <w:rPr>
                          <w:b/>
                          <w:bCs/>
                          <w:color w:val="000000" w:themeColor="text1"/>
                        </w:rPr>
                        <w:t xml:space="preserve"> </w:t>
                      </w:r>
                      <w:r w:rsidR="00337F00" w:rsidRPr="004773ED">
                        <w:rPr>
                          <w:b/>
                          <w:bCs/>
                        </w:rPr>
                        <w:t>(2-14-2023)</w:t>
                      </w:r>
                    </w:p>
                  </w:txbxContent>
                </v:textbox>
              </v:rect>
            </w:pict>
          </mc:Fallback>
        </mc:AlternateContent>
      </w:r>
      <w:r>
        <w:rPr>
          <w:noProof/>
        </w:rPr>
        <w:drawing>
          <wp:inline distT="0" distB="0" distL="0" distR="0" wp14:anchorId="4BB17A7E" wp14:editId="7B5A7CC2">
            <wp:extent cx="5143500" cy="2986088"/>
            <wp:effectExtent l="0" t="0" r="0" b="5080"/>
            <wp:docPr id="477667689" name="Chart 1">
              <a:extLst xmlns:a="http://schemas.openxmlformats.org/drawingml/2006/main">
                <a:ext uri="{FF2B5EF4-FFF2-40B4-BE49-F238E27FC236}">
                  <a16:creationId xmlns:a16="http://schemas.microsoft.com/office/drawing/2014/main" id="{268991FB-73D6-CEB2-3BB1-CB0EA50C0F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CA8414E" w14:textId="261CAAE3" w:rsidR="00963E7E" w:rsidRDefault="0071307C" w:rsidP="00DD72A3">
      <w:pPr>
        <w:jc w:val="both"/>
        <w:rPr>
          <w:rFonts w:asciiTheme="majorBidi" w:hAnsiTheme="majorBidi" w:cstheme="majorBidi"/>
        </w:rPr>
      </w:pPr>
      <w:r>
        <w:rPr>
          <w:noProof/>
        </w:rPr>
        <w:drawing>
          <wp:inline distT="0" distB="0" distL="0" distR="0" wp14:anchorId="34D481E2" wp14:editId="1A19CEB4">
            <wp:extent cx="5124450" cy="3079750"/>
            <wp:effectExtent l="0" t="0" r="0" b="6350"/>
            <wp:docPr id="1992368754" name="Chart 1">
              <a:extLst xmlns:a="http://schemas.openxmlformats.org/drawingml/2006/main">
                <a:ext uri="{FF2B5EF4-FFF2-40B4-BE49-F238E27FC236}">
                  <a16:creationId xmlns:a16="http://schemas.microsoft.com/office/drawing/2014/main" id="{64164620-2E04-DC9C-A1EC-D7C9C2177C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D24AB72" w14:textId="77777777" w:rsidR="00963E7E" w:rsidRDefault="00963E7E" w:rsidP="00DD72A3">
      <w:pPr>
        <w:jc w:val="both"/>
        <w:rPr>
          <w:rFonts w:asciiTheme="majorBidi" w:hAnsiTheme="majorBidi" w:cstheme="majorBidi"/>
        </w:rPr>
      </w:pPr>
    </w:p>
    <w:p w14:paraId="1D5D3D9A" w14:textId="77777777" w:rsidR="00963E7E" w:rsidRPr="00D76646" w:rsidRDefault="00963E7E" w:rsidP="00DD72A3">
      <w:pPr>
        <w:jc w:val="both"/>
        <w:rPr>
          <w:rFonts w:asciiTheme="majorBidi" w:hAnsiTheme="majorBidi" w:cstheme="majorBidi"/>
        </w:rPr>
      </w:pPr>
    </w:p>
    <w:p w14:paraId="02062C9E" w14:textId="2185C9D3" w:rsidR="004773ED" w:rsidRDefault="009C6CA9" w:rsidP="004E73EB">
      <w:pPr>
        <w:spacing w:line="480" w:lineRule="auto"/>
        <w:jc w:val="both"/>
        <w:rPr>
          <w:rFonts w:asciiTheme="majorBidi" w:hAnsiTheme="majorBidi" w:cstheme="majorBidi"/>
        </w:rPr>
      </w:pPr>
      <w:r w:rsidRPr="009C6CA9">
        <w:rPr>
          <w:rFonts w:asciiTheme="majorBidi" w:hAnsiTheme="majorBidi" w:cstheme="majorBidi"/>
        </w:rPr>
        <w:t>Age-specific measles incidence rates varied considerably during 2014–2023, with marked increases during the outbreak years of 2018, 2019, and 2023 (Figure 2</w:t>
      </w:r>
      <w:r w:rsidR="00D35525">
        <w:rPr>
          <w:rFonts w:asciiTheme="majorBidi" w:hAnsiTheme="majorBidi" w:cstheme="majorBidi"/>
        </w:rPr>
        <w:t>a</w:t>
      </w:r>
      <w:r w:rsidRPr="009C6CA9">
        <w:rPr>
          <w:rFonts w:asciiTheme="majorBidi" w:hAnsiTheme="majorBidi" w:cstheme="majorBidi"/>
        </w:rPr>
        <w:t xml:space="preserve">). Despite these fluctuations, a consistent age-related gradient was observed, with incidence decreasing progressively with increasing age. Over the 10-year study period, the highest average annual </w:t>
      </w:r>
      <w:r w:rsidRPr="009C6CA9">
        <w:rPr>
          <w:rFonts w:asciiTheme="majorBidi" w:hAnsiTheme="majorBidi" w:cstheme="majorBidi"/>
        </w:rPr>
        <w:lastRenderedPageBreak/>
        <w:t>incidence rate (AAIR) was recorded among infants aged &lt;1 year, followed by children aged 1–&lt;5 years, 5–&lt;15 years, and individuals aged 15–&lt;45 years</w:t>
      </w:r>
      <w:r>
        <w:rPr>
          <w:rFonts w:asciiTheme="majorBidi" w:hAnsiTheme="majorBidi" w:cstheme="majorBidi"/>
        </w:rPr>
        <w:t xml:space="preserve"> with</w:t>
      </w:r>
      <w:r w:rsidRPr="009C6CA9">
        <w:rPr>
          <w:rFonts w:asciiTheme="majorBidi" w:hAnsiTheme="majorBidi" w:cstheme="majorBidi"/>
        </w:rPr>
        <w:t xml:space="preserve"> lowest AAIR was observed among individuals aged ≥45 years </w:t>
      </w:r>
      <w:r>
        <w:rPr>
          <w:rFonts w:asciiTheme="majorBidi" w:hAnsiTheme="majorBidi" w:cstheme="majorBidi"/>
        </w:rPr>
        <w:t xml:space="preserve">(Figure </w:t>
      </w:r>
      <w:r w:rsidR="00D35525">
        <w:rPr>
          <w:rFonts w:asciiTheme="majorBidi" w:hAnsiTheme="majorBidi" w:cstheme="majorBidi"/>
        </w:rPr>
        <w:t>2b</w:t>
      </w:r>
      <w:r>
        <w:rPr>
          <w:rFonts w:asciiTheme="majorBidi" w:hAnsiTheme="majorBidi" w:cstheme="majorBidi"/>
        </w:rPr>
        <w:t>)</w:t>
      </w:r>
      <w:r w:rsidRPr="009C6CA9">
        <w:rPr>
          <w:rFonts w:asciiTheme="majorBidi" w:hAnsiTheme="majorBidi" w:cstheme="majorBidi"/>
        </w:rPr>
        <w:t>. Annual incidence peaked in 2023, among infants and children aged 1–&lt;5 years, respectively, whereas incidence declined markedly across all age groups in 2020</w:t>
      </w:r>
      <w:r>
        <w:rPr>
          <w:rFonts w:asciiTheme="majorBidi" w:hAnsiTheme="majorBidi" w:cstheme="majorBidi"/>
        </w:rPr>
        <w:t xml:space="preserve"> (Figure </w:t>
      </w:r>
      <w:r w:rsidR="00D35525">
        <w:rPr>
          <w:rFonts w:asciiTheme="majorBidi" w:hAnsiTheme="majorBidi" w:cstheme="majorBidi"/>
        </w:rPr>
        <w:t>2b</w:t>
      </w:r>
      <w:r>
        <w:rPr>
          <w:rFonts w:asciiTheme="majorBidi" w:hAnsiTheme="majorBidi" w:cstheme="majorBidi"/>
        </w:rPr>
        <w:t>)</w:t>
      </w:r>
      <w:r w:rsidRPr="009C6CA9">
        <w:rPr>
          <w:rFonts w:asciiTheme="majorBidi" w:hAnsiTheme="majorBidi" w:cstheme="majorBidi"/>
        </w:rPr>
        <w:t>. Differences in annual age-specific incidence rates across the five age groups were statistically significant (Friedman χ²(4) = 39.82, p &lt; 0.001).</w:t>
      </w:r>
    </w:p>
    <w:p w14:paraId="4A52E6F5" w14:textId="6CEFD9D9" w:rsidR="002B02AF" w:rsidRDefault="002B02AF" w:rsidP="004E73EB">
      <w:pPr>
        <w:spacing w:line="480" w:lineRule="auto"/>
        <w:jc w:val="both"/>
        <w:rPr>
          <w:rFonts w:asciiTheme="majorBidi" w:hAnsiTheme="majorBidi" w:cstheme="majorBidi"/>
        </w:rPr>
      </w:pPr>
    </w:p>
    <w:p w14:paraId="3E3DC40E" w14:textId="77777777" w:rsidR="009C6CA9" w:rsidRDefault="009C6CA9" w:rsidP="004E73EB">
      <w:pPr>
        <w:spacing w:line="480" w:lineRule="auto"/>
        <w:jc w:val="both"/>
        <w:rPr>
          <w:rFonts w:asciiTheme="majorBidi" w:hAnsiTheme="majorBidi" w:cstheme="majorBidi"/>
        </w:rPr>
      </w:pPr>
    </w:p>
    <w:p w14:paraId="7FC44676" w14:textId="77777777" w:rsidR="00F94711" w:rsidRDefault="00F94711" w:rsidP="006131A2">
      <w:pPr>
        <w:jc w:val="both"/>
        <w:rPr>
          <w:rFonts w:asciiTheme="majorBidi" w:hAnsiTheme="majorBidi" w:cstheme="majorBidi"/>
          <w:b/>
          <w:bCs/>
        </w:rPr>
      </w:pPr>
    </w:p>
    <w:p w14:paraId="25A0DA91" w14:textId="1C7344DD" w:rsidR="00F94711" w:rsidRDefault="009C6CA9" w:rsidP="00F94711">
      <w:pPr>
        <w:jc w:val="both"/>
        <w:rPr>
          <w:rFonts w:asciiTheme="majorBidi" w:hAnsiTheme="majorBidi" w:cstheme="majorBidi"/>
          <w:b/>
          <w:bCs/>
        </w:rPr>
      </w:pPr>
      <w:r>
        <w:rPr>
          <w:rFonts w:asciiTheme="majorBidi" w:hAnsiTheme="majorBidi" w:cstheme="majorBidi"/>
          <w:b/>
          <w:bCs/>
        </w:rPr>
        <w:t>Figure 2</w:t>
      </w:r>
      <w:r w:rsidR="00D35525">
        <w:rPr>
          <w:rFonts w:asciiTheme="majorBidi" w:hAnsiTheme="majorBidi" w:cstheme="majorBidi"/>
          <w:b/>
          <w:bCs/>
        </w:rPr>
        <w:t>a</w:t>
      </w:r>
      <w:r>
        <w:rPr>
          <w:rFonts w:asciiTheme="majorBidi" w:hAnsiTheme="majorBidi" w:cstheme="majorBidi"/>
          <w:b/>
          <w:bCs/>
        </w:rPr>
        <w:t xml:space="preserve">: </w:t>
      </w:r>
      <w:r w:rsidR="00F94711" w:rsidRPr="00BC6CA9">
        <w:rPr>
          <w:rFonts w:asciiTheme="majorBidi" w:hAnsiTheme="majorBidi" w:cstheme="majorBidi"/>
          <w:b/>
          <w:bCs/>
        </w:rPr>
        <w:t>Annual age-specific incidence rates of reported measles cases in Saudi Arabia, 2014–2023.</w:t>
      </w:r>
    </w:p>
    <w:tbl>
      <w:tblPr>
        <w:tblW w:w="8904" w:type="dxa"/>
        <w:tblLayout w:type="fixed"/>
        <w:tblLook w:val="04A0" w:firstRow="1" w:lastRow="0" w:firstColumn="1" w:lastColumn="0" w:noHBand="0" w:noVBand="1"/>
      </w:tblPr>
      <w:tblGrid>
        <w:gridCol w:w="1484"/>
        <w:gridCol w:w="1484"/>
        <w:gridCol w:w="1484"/>
        <w:gridCol w:w="1484"/>
        <w:gridCol w:w="1484"/>
        <w:gridCol w:w="1484"/>
      </w:tblGrid>
      <w:tr w:rsidR="00F94711" w:rsidRPr="004011F2" w14:paraId="67A0EF83" w14:textId="77777777" w:rsidTr="00F66389">
        <w:trPr>
          <w:trHeight w:val="311"/>
        </w:trPr>
        <w:tc>
          <w:tcPr>
            <w:tcW w:w="1484" w:type="dxa"/>
            <w:tcBorders>
              <w:top w:val="nil"/>
              <w:left w:val="nil"/>
              <w:bottom w:val="nil"/>
              <w:right w:val="nil"/>
            </w:tcBorders>
            <w:noWrap/>
            <w:vAlign w:val="bottom"/>
            <w:hideMark/>
          </w:tcPr>
          <w:p w14:paraId="26EDA99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Year</w:t>
            </w:r>
          </w:p>
        </w:tc>
        <w:tc>
          <w:tcPr>
            <w:tcW w:w="1484" w:type="dxa"/>
            <w:tcBorders>
              <w:top w:val="nil"/>
              <w:left w:val="nil"/>
              <w:bottom w:val="nil"/>
              <w:right w:val="nil"/>
            </w:tcBorders>
            <w:noWrap/>
            <w:vAlign w:val="bottom"/>
            <w:hideMark/>
          </w:tcPr>
          <w:p w14:paraId="068FF98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&lt;1</w:t>
            </w:r>
          </w:p>
        </w:tc>
        <w:tc>
          <w:tcPr>
            <w:tcW w:w="1484" w:type="dxa"/>
            <w:tcBorders>
              <w:top w:val="nil"/>
              <w:left w:val="nil"/>
              <w:bottom w:val="nil"/>
              <w:right w:val="nil"/>
            </w:tcBorders>
            <w:noWrap/>
            <w:vAlign w:val="bottom"/>
            <w:hideMark/>
          </w:tcPr>
          <w:p w14:paraId="5C6534B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1–&lt;5</w:t>
            </w:r>
          </w:p>
        </w:tc>
        <w:tc>
          <w:tcPr>
            <w:tcW w:w="1484" w:type="dxa"/>
            <w:tcBorders>
              <w:top w:val="nil"/>
              <w:left w:val="nil"/>
              <w:bottom w:val="nil"/>
              <w:right w:val="nil"/>
            </w:tcBorders>
            <w:noWrap/>
            <w:vAlign w:val="bottom"/>
            <w:hideMark/>
          </w:tcPr>
          <w:p w14:paraId="31A44DE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5–&lt;15</w:t>
            </w:r>
          </w:p>
        </w:tc>
        <w:tc>
          <w:tcPr>
            <w:tcW w:w="1484" w:type="dxa"/>
            <w:tcBorders>
              <w:top w:val="nil"/>
              <w:left w:val="nil"/>
              <w:bottom w:val="nil"/>
              <w:right w:val="nil"/>
            </w:tcBorders>
            <w:noWrap/>
            <w:vAlign w:val="bottom"/>
            <w:hideMark/>
          </w:tcPr>
          <w:p w14:paraId="074DC00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15–&lt;45</w:t>
            </w:r>
          </w:p>
        </w:tc>
        <w:tc>
          <w:tcPr>
            <w:tcW w:w="1484" w:type="dxa"/>
            <w:tcBorders>
              <w:top w:val="nil"/>
              <w:left w:val="nil"/>
              <w:bottom w:val="nil"/>
              <w:right w:val="nil"/>
            </w:tcBorders>
            <w:noWrap/>
            <w:vAlign w:val="bottom"/>
            <w:hideMark/>
          </w:tcPr>
          <w:p w14:paraId="4CCCCB52"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≥45</w:t>
            </w:r>
          </w:p>
        </w:tc>
      </w:tr>
      <w:tr w:rsidR="00F94711" w:rsidRPr="004011F2" w14:paraId="081AA265" w14:textId="77777777" w:rsidTr="00F66389">
        <w:trPr>
          <w:trHeight w:val="311"/>
        </w:trPr>
        <w:tc>
          <w:tcPr>
            <w:tcW w:w="1484" w:type="dxa"/>
            <w:tcBorders>
              <w:top w:val="nil"/>
              <w:left w:val="nil"/>
              <w:bottom w:val="nil"/>
              <w:right w:val="nil"/>
            </w:tcBorders>
            <w:noWrap/>
            <w:vAlign w:val="bottom"/>
            <w:hideMark/>
          </w:tcPr>
          <w:p w14:paraId="241175EB"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2014</w:t>
            </w:r>
          </w:p>
        </w:tc>
        <w:tc>
          <w:tcPr>
            <w:tcW w:w="1484" w:type="dxa"/>
            <w:tcBorders>
              <w:top w:val="nil"/>
              <w:left w:val="nil"/>
              <w:bottom w:val="nil"/>
              <w:right w:val="nil"/>
            </w:tcBorders>
            <w:shd w:val="clear" w:color="000000" w:fill="ECC5E9"/>
            <w:noWrap/>
            <w:vAlign w:val="bottom"/>
            <w:hideMark/>
          </w:tcPr>
          <w:p w14:paraId="4CE57F7A"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5.78</w:t>
            </w:r>
          </w:p>
        </w:tc>
        <w:tc>
          <w:tcPr>
            <w:tcW w:w="1484" w:type="dxa"/>
            <w:tcBorders>
              <w:top w:val="nil"/>
              <w:left w:val="nil"/>
              <w:bottom w:val="nil"/>
              <w:right w:val="nil"/>
            </w:tcBorders>
            <w:shd w:val="clear" w:color="000000" w:fill="F0CAED"/>
            <w:noWrap/>
            <w:vAlign w:val="bottom"/>
            <w:hideMark/>
          </w:tcPr>
          <w:p w14:paraId="1B5853A0"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2.52</w:t>
            </w:r>
          </w:p>
        </w:tc>
        <w:tc>
          <w:tcPr>
            <w:tcW w:w="1484" w:type="dxa"/>
            <w:tcBorders>
              <w:top w:val="nil"/>
              <w:left w:val="nil"/>
              <w:bottom w:val="nil"/>
              <w:right w:val="nil"/>
            </w:tcBorders>
            <w:shd w:val="clear" w:color="000000" w:fill="F2CEEF"/>
            <w:noWrap/>
            <w:vAlign w:val="bottom"/>
            <w:hideMark/>
          </w:tcPr>
          <w:p w14:paraId="268CCE9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0.56</w:t>
            </w:r>
          </w:p>
        </w:tc>
        <w:tc>
          <w:tcPr>
            <w:tcW w:w="1484" w:type="dxa"/>
            <w:tcBorders>
              <w:top w:val="nil"/>
              <w:left w:val="nil"/>
              <w:bottom w:val="nil"/>
              <w:right w:val="nil"/>
            </w:tcBorders>
            <w:shd w:val="clear" w:color="000000" w:fill="F2CEEF"/>
            <w:noWrap/>
            <w:vAlign w:val="bottom"/>
            <w:hideMark/>
          </w:tcPr>
          <w:p w14:paraId="02DEF3F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0.2</w:t>
            </w:r>
          </w:p>
        </w:tc>
        <w:tc>
          <w:tcPr>
            <w:tcW w:w="1484" w:type="dxa"/>
            <w:tcBorders>
              <w:top w:val="nil"/>
              <w:left w:val="nil"/>
              <w:bottom w:val="nil"/>
              <w:right w:val="nil"/>
            </w:tcBorders>
            <w:shd w:val="clear" w:color="000000" w:fill="F2CEEF"/>
            <w:noWrap/>
            <w:vAlign w:val="bottom"/>
            <w:hideMark/>
          </w:tcPr>
          <w:p w14:paraId="3E42148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0.11</w:t>
            </w:r>
          </w:p>
        </w:tc>
      </w:tr>
      <w:tr w:rsidR="00F94711" w:rsidRPr="004011F2" w14:paraId="01638A28" w14:textId="77777777" w:rsidTr="00F66389">
        <w:trPr>
          <w:trHeight w:val="311"/>
        </w:trPr>
        <w:tc>
          <w:tcPr>
            <w:tcW w:w="1484" w:type="dxa"/>
            <w:tcBorders>
              <w:top w:val="nil"/>
              <w:left w:val="nil"/>
              <w:bottom w:val="nil"/>
              <w:right w:val="nil"/>
            </w:tcBorders>
            <w:noWrap/>
            <w:vAlign w:val="bottom"/>
            <w:hideMark/>
          </w:tcPr>
          <w:p w14:paraId="00D49FE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2015</w:t>
            </w:r>
          </w:p>
        </w:tc>
        <w:tc>
          <w:tcPr>
            <w:tcW w:w="1484" w:type="dxa"/>
            <w:tcBorders>
              <w:top w:val="nil"/>
              <w:left w:val="nil"/>
              <w:bottom w:val="nil"/>
              <w:right w:val="nil"/>
            </w:tcBorders>
            <w:shd w:val="clear" w:color="000000" w:fill="E6BCE2"/>
            <w:noWrap/>
            <w:vAlign w:val="bottom"/>
            <w:hideMark/>
          </w:tcPr>
          <w:p w14:paraId="78076F5B"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11.28</w:t>
            </w:r>
          </w:p>
        </w:tc>
        <w:tc>
          <w:tcPr>
            <w:tcW w:w="1484" w:type="dxa"/>
            <w:tcBorders>
              <w:top w:val="nil"/>
              <w:left w:val="nil"/>
              <w:bottom w:val="nil"/>
              <w:right w:val="nil"/>
            </w:tcBorders>
            <w:shd w:val="clear" w:color="000000" w:fill="EFC9EC"/>
            <w:noWrap/>
            <w:vAlign w:val="bottom"/>
            <w:hideMark/>
          </w:tcPr>
          <w:p w14:paraId="5047DB5D"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3.29</w:t>
            </w:r>
          </w:p>
        </w:tc>
        <w:tc>
          <w:tcPr>
            <w:tcW w:w="1484" w:type="dxa"/>
            <w:tcBorders>
              <w:top w:val="nil"/>
              <w:left w:val="nil"/>
              <w:bottom w:val="nil"/>
              <w:right w:val="nil"/>
            </w:tcBorders>
            <w:shd w:val="clear" w:color="000000" w:fill="F2CEEF"/>
            <w:noWrap/>
            <w:vAlign w:val="bottom"/>
            <w:hideMark/>
          </w:tcPr>
          <w:p w14:paraId="6FB753FA"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0.45</w:t>
            </w:r>
          </w:p>
        </w:tc>
        <w:tc>
          <w:tcPr>
            <w:tcW w:w="1484" w:type="dxa"/>
            <w:tcBorders>
              <w:top w:val="nil"/>
              <w:left w:val="nil"/>
              <w:bottom w:val="nil"/>
              <w:right w:val="nil"/>
            </w:tcBorders>
            <w:shd w:val="clear" w:color="000000" w:fill="F2CEEF"/>
            <w:noWrap/>
            <w:vAlign w:val="bottom"/>
            <w:hideMark/>
          </w:tcPr>
          <w:p w14:paraId="671D8BD0"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0.31</w:t>
            </w:r>
          </w:p>
        </w:tc>
        <w:tc>
          <w:tcPr>
            <w:tcW w:w="1484" w:type="dxa"/>
            <w:tcBorders>
              <w:top w:val="nil"/>
              <w:left w:val="nil"/>
              <w:bottom w:val="nil"/>
              <w:right w:val="nil"/>
            </w:tcBorders>
            <w:shd w:val="clear" w:color="000000" w:fill="F2CEEF"/>
            <w:noWrap/>
            <w:vAlign w:val="bottom"/>
            <w:hideMark/>
          </w:tcPr>
          <w:p w14:paraId="73899D46"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0.11</w:t>
            </w:r>
          </w:p>
        </w:tc>
      </w:tr>
      <w:tr w:rsidR="00F94711" w:rsidRPr="004011F2" w14:paraId="24D12DD9" w14:textId="77777777" w:rsidTr="00F66389">
        <w:trPr>
          <w:trHeight w:val="311"/>
        </w:trPr>
        <w:tc>
          <w:tcPr>
            <w:tcW w:w="1484" w:type="dxa"/>
            <w:tcBorders>
              <w:top w:val="nil"/>
              <w:left w:val="nil"/>
              <w:bottom w:val="nil"/>
              <w:right w:val="nil"/>
            </w:tcBorders>
            <w:noWrap/>
            <w:vAlign w:val="bottom"/>
            <w:hideMark/>
          </w:tcPr>
          <w:p w14:paraId="62B7E09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2016</w:t>
            </w:r>
          </w:p>
        </w:tc>
        <w:tc>
          <w:tcPr>
            <w:tcW w:w="1484" w:type="dxa"/>
            <w:tcBorders>
              <w:top w:val="nil"/>
              <w:left w:val="nil"/>
              <w:bottom w:val="nil"/>
              <w:right w:val="nil"/>
            </w:tcBorders>
            <w:shd w:val="clear" w:color="000000" w:fill="ECC5E9"/>
            <w:noWrap/>
            <w:vAlign w:val="bottom"/>
            <w:hideMark/>
          </w:tcPr>
          <w:p w14:paraId="43300CA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5.66</w:t>
            </w:r>
          </w:p>
        </w:tc>
        <w:tc>
          <w:tcPr>
            <w:tcW w:w="1484" w:type="dxa"/>
            <w:tcBorders>
              <w:top w:val="nil"/>
              <w:left w:val="nil"/>
              <w:bottom w:val="nil"/>
              <w:right w:val="nil"/>
            </w:tcBorders>
            <w:shd w:val="clear" w:color="000000" w:fill="F0CBED"/>
            <w:noWrap/>
            <w:vAlign w:val="bottom"/>
            <w:hideMark/>
          </w:tcPr>
          <w:p w14:paraId="2563058B"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1.91</w:t>
            </w:r>
          </w:p>
        </w:tc>
        <w:tc>
          <w:tcPr>
            <w:tcW w:w="1484" w:type="dxa"/>
            <w:tcBorders>
              <w:top w:val="nil"/>
              <w:left w:val="nil"/>
              <w:bottom w:val="nil"/>
              <w:right w:val="nil"/>
            </w:tcBorders>
            <w:shd w:val="clear" w:color="000000" w:fill="F2CEEF"/>
            <w:noWrap/>
            <w:vAlign w:val="bottom"/>
            <w:hideMark/>
          </w:tcPr>
          <w:p w14:paraId="62D85DEA"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0.33</w:t>
            </w:r>
          </w:p>
        </w:tc>
        <w:tc>
          <w:tcPr>
            <w:tcW w:w="1484" w:type="dxa"/>
            <w:tcBorders>
              <w:top w:val="nil"/>
              <w:left w:val="nil"/>
              <w:bottom w:val="nil"/>
              <w:right w:val="nil"/>
            </w:tcBorders>
            <w:shd w:val="clear" w:color="000000" w:fill="F2CEEF"/>
            <w:noWrap/>
            <w:vAlign w:val="bottom"/>
            <w:hideMark/>
          </w:tcPr>
          <w:p w14:paraId="2197D19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0.16</w:t>
            </w:r>
          </w:p>
        </w:tc>
        <w:tc>
          <w:tcPr>
            <w:tcW w:w="1484" w:type="dxa"/>
            <w:tcBorders>
              <w:top w:val="nil"/>
              <w:left w:val="nil"/>
              <w:bottom w:val="nil"/>
              <w:right w:val="nil"/>
            </w:tcBorders>
            <w:shd w:val="clear" w:color="000000" w:fill="F2CEEF"/>
            <w:noWrap/>
            <w:vAlign w:val="bottom"/>
            <w:hideMark/>
          </w:tcPr>
          <w:p w14:paraId="58508A2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0.1</w:t>
            </w:r>
          </w:p>
        </w:tc>
      </w:tr>
      <w:tr w:rsidR="00F94711" w:rsidRPr="004011F2" w14:paraId="0E78CA07" w14:textId="77777777" w:rsidTr="00F66389">
        <w:trPr>
          <w:trHeight w:val="311"/>
        </w:trPr>
        <w:tc>
          <w:tcPr>
            <w:tcW w:w="1484" w:type="dxa"/>
            <w:tcBorders>
              <w:top w:val="nil"/>
              <w:left w:val="nil"/>
              <w:bottom w:val="nil"/>
              <w:right w:val="nil"/>
            </w:tcBorders>
            <w:noWrap/>
            <w:vAlign w:val="bottom"/>
            <w:hideMark/>
          </w:tcPr>
          <w:p w14:paraId="07D8A757"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2017</w:t>
            </w:r>
          </w:p>
        </w:tc>
        <w:tc>
          <w:tcPr>
            <w:tcW w:w="1484" w:type="dxa"/>
            <w:tcBorders>
              <w:top w:val="nil"/>
              <w:left w:val="nil"/>
              <w:bottom w:val="nil"/>
              <w:right w:val="nil"/>
            </w:tcBorders>
            <w:shd w:val="clear" w:color="000000" w:fill="D3A1CE"/>
            <w:noWrap/>
            <w:vAlign w:val="bottom"/>
            <w:hideMark/>
          </w:tcPr>
          <w:p w14:paraId="1D986F5A"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27.9</w:t>
            </w:r>
          </w:p>
        </w:tc>
        <w:tc>
          <w:tcPr>
            <w:tcW w:w="1484" w:type="dxa"/>
            <w:tcBorders>
              <w:top w:val="nil"/>
              <w:left w:val="nil"/>
              <w:bottom w:val="nil"/>
              <w:right w:val="nil"/>
            </w:tcBorders>
            <w:shd w:val="clear" w:color="000000" w:fill="ECC5E9"/>
            <w:noWrap/>
            <w:vAlign w:val="bottom"/>
            <w:hideMark/>
          </w:tcPr>
          <w:p w14:paraId="7BF492C1"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5.83</w:t>
            </w:r>
          </w:p>
        </w:tc>
        <w:tc>
          <w:tcPr>
            <w:tcW w:w="1484" w:type="dxa"/>
            <w:tcBorders>
              <w:top w:val="nil"/>
              <w:left w:val="nil"/>
              <w:bottom w:val="nil"/>
              <w:right w:val="nil"/>
            </w:tcBorders>
            <w:shd w:val="clear" w:color="000000" w:fill="F1CDEE"/>
            <w:noWrap/>
            <w:vAlign w:val="bottom"/>
            <w:hideMark/>
          </w:tcPr>
          <w:p w14:paraId="70AEE5C1"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1.19</w:t>
            </w:r>
          </w:p>
        </w:tc>
        <w:tc>
          <w:tcPr>
            <w:tcW w:w="1484" w:type="dxa"/>
            <w:tcBorders>
              <w:top w:val="nil"/>
              <w:left w:val="nil"/>
              <w:bottom w:val="nil"/>
              <w:right w:val="nil"/>
            </w:tcBorders>
            <w:shd w:val="clear" w:color="000000" w:fill="F2CEEF"/>
            <w:noWrap/>
            <w:vAlign w:val="bottom"/>
            <w:hideMark/>
          </w:tcPr>
          <w:p w14:paraId="00B10FD5"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0.51</w:t>
            </w:r>
          </w:p>
        </w:tc>
        <w:tc>
          <w:tcPr>
            <w:tcW w:w="1484" w:type="dxa"/>
            <w:tcBorders>
              <w:top w:val="nil"/>
              <w:left w:val="nil"/>
              <w:bottom w:val="nil"/>
              <w:right w:val="nil"/>
            </w:tcBorders>
            <w:shd w:val="clear" w:color="000000" w:fill="F2CEEF"/>
            <w:noWrap/>
            <w:vAlign w:val="bottom"/>
            <w:hideMark/>
          </w:tcPr>
          <w:p w14:paraId="23B91574"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0.25</w:t>
            </w:r>
          </w:p>
        </w:tc>
      </w:tr>
      <w:tr w:rsidR="00F94711" w:rsidRPr="004011F2" w14:paraId="21AEA97A" w14:textId="77777777" w:rsidTr="00F66389">
        <w:trPr>
          <w:trHeight w:val="311"/>
        </w:trPr>
        <w:tc>
          <w:tcPr>
            <w:tcW w:w="1484" w:type="dxa"/>
            <w:tcBorders>
              <w:top w:val="nil"/>
              <w:left w:val="nil"/>
              <w:bottom w:val="nil"/>
              <w:right w:val="nil"/>
            </w:tcBorders>
            <w:noWrap/>
            <w:vAlign w:val="bottom"/>
            <w:hideMark/>
          </w:tcPr>
          <w:p w14:paraId="4AEB2713"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2018</w:t>
            </w:r>
          </w:p>
        </w:tc>
        <w:tc>
          <w:tcPr>
            <w:tcW w:w="1484" w:type="dxa"/>
            <w:tcBorders>
              <w:top w:val="nil"/>
              <w:left w:val="nil"/>
              <w:bottom w:val="nil"/>
              <w:right w:val="nil"/>
            </w:tcBorders>
            <w:shd w:val="clear" w:color="000000" w:fill="AD6CA7"/>
            <w:noWrap/>
            <w:vAlign w:val="bottom"/>
            <w:hideMark/>
          </w:tcPr>
          <w:p w14:paraId="3A46F2C2"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61.14</w:t>
            </w:r>
          </w:p>
        </w:tc>
        <w:tc>
          <w:tcPr>
            <w:tcW w:w="1484" w:type="dxa"/>
            <w:tcBorders>
              <w:top w:val="nil"/>
              <w:left w:val="nil"/>
              <w:bottom w:val="nil"/>
              <w:right w:val="nil"/>
            </w:tcBorders>
            <w:shd w:val="clear" w:color="000000" w:fill="DDAFD9"/>
            <w:noWrap/>
            <w:vAlign w:val="bottom"/>
            <w:hideMark/>
          </w:tcPr>
          <w:p w14:paraId="4EDBDF62"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19.28</w:t>
            </w:r>
          </w:p>
        </w:tc>
        <w:tc>
          <w:tcPr>
            <w:tcW w:w="1484" w:type="dxa"/>
            <w:tcBorders>
              <w:top w:val="nil"/>
              <w:left w:val="nil"/>
              <w:bottom w:val="nil"/>
              <w:right w:val="nil"/>
            </w:tcBorders>
            <w:shd w:val="clear" w:color="000000" w:fill="EEC8EB"/>
            <w:noWrap/>
            <w:vAlign w:val="bottom"/>
            <w:hideMark/>
          </w:tcPr>
          <w:p w14:paraId="64158373"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3.8</w:t>
            </w:r>
          </w:p>
        </w:tc>
        <w:tc>
          <w:tcPr>
            <w:tcW w:w="1484" w:type="dxa"/>
            <w:tcBorders>
              <w:top w:val="nil"/>
              <w:left w:val="nil"/>
              <w:bottom w:val="nil"/>
              <w:right w:val="nil"/>
            </w:tcBorders>
            <w:shd w:val="clear" w:color="000000" w:fill="F1CDEE"/>
            <w:noWrap/>
            <w:vAlign w:val="bottom"/>
            <w:hideMark/>
          </w:tcPr>
          <w:p w14:paraId="2860AC3E"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0.98</w:t>
            </w:r>
          </w:p>
        </w:tc>
        <w:tc>
          <w:tcPr>
            <w:tcW w:w="1484" w:type="dxa"/>
            <w:tcBorders>
              <w:top w:val="nil"/>
              <w:left w:val="nil"/>
              <w:bottom w:val="nil"/>
              <w:right w:val="nil"/>
            </w:tcBorders>
            <w:shd w:val="clear" w:color="000000" w:fill="F2CEEF"/>
            <w:noWrap/>
            <w:vAlign w:val="bottom"/>
            <w:hideMark/>
          </w:tcPr>
          <w:p w14:paraId="1FBC9BB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0.11</w:t>
            </w:r>
          </w:p>
        </w:tc>
      </w:tr>
      <w:tr w:rsidR="00F94711" w:rsidRPr="004011F2" w14:paraId="27CF6F73" w14:textId="77777777" w:rsidTr="00F66389">
        <w:trPr>
          <w:trHeight w:val="311"/>
        </w:trPr>
        <w:tc>
          <w:tcPr>
            <w:tcW w:w="1484" w:type="dxa"/>
            <w:tcBorders>
              <w:top w:val="nil"/>
              <w:left w:val="nil"/>
              <w:bottom w:val="nil"/>
              <w:right w:val="nil"/>
            </w:tcBorders>
            <w:noWrap/>
            <w:vAlign w:val="bottom"/>
            <w:hideMark/>
          </w:tcPr>
          <w:p w14:paraId="44A879A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2019</w:t>
            </w:r>
          </w:p>
        </w:tc>
        <w:tc>
          <w:tcPr>
            <w:tcW w:w="1484" w:type="dxa"/>
            <w:tcBorders>
              <w:top w:val="nil"/>
              <w:left w:val="nil"/>
              <w:bottom w:val="nil"/>
              <w:right w:val="nil"/>
            </w:tcBorders>
            <w:shd w:val="clear" w:color="000000" w:fill="A25C9B"/>
            <w:noWrap/>
            <w:vAlign w:val="bottom"/>
            <w:hideMark/>
          </w:tcPr>
          <w:p w14:paraId="0E5098D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71.17</w:t>
            </w:r>
          </w:p>
        </w:tc>
        <w:tc>
          <w:tcPr>
            <w:tcW w:w="1484" w:type="dxa"/>
            <w:tcBorders>
              <w:top w:val="nil"/>
              <w:left w:val="nil"/>
              <w:bottom w:val="nil"/>
              <w:right w:val="nil"/>
            </w:tcBorders>
            <w:shd w:val="clear" w:color="000000" w:fill="DFB2DB"/>
            <w:noWrap/>
            <w:vAlign w:val="bottom"/>
            <w:hideMark/>
          </w:tcPr>
          <w:p w14:paraId="45047CBF"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17.41</w:t>
            </w:r>
          </w:p>
        </w:tc>
        <w:tc>
          <w:tcPr>
            <w:tcW w:w="1484" w:type="dxa"/>
            <w:tcBorders>
              <w:top w:val="nil"/>
              <w:left w:val="nil"/>
              <w:bottom w:val="nil"/>
              <w:right w:val="nil"/>
            </w:tcBorders>
            <w:shd w:val="clear" w:color="000000" w:fill="F0CBED"/>
            <w:noWrap/>
            <w:vAlign w:val="bottom"/>
            <w:hideMark/>
          </w:tcPr>
          <w:p w14:paraId="583282E7"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2.42</w:t>
            </w:r>
          </w:p>
        </w:tc>
        <w:tc>
          <w:tcPr>
            <w:tcW w:w="1484" w:type="dxa"/>
            <w:tcBorders>
              <w:top w:val="nil"/>
              <w:left w:val="nil"/>
              <w:bottom w:val="nil"/>
              <w:right w:val="nil"/>
            </w:tcBorders>
            <w:shd w:val="clear" w:color="000000" w:fill="F2CEEF"/>
            <w:noWrap/>
            <w:vAlign w:val="bottom"/>
            <w:hideMark/>
          </w:tcPr>
          <w:p w14:paraId="24D4B7C1"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0.56</w:t>
            </w:r>
          </w:p>
        </w:tc>
        <w:tc>
          <w:tcPr>
            <w:tcW w:w="1484" w:type="dxa"/>
            <w:tcBorders>
              <w:top w:val="nil"/>
              <w:left w:val="nil"/>
              <w:bottom w:val="nil"/>
              <w:right w:val="nil"/>
            </w:tcBorders>
            <w:shd w:val="clear" w:color="000000" w:fill="F2CEEF"/>
            <w:noWrap/>
            <w:vAlign w:val="bottom"/>
            <w:hideMark/>
          </w:tcPr>
          <w:p w14:paraId="0F9A26CE"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0.21</w:t>
            </w:r>
          </w:p>
        </w:tc>
      </w:tr>
      <w:tr w:rsidR="00F94711" w:rsidRPr="004011F2" w14:paraId="4F0A366F" w14:textId="77777777" w:rsidTr="00F66389">
        <w:trPr>
          <w:trHeight w:val="311"/>
        </w:trPr>
        <w:tc>
          <w:tcPr>
            <w:tcW w:w="1484" w:type="dxa"/>
            <w:tcBorders>
              <w:top w:val="nil"/>
              <w:left w:val="nil"/>
              <w:bottom w:val="nil"/>
              <w:right w:val="nil"/>
            </w:tcBorders>
            <w:noWrap/>
            <w:vAlign w:val="bottom"/>
            <w:hideMark/>
          </w:tcPr>
          <w:p w14:paraId="5BF3549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2020</w:t>
            </w:r>
          </w:p>
        </w:tc>
        <w:tc>
          <w:tcPr>
            <w:tcW w:w="1484" w:type="dxa"/>
            <w:tcBorders>
              <w:top w:val="nil"/>
              <w:left w:val="nil"/>
              <w:bottom w:val="nil"/>
              <w:right w:val="nil"/>
            </w:tcBorders>
            <w:shd w:val="clear" w:color="000000" w:fill="F2CDEF"/>
            <w:noWrap/>
            <w:vAlign w:val="bottom"/>
            <w:hideMark/>
          </w:tcPr>
          <w:p w14:paraId="2101C99A"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0.74</w:t>
            </w:r>
          </w:p>
        </w:tc>
        <w:tc>
          <w:tcPr>
            <w:tcW w:w="1484" w:type="dxa"/>
            <w:tcBorders>
              <w:top w:val="nil"/>
              <w:left w:val="nil"/>
              <w:bottom w:val="nil"/>
              <w:right w:val="nil"/>
            </w:tcBorders>
            <w:shd w:val="clear" w:color="000000" w:fill="F2CDEF"/>
            <w:noWrap/>
            <w:vAlign w:val="bottom"/>
            <w:hideMark/>
          </w:tcPr>
          <w:p w14:paraId="5C9FE61F"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0.63</w:t>
            </w:r>
          </w:p>
        </w:tc>
        <w:tc>
          <w:tcPr>
            <w:tcW w:w="1484" w:type="dxa"/>
            <w:tcBorders>
              <w:top w:val="nil"/>
              <w:left w:val="nil"/>
              <w:bottom w:val="nil"/>
              <w:right w:val="nil"/>
            </w:tcBorders>
            <w:shd w:val="clear" w:color="000000" w:fill="F2CEEF"/>
            <w:noWrap/>
            <w:vAlign w:val="bottom"/>
            <w:hideMark/>
          </w:tcPr>
          <w:p w14:paraId="7D4C108B"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0.23</w:t>
            </w:r>
          </w:p>
        </w:tc>
        <w:tc>
          <w:tcPr>
            <w:tcW w:w="1484" w:type="dxa"/>
            <w:tcBorders>
              <w:top w:val="nil"/>
              <w:left w:val="nil"/>
              <w:bottom w:val="nil"/>
              <w:right w:val="nil"/>
            </w:tcBorders>
            <w:shd w:val="clear" w:color="000000" w:fill="F2CEEF"/>
            <w:noWrap/>
            <w:vAlign w:val="bottom"/>
            <w:hideMark/>
          </w:tcPr>
          <w:p w14:paraId="6A23AA2A"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0.02</w:t>
            </w:r>
          </w:p>
        </w:tc>
        <w:tc>
          <w:tcPr>
            <w:tcW w:w="1484" w:type="dxa"/>
            <w:tcBorders>
              <w:top w:val="nil"/>
              <w:left w:val="nil"/>
              <w:bottom w:val="nil"/>
              <w:right w:val="nil"/>
            </w:tcBorders>
            <w:shd w:val="clear" w:color="000000" w:fill="F2CEEF"/>
            <w:noWrap/>
            <w:vAlign w:val="bottom"/>
            <w:hideMark/>
          </w:tcPr>
          <w:p w14:paraId="75440F41"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w:t>
            </w:r>
          </w:p>
        </w:tc>
      </w:tr>
      <w:tr w:rsidR="00F94711" w:rsidRPr="004011F2" w14:paraId="5017D717" w14:textId="77777777" w:rsidTr="00F66389">
        <w:trPr>
          <w:trHeight w:val="311"/>
        </w:trPr>
        <w:tc>
          <w:tcPr>
            <w:tcW w:w="1484" w:type="dxa"/>
            <w:tcBorders>
              <w:top w:val="nil"/>
              <w:left w:val="nil"/>
              <w:bottom w:val="nil"/>
              <w:right w:val="nil"/>
            </w:tcBorders>
            <w:noWrap/>
            <w:vAlign w:val="bottom"/>
            <w:hideMark/>
          </w:tcPr>
          <w:p w14:paraId="55D72A0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2021</w:t>
            </w:r>
          </w:p>
        </w:tc>
        <w:tc>
          <w:tcPr>
            <w:tcW w:w="1484" w:type="dxa"/>
            <w:tcBorders>
              <w:top w:val="nil"/>
              <w:left w:val="nil"/>
              <w:bottom w:val="nil"/>
              <w:right w:val="nil"/>
            </w:tcBorders>
            <w:shd w:val="clear" w:color="000000" w:fill="DEB1DA"/>
            <w:noWrap/>
            <w:vAlign w:val="bottom"/>
            <w:hideMark/>
          </w:tcPr>
          <w:p w14:paraId="3A74F383"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18.31</w:t>
            </w:r>
          </w:p>
        </w:tc>
        <w:tc>
          <w:tcPr>
            <w:tcW w:w="1484" w:type="dxa"/>
            <w:tcBorders>
              <w:top w:val="nil"/>
              <w:left w:val="nil"/>
              <w:bottom w:val="nil"/>
              <w:right w:val="nil"/>
            </w:tcBorders>
            <w:shd w:val="clear" w:color="000000" w:fill="ECC6E9"/>
            <w:noWrap/>
            <w:vAlign w:val="bottom"/>
            <w:hideMark/>
          </w:tcPr>
          <w:p w14:paraId="33AECAA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5.56</w:t>
            </w:r>
          </w:p>
        </w:tc>
        <w:tc>
          <w:tcPr>
            <w:tcW w:w="1484" w:type="dxa"/>
            <w:tcBorders>
              <w:top w:val="nil"/>
              <w:left w:val="nil"/>
              <w:bottom w:val="nil"/>
              <w:right w:val="nil"/>
            </w:tcBorders>
            <w:shd w:val="clear" w:color="000000" w:fill="F2CEEF"/>
            <w:noWrap/>
            <w:vAlign w:val="bottom"/>
            <w:hideMark/>
          </w:tcPr>
          <w:p w14:paraId="53A1F96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0.48</w:t>
            </w:r>
          </w:p>
        </w:tc>
        <w:tc>
          <w:tcPr>
            <w:tcW w:w="1484" w:type="dxa"/>
            <w:tcBorders>
              <w:top w:val="nil"/>
              <w:left w:val="nil"/>
              <w:bottom w:val="nil"/>
              <w:right w:val="nil"/>
            </w:tcBorders>
            <w:shd w:val="clear" w:color="000000" w:fill="F2CEEF"/>
            <w:noWrap/>
            <w:vAlign w:val="bottom"/>
            <w:hideMark/>
          </w:tcPr>
          <w:p w14:paraId="07E9EB38"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0.48</w:t>
            </w:r>
          </w:p>
        </w:tc>
        <w:tc>
          <w:tcPr>
            <w:tcW w:w="1484" w:type="dxa"/>
            <w:tcBorders>
              <w:top w:val="nil"/>
              <w:left w:val="nil"/>
              <w:bottom w:val="nil"/>
              <w:right w:val="nil"/>
            </w:tcBorders>
            <w:shd w:val="clear" w:color="000000" w:fill="F2CEEF"/>
            <w:noWrap/>
            <w:vAlign w:val="bottom"/>
            <w:hideMark/>
          </w:tcPr>
          <w:p w14:paraId="33F16E0E"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0.04</w:t>
            </w:r>
          </w:p>
        </w:tc>
      </w:tr>
      <w:tr w:rsidR="00F94711" w:rsidRPr="004011F2" w14:paraId="6FB4A825" w14:textId="77777777" w:rsidTr="00F66389">
        <w:trPr>
          <w:trHeight w:val="311"/>
        </w:trPr>
        <w:tc>
          <w:tcPr>
            <w:tcW w:w="1484" w:type="dxa"/>
            <w:tcBorders>
              <w:top w:val="nil"/>
              <w:left w:val="nil"/>
              <w:bottom w:val="nil"/>
              <w:right w:val="nil"/>
            </w:tcBorders>
            <w:noWrap/>
            <w:vAlign w:val="bottom"/>
            <w:hideMark/>
          </w:tcPr>
          <w:p w14:paraId="3DA37C8D"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2022</w:t>
            </w:r>
          </w:p>
        </w:tc>
        <w:tc>
          <w:tcPr>
            <w:tcW w:w="1484" w:type="dxa"/>
            <w:tcBorders>
              <w:top w:val="nil"/>
              <w:left w:val="nil"/>
              <w:bottom w:val="nil"/>
              <w:right w:val="nil"/>
            </w:tcBorders>
            <w:shd w:val="clear" w:color="000000" w:fill="E7BFE4"/>
            <w:noWrap/>
            <w:vAlign w:val="bottom"/>
            <w:hideMark/>
          </w:tcPr>
          <w:p w14:paraId="43EDF5FA"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9.84</w:t>
            </w:r>
          </w:p>
        </w:tc>
        <w:tc>
          <w:tcPr>
            <w:tcW w:w="1484" w:type="dxa"/>
            <w:tcBorders>
              <w:top w:val="nil"/>
              <w:left w:val="nil"/>
              <w:bottom w:val="nil"/>
              <w:right w:val="nil"/>
            </w:tcBorders>
            <w:shd w:val="clear" w:color="000000" w:fill="EEC8EB"/>
            <w:noWrap/>
            <w:vAlign w:val="bottom"/>
            <w:hideMark/>
          </w:tcPr>
          <w:p w14:paraId="1B025FF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4.16</w:t>
            </w:r>
          </w:p>
        </w:tc>
        <w:tc>
          <w:tcPr>
            <w:tcW w:w="1484" w:type="dxa"/>
            <w:tcBorders>
              <w:top w:val="nil"/>
              <w:left w:val="nil"/>
              <w:bottom w:val="nil"/>
              <w:right w:val="nil"/>
            </w:tcBorders>
            <w:shd w:val="clear" w:color="000000" w:fill="F2CDEF"/>
            <w:noWrap/>
            <w:vAlign w:val="bottom"/>
            <w:hideMark/>
          </w:tcPr>
          <w:p w14:paraId="4528995D"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0.75</w:t>
            </w:r>
          </w:p>
        </w:tc>
        <w:tc>
          <w:tcPr>
            <w:tcW w:w="1484" w:type="dxa"/>
            <w:tcBorders>
              <w:top w:val="nil"/>
              <w:left w:val="nil"/>
              <w:bottom w:val="nil"/>
              <w:right w:val="nil"/>
            </w:tcBorders>
            <w:shd w:val="clear" w:color="000000" w:fill="F2CEEF"/>
            <w:noWrap/>
            <w:vAlign w:val="bottom"/>
            <w:hideMark/>
          </w:tcPr>
          <w:p w14:paraId="419070AF"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0.37</w:t>
            </w:r>
          </w:p>
        </w:tc>
        <w:tc>
          <w:tcPr>
            <w:tcW w:w="1484" w:type="dxa"/>
            <w:tcBorders>
              <w:top w:val="nil"/>
              <w:left w:val="nil"/>
              <w:bottom w:val="nil"/>
              <w:right w:val="nil"/>
            </w:tcBorders>
            <w:shd w:val="clear" w:color="000000" w:fill="F2CEEF"/>
            <w:noWrap/>
            <w:vAlign w:val="bottom"/>
            <w:hideMark/>
          </w:tcPr>
          <w:p w14:paraId="5D3FB2A1"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0.03</w:t>
            </w:r>
          </w:p>
        </w:tc>
      </w:tr>
      <w:tr w:rsidR="00F94711" w:rsidRPr="004011F2" w14:paraId="573DF178" w14:textId="77777777" w:rsidTr="00F66389">
        <w:trPr>
          <w:trHeight w:val="311"/>
        </w:trPr>
        <w:tc>
          <w:tcPr>
            <w:tcW w:w="1484" w:type="dxa"/>
            <w:tcBorders>
              <w:top w:val="nil"/>
              <w:left w:val="nil"/>
              <w:bottom w:val="nil"/>
              <w:right w:val="nil"/>
            </w:tcBorders>
            <w:noWrap/>
            <w:vAlign w:val="bottom"/>
            <w:hideMark/>
          </w:tcPr>
          <w:p w14:paraId="00A3959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2023</w:t>
            </w:r>
          </w:p>
        </w:tc>
        <w:tc>
          <w:tcPr>
            <w:tcW w:w="1484" w:type="dxa"/>
            <w:tcBorders>
              <w:top w:val="nil"/>
              <w:left w:val="nil"/>
              <w:bottom w:val="nil"/>
              <w:right w:val="nil"/>
            </w:tcBorders>
            <w:shd w:val="clear" w:color="000000" w:fill="782170"/>
            <w:noWrap/>
            <w:vAlign w:val="bottom"/>
            <w:hideMark/>
          </w:tcPr>
          <w:p w14:paraId="1EAEAF54"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107.23</w:t>
            </w:r>
          </w:p>
        </w:tc>
        <w:tc>
          <w:tcPr>
            <w:tcW w:w="1484" w:type="dxa"/>
            <w:tcBorders>
              <w:top w:val="nil"/>
              <w:left w:val="nil"/>
              <w:bottom w:val="nil"/>
              <w:right w:val="nil"/>
            </w:tcBorders>
            <w:shd w:val="clear" w:color="000000" w:fill="C188BC"/>
            <w:noWrap/>
            <w:vAlign w:val="bottom"/>
            <w:hideMark/>
          </w:tcPr>
          <w:p w14:paraId="2E88EB75"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43.83</w:t>
            </w:r>
          </w:p>
        </w:tc>
        <w:tc>
          <w:tcPr>
            <w:tcW w:w="1484" w:type="dxa"/>
            <w:tcBorders>
              <w:top w:val="nil"/>
              <w:left w:val="nil"/>
              <w:bottom w:val="nil"/>
              <w:right w:val="nil"/>
            </w:tcBorders>
            <w:shd w:val="clear" w:color="000000" w:fill="E7BEE3"/>
            <w:noWrap/>
            <w:vAlign w:val="bottom"/>
            <w:hideMark/>
          </w:tcPr>
          <w:p w14:paraId="55BDA07C"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10.46</w:t>
            </w:r>
          </w:p>
        </w:tc>
        <w:tc>
          <w:tcPr>
            <w:tcW w:w="1484" w:type="dxa"/>
            <w:tcBorders>
              <w:top w:val="nil"/>
              <w:left w:val="nil"/>
              <w:bottom w:val="nil"/>
              <w:right w:val="nil"/>
            </w:tcBorders>
            <w:shd w:val="clear" w:color="000000" w:fill="F1CDEE"/>
            <w:noWrap/>
            <w:vAlign w:val="bottom"/>
            <w:hideMark/>
          </w:tcPr>
          <w:p w14:paraId="66C2A759"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0.97</w:t>
            </w:r>
          </w:p>
        </w:tc>
        <w:tc>
          <w:tcPr>
            <w:tcW w:w="1484" w:type="dxa"/>
            <w:tcBorders>
              <w:top w:val="nil"/>
              <w:left w:val="nil"/>
              <w:bottom w:val="nil"/>
              <w:right w:val="nil"/>
            </w:tcBorders>
            <w:shd w:val="clear" w:color="000000" w:fill="F2CEEF"/>
            <w:noWrap/>
            <w:vAlign w:val="bottom"/>
            <w:hideMark/>
          </w:tcPr>
          <w:p w14:paraId="549AF1E0" w14:textId="77777777" w:rsidR="00F94711" w:rsidRPr="004011F2" w:rsidRDefault="00F94711" w:rsidP="00F66389">
            <w:pPr>
              <w:spacing w:after="0" w:line="240" w:lineRule="auto"/>
              <w:jc w:val="center"/>
              <w:rPr>
                <w:rFonts w:ascii="Aptos Narrow" w:eastAsia="Times New Roman" w:hAnsi="Aptos Narrow" w:cs="Times New Roman"/>
                <w:color w:val="000000"/>
                <w:kern w:val="0"/>
                <w:sz w:val="22"/>
                <w:szCs w:val="22"/>
                <w14:ligatures w14:val="none"/>
              </w:rPr>
            </w:pPr>
            <w:r w:rsidRPr="004011F2">
              <w:rPr>
                <w:rFonts w:ascii="Aptos Narrow" w:eastAsia="Times New Roman" w:hAnsi="Aptos Narrow" w:cs="Times New Roman"/>
                <w:color w:val="000000"/>
                <w:kern w:val="0"/>
                <w:sz w:val="22"/>
                <w:szCs w:val="22"/>
                <w14:ligatures w14:val="none"/>
              </w:rPr>
              <w:t>0.43</w:t>
            </w:r>
          </w:p>
        </w:tc>
      </w:tr>
    </w:tbl>
    <w:p w14:paraId="7E65734A" w14:textId="77777777" w:rsidR="00F94711" w:rsidRDefault="00F94711" w:rsidP="00F94711">
      <w:pPr>
        <w:spacing w:after="0" w:line="240" w:lineRule="auto"/>
        <w:jc w:val="both"/>
        <w:rPr>
          <w:rFonts w:asciiTheme="majorBidi" w:hAnsiTheme="majorBidi" w:cstheme="majorBidi"/>
          <w:sz w:val="22"/>
          <w:szCs w:val="22"/>
        </w:rPr>
      </w:pPr>
      <w:r>
        <w:rPr>
          <w:rFonts w:asciiTheme="majorBidi" w:hAnsiTheme="majorBidi" w:cstheme="majorBidi"/>
        </w:rPr>
        <w:t xml:space="preserve">* </w:t>
      </w:r>
      <w:r w:rsidRPr="00BC6CA9">
        <w:rPr>
          <w:rFonts w:asciiTheme="majorBidi" w:hAnsiTheme="majorBidi" w:cstheme="majorBidi"/>
          <w:sz w:val="22"/>
          <w:szCs w:val="22"/>
        </w:rPr>
        <w:t xml:space="preserve">Values represent reported measles cases per 100,000 population within each age group and year. </w:t>
      </w:r>
    </w:p>
    <w:p w14:paraId="7BB2F5EA" w14:textId="1504D0E7" w:rsidR="00F94711" w:rsidRDefault="00F94711" w:rsidP="00F94711">
      <w:pPr>
        <w:spacing w:line="480" w:lineRule="auto"/>
        <w:jc w:val="both"/>
        <w:rPr>
          <w:rFonts w:asciiTheme="majorBidi" w:hAnsiTheme="majorBidi" w:cstheme="majorBidi"/>
        </w:rPr>
      </w:pPr>
      <w:r w:rsidRPr="00BC6CA9">
        <w:rPr>
          <w:rFonts w:asciiTheme="majorBidi" w:hAnsiTheme="majorBidi" w:cstheme="majorBidi"/>
          <w:sz w:val="22"/>
          <w:szCs w:val="22"/>
        </w:rPr>
        <w:t>* Darker shading indicates higher age-specific incidence rates</w:t>
      </w:r>
    </w:p>
    <w:p w14:paraId="34D0469E" w14:textId="77777777" w:rsidR="009C6CA9" w:rsidRDefault="009C6CA9" w:rsidP="009C6CA9">
      <w:pPr>
        <w:jc w:val="both"/>
        <w:rPr>
          <w:rFonts w:asciiTheme="majorBidi" w:hAnsiTheme="majorBidi" w:cstheme="majorBidi"/>
          <w:b/>
          <w:bCs/>
        </w:rPr>
      </w:pPr>
    </w:p>
    <w:p w14:paraId="578BC2FD" w14:textId="77777777" w:rsidR="009C6CA9" w:rsidRDefault="009C6CA9" w:rsidP="009C6CA9">
      <w:pPr>
        <w:jc w:val="both"/>
        <w:rPr>
          <w:rFonts w:asciiTheme="majorBidi" w:hAnsiTheme="majorBidi" w:cstheme="majorBidi"/>
          <w:b/>
          <w:bCs/>
        </w:rPr>
      </w:pPr>
    </w:p>
    <w:p w14:paraId="2F003ABC" w14:textId="77777777" w:rsidR="009C6CA9" w:rsidRDefault="009C6CA9" w:rsidP="009C6CA9">
      <w:pPr>
        <w:jc w:val="both"/>
        <w:rPr>
          <w:rFonts w:asciiTheme="majorBidi" w:hAnsiTheme="majorBidi" w:cstheme="majorBidi"/>
          <w:b/>
          <w:bCs/>
        </w:rPr>
      </w:pPr>
    </w:p>
    <w:p w14:paraId="639E3945" w14:textId="77777777" w:rsidR="009C6CA9" w:rsidRDefault="009C6CA9" w:rsidP="009C6CA9">
      <w:pPr>
        <w:jc w:val="both"/>
        <w:rPr>
          <w:rFonts w:asciiTheme="majorBidi" w:hAnsiTheme="majorBidi" w:cstheme="majorBidi"/>
          <w:b/>
          <w:bCs/>
        </w:rPr>
      </w:pPr>
    </w:p>
    <w:p w14:paraId="75759FA3" w14:textId="77777777" w:rsidR="009C6CA9" w:rsidRDefault="009C6CA9" w:rsidP="009C6CA9">
      <w:pPr>
        <w:jc w:val="both"/>
        <w:rPr>
          <w:rFonts w:asciiTheme="majorBidi" w:hAnsiTheme="majorBidi" w:cstheme="majorBidi"/>
          <w:b/>
          <w:bCs/>
        </w:rPr>
      </w:pPr>
    </w:p>
    <w:p w14:paraId="32C936D9" w14:textId="77777777" w:rsidR="009C6CA9" w:rsidRDefault="009C6CA9" w:rsidP="009C6CA9">
      <w:pPr>
        <w:jc w:val="both"/>
        <w:rPr>
          <w:rFonts w:asciiTheme="majorBidi" w:hAnsiTheme="majorBidi" w:cstheme="majorBidi"/>
          <w:b/>
          <w:bCs/>
        </w:rPr>
      </w:pPr>
    </w:p>
    <w:p w14:paraId="1C6403CC" w14:textId="2AA5246D" w:rsidR="009C6CA9" w:rsidRPr="00944E54" w:rsidRDefault="009C6CA9" w:rsidP="009C6CA9">
      <w:pPr>
        <w:jc w:val="both"/>
        <w:rPr>
          <w:rFonts w:asciiTheme="majorBidi" w:hAnsiTheme="majorBidi" w:cstheme="majorBidi"/>
          <w:b/>
          <w:bCs/>
        </w:rPr>
      </w:pPr>
      <w:r w:rsidRPr="00944E54">
        <w:rPr>
          <w:rFonts w:asciiTheme="majorBidi" w:hAnsiTheme="majorBidi" w:cstheme="majorBidi"/>
          <w:b/>
          <w:bCs/>
        </w:rPr>
        <w:t xml:space="preserve">Figure </w:t>
      </w:r>
      <w:r w:rsidR="00D35525">
        <w:rPr>
          <w:rFonts w:asciiTheme="majorBidi" w:hAnsiTheme="majorBidi" w:cstheme="majorBidi"/>
          <w:b/>
          <w:bCs/>
        </w:rPr>
        <w:t>2b</w:t>
      </w:r>
      <w:r w:rsidRPr="00944E54">
        <w:rPr>
          <w:rFonts w:asciiTheme="majorBidi" w:hAnsiTheme="majorBidi" w:cstheme="majorBidi"/>
          <w:b/>
          <w:bCs/>
        </w:rPr>
        <w:t>: Average annual incidence rate of measles by age group, Saudi Arabia, 2014–2023</w:t>
      </w:r>
    </w:p>
    <w:p w14:paraId="43F2602F" w14:textId="77777777" w:rsidR="009C6CA9" w:rsidRPr="00D76646" w:rsidRDefault="009C6CA9" w:rsidP="009C6CA9">
      <w:pPr>
        <w:jc w:val="both"/>
        <w:rPr>
          <w:rFonts w:asciiTheme="majorBidi" w:hAnsiTheme="majorBidi" w:cstheme="majorBidi"/>
        </w:rPr>
      </w:pPr>
      <w:r>
        <w:rPr>
          <w:noProof/>
        </w:rPr>
        <w:drawing>
          <wp:inline distT="0" distB="0" distL="0" distR="0" wp14:anchorId="4C97D766" wp14:editId="721B8894">
            <wp:extent cx="5567680" cy="2627194"/>
            <wp:effectExtent l="0" t="0" r="13970" b="1905"/>
            <wp:docPr id="2087643327" name="Chart 1">
              <a:extLst xmlns:a="http://schemas.openxmlformats.org/drawingml/2006/main">
                <a:ext uri="{FF2B5EF4-FFF2-40B4-BE49-F238E27FC236}">
                  <a16:creationId xmlns:a16="http://schemas.microsoft.com/office/drawing/2014/main" id="{A3FDD2A3-751C-4F79-AA89-FAD1B0C56A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460B1F5" w14:textId="77777777" w:rsidR="009C6CA9" w:rsidRDefault="009C6CA9" w:rsidP="009C6CA9">
      <w:pPr>
        <w:jc w:val="both"/>
        <w:rPr>
          <w:rFonts w:asciiTheme="majorBidi" w:hAnsiTheme="majorBidi" w:cstheme="majorBidi"/>
          <w:b/>
          <w:bCs/>
        </w:rPr>
      </w:pPr>
    </w:p>
    <w:p w14:paraId="79AF31A0" w14:textId="77777777" w:rsidR="009C6CA9" w:rsidRDefault="009C6CA9" w:rsidP="00DD72A3">
      <w:pPr>
        <w:spacing w:line="480" w:lineRule="auto"/>
        <w:jc w:val="both"/>
        <w:rPr>
          <w:rFonts w:asciiTheme="majorBidi" w:hAnsiTheme="majorBidi" w:cstheme="majorBidi"/>
        </w:rPr>
      </w:pPr>
    </w:p>
    <w:p w14:paraId="6475DDD0" w14:textId="77777777" w:rsidR="009C6CA9" w:rsidRDefault="009C6CA9" w:rsidP="00DD72A3">
      <w:pPr>
        <w:spacing w:line="480" w:lineRule="auto"/>
        <w:jc w:val="both"/>
        <w:rPr>
          <w:rFonts w:asciiTheme="majorBidi" w:hAnsiTheme="majorBidi" w:cstheme="majorBidi"/>
        </w:rPr>
      </w:pPr>
    </w:p>
    <w:p w14:paraId="4AD93399" w14:textId="77777777" w:rsidR="009C6CA9" w:rsidRDefault="009C6CA9" w:rsidP="00DD72A3">
      <w:pPr>
        <w:spacing w:line="480" w:lineRule="auto"/>
        <w:jc w:val="both"/>
        <w:rPr>
          <w:rFonts w:asciiTheme="majorBidi" w:hAnsiTheme="majorBidi" w:cstheme="majorBidi"/>
        </w:rPr>
      </w:pPr>
    </w:p>
    <w:p w14:paraId="7357B115" w14:textId="77777777" w:rsidR="009C6CA9" w:rsidRDefault="009C6CA9" w:rsidP="00DD72A3">
      <w:pPr>
        <w:spacing w:line="480" w:lineRule="auto"/>
        <w:jc w:val="both"/>
        <w:rPr>
          <w:rFonts w:asciiTheme="majorBidi" w:hAnsiTheme="majorBidi" w:cstheme="majorBidi"/>
        </w:rPr>
      </w:pPr>
    </w:p>
    <w:p w14:paraId="3496F001" w14:textId="794772CE" w:rsidR="008F4ACF" w:rsidRDefault="003907A1" w:rsidP="00DD72A3">
      <w:pPr>
        <w:spacing w:line="480" w:lineRule="auto"/>
        <w:jc w:val="both"/>
        <w:rPr>
          <w:rFonts w:asciiTheme="majorBidi" w:hAnsiTheme="majorBidi" w:cstheme="majorBidi"/>
        </w:rPr>
      </w:pPr>
      <w:r w:rsidRPr="003907A1">
        <w:rPr>
          <w:rFonts w:asciiTheme="majorBidi" w:hAnsiTheme="majorBidi" w:cstheme="majorBidi"/>
        </w:rPr>
        <w:t>The aggregated monthly distribution of measles cases during 2014–2023 showed the highest case numbers in March, followed by February and April, with a general decline toward the later months of the year</w:t>
      </w:r>
      <w:r w:rsidR="00552AC9">
        <w:rPr>
          <w:rFonts w:asciiTheme="majorBidi" w:hAnsiTheme="majorBidi" w:cstheme="majorBidi"/>
        </w:rPr>
        <w:t xml:space="preserve"> </w:t>
      </w:r>
      <w:r w:rsidR="00552AC9" w:rsidRPr="003907A1">
        <w:rPr>
          <w:rFonts w:asciiTheme="majorBidi" w:hAnsiTheme="majorBidi" w:cstheme="majorBidi"/>
        </w:rPr>
        <w:t>(Figure 3</w:t>
      </w:r>
      <w:r w:rsidR="00D35525">
        <w:rPr>
          <w:rFonts w:asciiTheme="majorBidi" w:hAnsiTheme="majorBidi" w:cstheme="majorBidi"/>
        </w:rPr>
        <w:t>a</w:t>
      </w:r>
      <w:r w:rsidR="00552AC9" w:rsidRPr="003907A1">
        <w:rPr>
          <w:rFonts w:asciiTheme="majorBidi" w:hAnsiTheme="majorBidi" w:cstheme="majorBidi"/>
        </w:rPr>
        <w:t>)</w:t>
      </w:r>
      <w:r w:rsidRPr="003907A1">
        <w:rPr>
          <w:rFonts w:asciiTheme="majorBidi" w:hAnsiTheme="majorBidi" w:cstheme="majorBidi"/>
        </w:rPr>
        <w:t>. However, the year-by-month heatmap</w:t>
      </w:r>
      <w:r w:rsidR="00FB3731">
        <w:rPr>
          <w:rFonts w:asciiTheme="majorBidi" w:hAnsiTheme="majorBidi" w:cstheme="majorBidi"/>
        </w:rPr>
        <w:t xml:space="preserve"> (Figure </w:t>
      </w:r>
      <w:r w:rsidR="00D35525">
        <w:rPr>
          <w:rFonts w:asciiTheme="majorBidi" w:hAnsiTheme="majorBidi" w:cstheme="majorBidi"/>
        </w:rPr>
        <w:t>3b</w:t>
      </w:r>
      <w:r w:rsidR="00FB3731">
        <w:rPr>
          <w:rFonts w:asciiTheme="majorBidi" w:hAnsiTheme="majorBidi" w:cstheme="majorBidi"/>
        </w:rPr>
        <w:t>)</w:t>
      </w:r>
      <w:r w:rsidRPr="003907A1">
        <w:rPr>
          <w:rFonts w:asciiTheme="majorBidi" w:hAnsiTheme="majorBidi" w:cstheme="majorBidi"/>
        </w:rPr>
        <w:t xml:space="preserve"> demonstrated substantial temporal heterogeneity, with the timing of peak case numbers varying considerably between years. </w:t>
      </w:r>
      <w:r w:rsidRPr="00925804">
        <w:rPr>
          <w:rFonts w:asciiTheme="majorBidi" w:hAnsiTheme="majorBidi" w:cstheme="majorBidi"/>
          <w:color w:val="EE0000"/>
        </w:rPr>
        <w:t xml:space="preserve">Thus, the apparent concentration of cases during the early months of the year was not consistently reproduced across individual years and appeared to be influenced by the timing and magnitude of individual outbreaks. </w:t>
      </w:r>
      <w:r w:rsidRPr="003907A1">
        <w:rPr>
          <w:rFonts w:asciiTheme="majorBidi" w:hAnsiTheme="majorBidi" w:cstheme="majorBidi"/>
        </w:rPr>
        <w:t xml:space="preserve">Analysis of the 120 monthly observations using the Friedman test showed </w:t>
      </w:r>
      <w:r w:rsidRPr="003907A1">
        <w:rPr>
          <w:rFonts w:asciiTheme="majorBidi" w:hAnsiTheme="majorBidi" w:cstheme="majorBidi"/>
        </w:rPr>
        <w:lastRenderedPageBreak/>
        <w:t>no statistically significant difference in monthly case distribution across the study period (</w:t>
      </w:r>
      <w:r w:rsidRPr="00132D0C">
        <w:rPr>
          <w:rFonts w:asciiTheme="majorBidi" w:hAnsiTheme="majorBidi" w:cstheme="majorBidi"/>
          <w:i/>
          <w:iCs/>
        </w:rPr>
        <w:t>χ²</w:t>
      </w:r>
      <w:r w:rsidRPr="003907A1">
        <w:rPr>
          <w:rFonts w:asciiTheme="majorBidi" w:hAnsiTheme="majorBidi" w:cstheme="majorBidi"/>
        </w:rPr>
        <w:t xml:space="preserve"> = 10.11, df = 11, </w:t>
      </w:r>
      <w:r w:rsidR="00132D0C" w:rsidRPr="00132D0C">
        <w:rPr>
          <w:rFonts w:asciiTheme="majorBidi" w:hAnsiTheme="majorBidi" w:cstheme="majorBidi"/>
          <w:i/>
          <w:iCs/>
        </w:rPr>
        <w:t>p</w:t>
      </w:r>
      <w:r w:rsidRPr="003907A1">
        <w:rPr>
          <w:rFonts w:asciiTheme="majorBidi" w:hAnsiTheme="majorBidi" w:cstheme="majorBidi"/>
        </w:rPr>
        <w:t xml:space="preserve"> = 0.520), providing no evidence of a consistent seasonal pattern.</w:t>
      </w:r>
    </w:p>
    <w:p w14:paraId="204AD0C7" w14:textId="77777777" w:rsidR="00EE04EE" w:rsidRDefault="00EE04EE" w:rsidP="00DD72A3">
      <w:pPr>
        <w:spacing w:line="480" w:lineRule="auto"/>
        <w:jc w:val="both"/>
        <w:rPr>
          <w:rFonts w:asciiTheme="majorBidi" w:hAnsiTheme="majorBidi" w:cstheme="majorBidi"/>
        </w:rPr>
      </w:pPr>
    </w:p>
    <w:p w14:paraId="105D1018" w14:textId="77777777" w:rsidR="00EE04EE" w:rsidRDefault="00EE04EE" w:rsidP="00DD72A3">
      <w:pPr>
        <w:spacing w:line="480" w:lineRule="auto"/>
        <w:jc w:val="both"/>
        <w:rPr>
          <w:rFonts w:asciiTheme="majorBidi" w:hAnsiTheme="majorBidi" w:cstheme="majorBidi"/>
        </w:rPr>
      </w:pPr>
    </w:p>
    <w:p w14:paraId="5A712D17" w14:textId="77777777" w:rsidR="00EE04EE" w:rsidRDefault="00EE04EE" w:rsidP="00DD72A3">
      <w:pPr>
        <w:spacing w:line="480" w:lineRule="auto"/>
        <w:jc w:val="both"/>
        <w:rPr>
          <w:rFonts w:asciiTheme="majorBidi" w:hAnsiTheme="majorBidi" w:cstheme="majorBidi"/>
        </w:rPr>
      </w:pPr>
    </w:p>
    <w:p w14:paraId="28BD7DA0" w14:textId="09645B73" w:rsidR="00EF074E" w:rsidRPr="00D76646" w:rsidRDefault="00BC6CA9" w:rsidP="00DD72A3">
      <w:pPr>
        <w:jc w:val="both"/>
        <w:rPr>
          <w:rFonts w:asciiTheme="majorBidi" w:hAnsiTheme="majorBidi" w:cstheme="majorBidi"/>
        </w:rPr>
      </w:pPr>
      <w:r>
        <w:rPr>
          <w:noProof/>
        </w:rPr>
        <mc:AlternateContent>
          <mc:Choice Requires="wps">
            <w:drawing>
              <wp:anchor distT="0" distB="0" distL="114300" distR="114300" simplePos="0" relativeHeight="251660288" behindDoc="0" locked="0" layoutInCell="1" allowOverlap="1" wp14:anchorId="6A150598" wp14:editId="15EF712E">
                <wp:simplePos x="0" y="0"/>
                <wp:positionH relativeFrom="column">
                  <wp:posOffset>190734</wp:posOffset>
                </wp:positionH>
                <wp:positionV relativeFrom="paragraph">
                  <wp:posOffset>137857</wp:posOffset>
                </wp:positionV>
                <wp:extent cx="5705183" cy="387078"/>
                <wp:effectExtent l="0" t="0" r="10160" b="13335"/>
                <wp:wrapNone/>
                <wp:docPr id="430954531" name="Rectangle 6"/>
                <wp:cNvGraphicFramePr/>
                <a:graphic xmlns:a="http://schemas.openxmlformats.org/drawingml/2006/main">
                  <a:graphicData uri="http://schemas.microsoft.com/office/word/2010/wordprocessingShape">
                    <wps:wsp>
                      <wps:cNvSpPr/>
                      <wps:spPr>
                        <a:xfrm>
                          <a:off x="0" y="0"/>
                          <a:ext cx="5705183" cy="38707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033D37" w14:textId="1E17C5D1" w:rsidR="00BC6CA9" w:rsidRPr="00BC6CA9" w:rsidRDefault="00BC6CA9" w:rsidP="00BC6CA9">
                            <w:pPr>
                              <w:shd w:val="clear" w:color="auto" w:fill="FFFFFF" w:themeFill="background1"/>
                              <w:spacing w:line="480" w:lineRule="auto"/>
                              <w:jc w:val="both"/>
                              <w:rPr>
                                <w:rFonts w:asciiTheme="majorBidi" w:hAnsiTheme="majorBidi" w:cstheme="majorBidi"/>
                                <w:b/>
                                <w:bCs/>
                              </w:rPr>
                            </w:pPr>
                            <w:r w:rsidRPr="00BC6CA9">
                              <w:rPr>
                                <w:rFonts w:asciiTheme="majorBidi" w:hAnsiTheme="majorBidi" w:cstheme="majorBidi"/>
                                <w:b/>
                                <w:bCs/>
                              </w:rPr>
                              <w:t>Figure 3</w:t>
                            </w:r>
                            <w:r w:rsidR="00D35525">
                              <w:rPr>
                                <w:rFonts w:asciiTheme="majorBidi" w:hAnsiTheme="majorBidi" w:cstheme="majorBidi"/>
                                <w:b/>
                                <w:bCs/>
                              </w:rPr>
                              <w:t>a</w:t>
                            </w:r>
                            <w:r w:rsidRPr="00BC6CA9">
                              <w:rPr>
                                <w:rFonts w:asciiTheme="majorBidi" w:hAnsiTheme="majorBidi" w:cstheme="majorBidi"/>
                                <w:b/>
                                <w:bCs/>
                              </w:rPr>
                              <w:t xml:space="preserve">: </w:t>
                            </w:r>
                            <w:r w:rsidR="00EE04EE" w:rsidRPr="00EE04EE">
                              <w:rPr>
                                <w:rFonts w:asciiTheme="majorBidi" w:hAnsiTheme="majorBidi" w:cstheme="majorBidi"/>
                                <w:b/>
                                <w:bCs/>
                              </w:rPr>
                              <w:t>aggregated</w:t>
                            </w:r>
                            <w:r w:rsidRPr="00BC6CA9">
                              <w:rPr>
                                <w:rFonts w:asciiTheme="majorBidi" w:hAnsiTheme="majorBidi" w:cstheme="majorBidi"/>
                                <w:b/>
                                <w:bCs/>
                              </w:rPr>
                              <w:t xml:space="preserve"> monthly </w:t>
                            </w:r>
                            <w:r w:rsidR="00EE04EE">
                              <w:rPr>
                                <w:rFonts w:asciiTheme="majorBidi" w:hAnsiTheme="majorBidi" w:cstheme="majorBidi"/>
                                <w:b/>
                                <w:bCs/>
                              </w:rPr>
                              <w:t xml:space="preserve">distribution </w:t>
                            </w:r>
                            <w:r w:rsidRPr="00BC6CA9">
                              <w:rPr>
                                <w:rFonts w:asciiTheme="majorBidi" w:hAnsiTheme="majorBidi" w:cstheme="majorBidi"/>
                                <w:b/>
                                <w:bCs/>
                              </w:rPr>
                              <w:t xml:space="preserve">of </w:t>
                            </w:r>
                            <w:r w:rsidR="00EE04EE" w:rsidRPr="00BC6CA9">
                              <w:rPr>
                                <w:rFonts w:asciiTheme="majorBidi" w:hAnsiTheme="majorBidi" w:cstheme="majorBidi"/>
                                <w:b/>
                                <w:bCs/>
                              </w:rPr>
                              <w:t xml:space="preserve">case </w:t>
                            </w:r>
                            <w:r w:rsidRPr="00BC6CA9">
                              <w:rPr>
                                <w:rFonts w:asciiTheme="majorBidi" w:hAnsiTheme="majorBidi" w:cstheme="majorBidi"/>
                                <w:b/>
                                <w:bCs/>
                              </w:rPr>
                              <w:t>documented over 10 years (2014-2023)</w:t>
                            </w:r>
                          </w:p>
                          <w:p w14:paraId="223F3E99" w14:textId="77777777" w:rsidR="00BC6CA9" w:rsidRDefault="00BC6CA9" w:rsidP="00BC6C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150598" id="Rectangle 6" o:spid="_x0000_s1027" style="position:absolute;left:0;text-align:left;margin-left:15pt;margin-top:10.85pt;width:449.25pt;height:3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" fillcolor="white [3212]" strokecolor="white [3212]" strokeweight="1pt">
                <v:textbox>
                  <w:txbxContent>
                    <w:p w14:paraId="1A033D37" w14:textId="1E17C5D1" w:rsidR="00BC6CA9" w:rsidRPr="00BC6CA9" w:rsidRDefault="00BC6CA9" w:rsidP="00BC6CA9">
                      <w:pPr>
                        <w:shd w:val="clear" w:color="auto" w:fill="FFFFFF" w:themeFill="background1"/>
                        <w:spacing w:line="480" w:lineRule="auto"/>
                        <w:jc w:val="both"/>
                        <w:rPr>
                          <w:rFonts w:asciiTheme="majorBidi" w:hAnsiTheme="majorBidi" w:cstheme="majorBidi"/>
                          <w:b/>
                          <w:bCs/>
                        </w:rPr>
                      </w:pPr>
                      <w:r w:rsidRPr="00BC6CA9">
                        <w:rPr>
                          <w:rFonts w:asciiTheme="majorBidi" w:hAnsiTheme="majorBidi" w:cstheme="majorBidi"/>
                          <w:b/>
                          <w:bCs/>
                        </w:rPr>
                        <w:t>Figure 3</w:t>
                      </w:r>
                      <w:r w:rsidR="00D35525">
                        <w:rPr>
                          <w:rFonts w:asciiTheme="majorBidi" w:hAnsiTheme="majorBidi" w:cstheme="majorBidi"/>
                          <w:b/>
                          <w:bCs/>
                        </w:rPr>
                        <w:t>a</w:t>
                      </w:r>
                      <w:r w:rsidRPr="00BC6CA9">
                        <w:rPr>
                          <w:rFonts w:asciiTheme="majorBidi" w:hAnsiTheme="majorBidi" w:cstheme="majorBidi"/>
                          <w:b/>
                          <w:bCs/>
                        </w:rPr>
                        <w:t xml:space="preserve">: </w:t>
                      </w:r>
                      <w:r w:rsidR="00EE04EE" w:rsidRPr="00EE04EE">
                        <w:rPr>
                          <w:rFonts w:asciiTheme="majorBidi" w:hAnsiTheme="majorBidi" w:cstheme="majorBidi"/>
                          <w:b/>
                          <w:bCs/>
                        </w:rPr>
                        <w:t>aggregated</w:t>
                      </w:r>
                      <w:r w:rsidRPr="00BC6CA9">
                        <w:rPr>
                          <w:rFonts w:asciiTheme="majorBidi" w:hAnsiTheme="majorBidi" w:cstheme="majorBidi"/>
                          <w:b/>
                          <w:bCs/>
                        </w:rPr>
                        <w:t xml:space="preserve"> monthly </w:t>
                      </w:r>
                      <w:r w:rsidR="00EE04EE">
                        <w:rPr>
                          <w:rFonts w:asciiTheme="majorBidi" w:hAnsiTheme="majorBidi" w:cstheme="majorBidi"/>
                          <w:b/>
                          <w:bCs/>
                        </w:rPr>
                        <w:t xml:space="preserve">distribution </w:t>
                      </w:r>
                      <w:r w:rsidRPr="00BC6CA9">
                        <w:rPr>
                          <w:rFonts w:asciiTheme="majorBidi" w:hAnsiTheme="majorBidi" w:cstheme="majorBidi"/>
                          <w:b/>
                          <w:bCs/>
                        </w:rPr>
                        <w:t xml:space="preserve">of </w:t>
                      </w:r>
                      <w:r w:rsidR="00EE04EE" w:rsidRPr="00BC6CA9">
                        <w:rPr>
                          <w:rFonts w:asciiTheme="majorBidi" w:hAnsiTheme="majorBidi" w:cstheme="majorBidi"/>
                          <w:b/>
                          <w:bCs/>
                        </w:rPr>
                        <w:t xml:space="preserve">case </w:t>
                      </w:r>
                      <w:r w:rsidRPr="00BC6CA9">
                        <w:rPr>
                          <w:rFonts w:asciiTheme="majorBidi" w:hAnsiTheme="majorBidi" w:cstheme="majorBidi"/>
                          <w:b/>
                          <w:bCs/>
                        </w:rPr>
                        <w:t>documented over 10 years (2014-2023)</w:t>
                      </w:r>
                    </w:p>
                    <w:p w14:paraId="223F3E99" w14:textId="77777777" w:rsidR="00BC6CA9" w:rsidRDefault="00BC6CA9" w:rsidP="00BC6CA9">
                      <w:pPr>
                        <w:jc w:val="center"/>
                      </w:pPr>
                    </w:p>
                  </w:txbxContent>
                </v:textbox>
              </v:rect>
            </w:pict>
          </mc:Fallback>
        </mc:AlternateContent>
      </w:r>
      <w:r w:rsidR="00FC2428">
        <w:rPr>
          <w:noProof/>
        </w:rPr>
        <w:drawing>
          <wp:inline distT="0" distB="0" distL="0" distR="0" wp14:anchorId="0AC58532" wp14:editId="3CB37C4D">
            <wp:extent cx="5943600" cy="3834130"/>
            <wp:effectExtent l="0" t="0" r="0" b="13970"/>
            <wp:docPr id="468064752" name="Chart 1">
              <a:extLst xmlns:a="http://schemas.openxmlformats.org/drawingml/2006/main">
                <a:ext uri="{FF2B5EF4-FFF2-40B4-BE49-F238E27FC236}">
                  <a16:creationId xmlns:a16="http://schemas.microsoft.com/office/drawing/2014/main" id="{7CDB1653-51C1-FF8E-0688-05EF9CF166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74CE975" w14:textId="77777777" w:rsidR="0000622B" w:rsidRDefault="0000622B" w:rsidP="00DD72A3">
      <w:pPr>
        <w:jc w:val="both"/>
        <w:rPr>
          <w:rFonts w:asciiTheme="majorBidi" w:hAnsiTheme="majorBidi" w:cstheme="majorBidi"/>
          <w:b/>
          <w:bCs/>
        </w:rPr>
      </w:pPr>
      <w:bookmarkStart w:id="6" w:name="_Hlk200573413"/>
    </w:p>
    <w:p w14:paraId="6942288E" w14:textId="084DCF50" w:rsidR="003C2ABB" w:rsidRPr="00E61B8D" w:rsidRDefault="00BC6CA9" w:rsidP="00DD72A3">
      <w:pPr>
        <w:jc w:val="both"/>
        <w:rPr>
          <w:rFonts w:asciiTheme="majorBidi" w:hAnsiTheme="majorBidi" w:cstheme="majorBidi"/>
          <w:b/>
          <w:bCs/>
        </w:rPr>
      </w:pPr>
      <w:r w:rsidRPr="00E61B8D">
        <w:rPr>
          <w:rFonts w:asciiTheme="majorBidi" w:hAnsiTheme="majorBidi" w:cstheme="majorBidi"/>
          <w:b/>
          <w:bCs/>
        </w:rPr>
        <w:t xml:space="preserve">Figure </w:t>
      </w:r>
      <w:r w:rsidR="00D35525">
        <w:rPr>
          <w:rFonts w:asciiTheme="majorBidi" w:hAnsiTheme="majorBidi" w:cstheme="majorBidi"/>
          <w:b/>
          <w:bCs/>
        </w:rPr>
        <w:t>3b</w:t>
      </w:r>
      <w:r w:rsidRPr="00E61B8D">
        <w:rPr>
          <w:rFonts w:asciiTheme="majorBidi" w:hAnsiTheme="majorBidi" w:cstheme="majorBidi"/>
          <w:b/>
          <w:bCs/>
        </w:rPr>
        <w:t>.</w:t>
      </w:r>
      <w:r w:rsidRPr="00BC6CA9">
        <w:rPr>
          <w:rFonts w:asciiTheme="majorBidi" w:hAnsiTheme="majorBidi" w:cstheme="majorBidi"/>
          <w:b/>
          <w:bCs/>
        </w:rPr>
        <w:t xml:space="preserve"> </w:t>
      </w:r>
      <w:r w:rsidR="003C2ABB" w:rsidRPr="00E61B8D">
        <w:rPr>
          <w:rFonts w:asciiTheme="majorBidi" w:hAnsiTheme="majorBidi" w:cstheme="majorBidi"/>
          <w:b/>
          <w:bCs/>
        </w:rPr>
        <w:t>Year-by-month distribution of reported measles cases in Saudi Arabia, 2014–2023.</w:t>
      </w:r>
    </w:p>
    <w:tbl>
      <w:tblPr>
        <w:tblW w:w="9568" w:type="dxa"/>
        <w:tblLook w:val="04A0" w:firstRow="1" w:lastRow="0" w:firstColumn="1" w:lastColumn="0" w:noHBand="0" w:noVBand="1"/>
      </w:tblPr>
      <w:tblGrid>
        <w:gridCol w:w="736"/>
        <w:gridCol w:w="736"/>
        <w:gridCol w:w="736"/>
        <w:gridCol w:w="736"/>
        <w:gridCol w:w="736"/>
        <w:gridCol w:w="736"/>
        <w:gridCol w:w="736"/>
        <w:gridCol w:w="736"/>
        <w:gridCol w:w="736"/>
        <w:gridCol w:w="736"/>
        <w:gridCol w:w="736"/>
        <w:gridCol w:w="736"/>
        <w:gridCol w:w="736"/>
      </w:tblGrid>
      <w:tr w:rsidR="005556A6" w:rsidRPr="005556A6" w14:paraId="56EC442C" w14:textId="77777777" w:rsidTr="005556A6">
        <w:trPr>
          <w:trHeight w:val="314"/>
        </w:trPr>
        <w:tc>
          <w:tcPr>
            <w:tcW w:w="736" w:type="dxa"/>
            <w:tcBorders>
              <w:top w:val="nil"/>
              <w:left w:val="nil"/>
              <w:bottom w:val="nil"/>
              <w:right w:val="nil"/>
            </w:tcBorders>
            <w:noWrap/>
            <w:vAlign w:val="bottom"/>
            <w:hideMark/>
          </w:tcPr>
          <w:p w14:paraId="51E99690"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Year</w:t>
            </w:r>
          </w:p>
        </w:tc>
        <w:tc>
          <w:tcPr>
            <w:tcW w:w="736" w:type="dxa"/>
            <w:tcBorders>
              <w:top w:val="nil"/>
              <w:left w:val="nil"/>
              <w:bottom w:val="nil"/>
              <w:right w:val="nil"/>
            </w:tcBorders>
            <w:noWrap/>
            <w:vAlign w:val="bottom"/>
            <w:hideMark/>
          </w:tcPr>
          <w:p w14:paraId="0941F73F"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Jan</w:t>
            </w:r>
          </w:p>
        </w:tc>
        <w:tc>
          <w:tcPr>
            <w:tcW w:w="736" w:type="dxa"/>
            <w:tcBorders>
              <w:top w:val="nil"/>
              <w:left w:val="nil"/>
              <w:bottom w:val="nil"/>
              <w:right w:val="nil"/>
            </w:tcBorders>
            <w:noWrap/>
            <w:vAlign w:val="bottom"/>
            <w:hideMark/>
          </w:tcPr>
          <w:p w14:paraId="42B6D2B3"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Feb.</w:t>
            </w:r>
          </w:p>
        </w:tc>
        <w:tc>
          <w:tcPr>
            <w:tcW w:w="736" w:type="dxa"/>
            <w:tcBorders>
              <w:top w:val="nil"/>
              <w:left w:val="nil"/>
              <w:bottom w:val="nil"/>
              <w:right w:val="nil"/>
            </w:tcBorders>
            <w:noWrap/>
            <w:vAlign w:val="bottom"/>
            <w:hideMark/>
          </w:tcPr>
          <w:p w14:paraId="7ABDFA4F"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Mar.</w:t>
            </w:r>
          </w:p>
        </w:tc>
        <w:tc>
          <w:tcPr>
            <w:tcW w:w="736" w:type="dxa"/>
            <w:tcBorders>
              <w:top w:val="nil"/>
              <w:left w:val="nil"/>
              <w:bottom w:val="nil"/>
              <w:right w:val="nil"/>
            </w:tcBorders>
            <w:noWrap/>
            <w:vAlign w:val="bottom"/>
            <w:hideMark/>
          </w:tcPr>
          <w:p w14:paraId="6538AE5F"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Apr.</w:t>
            </w:r>
          </w:p>
        </w:tc>
        <w:tc>
          <w:tcPr>
            <w:tcW w:w="736" w:type="dxa"/>
            <w:tcBorders>
              <w:top w:val="nil"/>
              <w:left w:val="nil"/>
              <w:bottom w:val="nil"/>
              <w:right w:val="nil"/>
            </w:tcBorders>
            <w:noWrap/>
            <w:vAlign w:val="bottom"/>
            <w:hideMark/>
          </w:tcPr>
          <w:p w14:paraId="4A864E26"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May</w:t>
            </w:r>
          </w:p>
        </w:tc>
        <w:tc>
          <w:tcPr>
            <w:tcW w:w="736" w:type="dxa"/>
            <w:tcBorders>
              <w:top w:val="nil"/>
              <w:left w:val="nil"/>
              <w:bottom w:val="nil"/>
              <w:right w:val="nil"/>
            </w:tcBorders>
            <w:noWrap/>
            <w:vAlign w:val="bottom"/>
            <w:hideMark/>
          </w:tcPr>
          <w:p w14:paraId="1D70E744"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June</w:t>
            </w:r>
          </w:p>
        </w:tc>
        <w:tc>
          <w:tcPr>
            <w:tcW w:w="736" w:type="dxa"/>
            <w:tcBorders>
              <w:top w:val="nil"/>
              <w:left w:val="nil"/>
              <w:bottom w:val="nil"/>
              <w:right w:val="nil"/>
            </w:tcBorders>
            <w:noWrap/>
            <w:vAlign w:val="bottom"/>
            <w:hideMark/>
          </w:tcPr>
          <w:p w14:paraId="0F64DEEB"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July</w:t>
            </w:r>
          </w:p>
        </w:tc>
        <w:tc>
          <w:tcPr>
            <w:tcW w:w="736" w:type="dxa"/>
            <w:tcBorders>
              <w:top w:val="nil"/>
              <w:left w:val="nil"/>
              <w:bottom w:val="nil"/>
              <w:right w:val="nil"/>
            </w:tcBorders>
            <w:noWrap/>
            <w:vAlign w:val="bottom"/>
            <w:hideMark/>
          </w:tcPr>
          <w:p w14:paraId="2BC88E3A"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Aug.</w:t>
            </w:r>
          </w:p>
        </w:tc>
        <w:tc>
          <w:tcPr>
            <w:tcW w:w="736" w:type="dxa"/>
            <w:tcBorders>
              <w:top w:val="nil"/>
              <w:left w:val="nil"/>
              <w:bottom w:val="nil"/>
              <w:right w:val="nil"/>
            </w:tcBorders>
            <w:noWrap/>
            <w:vAlign w:val="bottom"/>
            <w:hideMark/>
          </w:tcPr>
          <w:p w14:paraId="48050B08"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Sep.</w:t>
            </w:r>
          </w:p>
        </w:tc>
        <w:tc>
          <w:tcPr>
            <w:tcW w:w="736" w:type="dxa"/>
            <w:tcBorders>
              <w:top w:val="nil"/>
              <w:left w:val="nil"/>
              <w:bottom w:val="nil"/>
              <w:right w:val="nil"/>
            </w:tcBorders>
            <w:noWrap/>
            <w:vAlign w:val="bottom"/>
            <w:hideMark/>
          </w:tcPr>
          <w:p w14:paraId="04850215"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Oct.</w:t>
            </w:r>
          </w:p>
        </w:tc>
        <w:tc>
          <w:tcPr>
            <w:tcW w:w="736" w:type="dxa"/>
            <w:tcBorders>
              <w:top w:val="nil"/>
              <w:left w:val="nil"/>
              <w:bottom w:val="nil"/>
              <w:right w:val="nil"/>
            </w:tcBorders>
            <w:noWrap/>
            <w:vAlign w:val="bottom"/>
            <w:hideMark/>
          </w:tcPr>
          <w:p w14:paraId="7DADA0BD"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Nov.</w:t>
            </w:r>
          </w:p>
        </w:tc>
        <w:tc>
          <w:tcPr>
            <w:tcW w:w="736" w:type="dxa"/>
            <w:tcBorders>
              <w:top w:val="nil"/>
              <w:left w:val="nil"/>
              <w:bottom w:val="nil"/>
              <w:right w:val="nil"/>
            </w:tcBorders>
            <w:noWrap/>
            <w:vAlign w:val="bottom"/>
            <w:hideMark/>
          </w:tcPr>
          <w:p w14:paraId="08FC6CF2" w14:textId="77777777" w:rsidR="005556A6" w:rsidRPr="005556A6" w:rsidRDefault="005556A6" w:rsidP="005556A6">
            <w:pPr>
              <w:spacing w:after="0" w:line="240" w:lineRule="auto"/>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Dec.</w:t>
            </w:r>
          </w:p>
        </w:tc>
      </w:tr>
      <w:tr w:rsidR="005556A6" w:rsidRPr="005556A6" w14:paraId="279C383E" w14:textId="77777777" w:rsidTr="005556A6">
        <w:trPr>
          <w:trHeight w:val="314"/>
        </w:trPr>
        <w:tc>
          <w:tcPr>
            <w:tcW w:w="736" w:type="dxa"/>
            <w:tcBorders>
              <w:top w:val="nil"/>
              <w:left w:val="nil"/>
              <w:bottom w:val="nil"/>
              <w:right w:val="nil"/>
            </w:tcBorders>
            <w:noWrap/>
            <w:vAlign w:val="bottom"/>
            <w:hideMark/>
          </w:tcPr>
          <w:p w14:paraId="41003808"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2014</w:t>
            </w:r>
          </w:p>
        </w:tc>
        <w:tc>
          <w:tcPr>
            <w:tcW w:w="736" w:type="dxa"/>
            <w:tcBorders>
              <w:top w:val="nil"/>
              <w:left w:val="nil"/>
              <w:bottom w:val="nil"/>
              <w:right w:val="nil"/>
            </w:tcBorders>
            <w:shd w:val="clear" w:color="000000" w:fill="F6DCCE"/>
            <w:noWrap/>
            <w:vAlign w:val="bottom"/>
            <w:hideMark/>
          </w:tcPr>
          <w:p w14:paraId="407261E6"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17</w:t>
            </w:r>
          </w:p>
        </w:tc>
        <w:tc>
          <w:tcPr>
            <w:tcW w:w="736" w:type="dxa"/>
            <w:tcBorders>
              <w:top w:val="nil"/>
              <w:left w:val="nil"/>
              <w:bottom w:val="nil"/>
              <w:right w:val="nil"/>
            </w:tcBorders>
            <w:shd w:val="clear" w:color="000000" w:fill="F6DACC"/>
            <w:noWrap/>
            <w:vAlign w:val="bottom"/>
            <w:hideMark/>
          </w:tcPr>
          <w:p w14:paraId="7F2289F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20</w:t>
            </w:r>
          </w:p>
        </w:tc>
        <w:tc>
          <w:tcPr>
            <w:tcW w:w="736" w:type="dxa"/>
            <w:tcBorders>
              <w:top w:val="nil"/>
              <w:left w:val="nil"/>
              <w:bottom w:val="nil"/>
              <w:right w:val="nil"/>
            </w:tcBorders>
            <w:shd w:val="clear" w:color="000000" w:fill="F6DCCE"/>
            <w:noWrap/>
            <w:vAlign w:val="bottom"/>
            <w:hideMark/>
          </w:tcPr>
          <w:p w14:paraId="6B13F1FE"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17</w:t>
            </w:r>
          </w:p>
        </w:tc>
        <w:tc>
          <w:tcPr>
            <w:tcW w:w="736" w:type="dxa"/>
            <w:tcBorders>
              <w:top w:val="nil"/>
              <w:left w:val="nil"/>
              <w:bottom w:val="nil"/>
              <w:right w:val="nil"/>
            </w:tcBorders>
            <w:shd w:val="clear" w:color="000000" w:fill="F6DBCD"/>
            <w:noWrap/>
            <w:vAlign w:val="bottom"/>
            <w:hideMark/>
          </w:tcPr>
          <w:p w14:paraId="773783B3"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18</w:t>
            </w:r>
          </w:p>
        </w:tc>
        <w:tc>
          <w:tcPr>
            <w:tcW w:w="736" w:type="dxa"/>
            <w:tcBorders>
              <w:top w:val="nil"/>
              <w:left w:val="nil"/>
              <w:bottom w:val="nil"/>
              <w:right w:val="nil"/>
            </w:tcBorders>
            <w:shd w:val="clear" w:color="000000" w:fill="F7DCCE"/>
            <w:noWrap/>
            <w:vAlign w:val="bottom"/>
            <w:hideMark/>
          </w:tcPr>
          <w:p w14:paraId="27C44F8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16</w:t>
            </w:r>
          </w:p>
        </w:tc>
        <w:tc>
          <w:tcPr>
            <w:tcW w:w="736" w:type="dxa"/>
            <w:tcBorders>
              <w:top w:val="nil"/>
              <w:left w:val="nil"/>
              <w:bottom w:val="nil"/>
              <w:right w:val="nil"/>
            </w:tcBorders>
            <w:shd w:val="clear" w:color="000000" w:fill="F9DED1"/>
            <w:noWrap/>
            <w:vAlign w:val="bottom"/>
            <w:hideMark/>
          </w:tcPr>
          <w:p w14:paraId="312CD939"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10</w:t>
            </w:r>
          </w:p>
        </w:tc>
        <w:tc>
          <w:tcPr>
            <w:tcW w:w="736" w:type="dxa"/>
            <w:tcBorders>
              <w:top w:val="nil"/>
              <w:left w:val="nil"/>
              <w:bottom w:val="nil"/>
              <w:right w:val="nil"/>
            </w:tcBorders>
            <w:shd w:val="clear" w:color="000000" w:fill="FAE1D4"/>
            <w:noWrap/>
            <w:vAlign w:val="bottom"/>
            <w:hideMark/>
          </w:tcPr>
          <w:p w14:paraId="209622F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w:t>
            </w:r>
          </w:p>
        </w:tc>
        <w:tc>
          <w:tcPr>
            <w:tcW w:w="736" w:type="dxa"/>
            <w:tcBorders>
              <w:top w:val="nil"/>
              <w:left w:val="nil"/>
              <w:bottom w:val="nil"/>
              <w:right w:val="nil"/>
            </w:tcBorders>
            <w:shd w:val="clear" w:color="000000" w:fill="F9E0D2"/>
            <w:noWrap/>
            <w:vAlign w:val="bottom"/>
            <w:hideMark/>
          </w:tcPr>
          <w:p w14:paraId="3AC9487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7</w:t>
            </w:r>
          </w:p>
        </w:tc>
        <w:tc>
          <w:tcPr>
            <w:tcW w:w="736" w:type="dxa"/>
            <w:tcBorders>
              <w:top w:val="nil"/>
              <w:left w:val="nil"/>
              <w:bottom w:val="nil"/>
              <w:right w:val="nil"/>
            </w:tcBorders>
            <w:shd w:val="clear" w:color="000000" w:fill="FAE0D3"/>
            <w:noWrap/>
            <w:vAlign w:val="bottom"/>
            <w:hideMark/>
          </w:tcPr>
          <w:p w14:paraId="56ED96B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w:t>
            </w:r>
          </w:p>
        </w:tc>
        <w:tc>
          <w:tcPr>
            <w:tcW w:w="736" w:type="dxa"/>
            <w:tcBorders>
              <w:top w:val="nil"/>
              <w:left w:val="nil"/>
              <w:bottom w:val="nil"/>
              <w:right w:val="nil"/>
            </w:tcBorders>
            <w:shd w:val="clear" w:color="000000" w:fill="F8DDCF"/>
            <w:noWrap/>
            <w:vAlign w:val="bottom"/>
            <w:hideMark/>
          </w:tcPr>
          <w:p w14:paraId="73BB6E4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13</w:t>
            </w:r>
          </w:p>
        </w:tc>
        <w:tc>
          <w:tcPr>
            <w:tcW w:w="736" w:type="dxa"/>
            <w:tcBorders>
              <w:top w:val="nil"/>
              <w:left w:val="nil"/>
              <w:bottom w:val="nil"/>
              <w:right w:val="nil"/>
            </w:tcBorders>
            <w:shd w:val="clear" w:color="000000" w:fill="F8DDCF"/>
            <w:noWrap/>
            <w:vAlign w:val="bottom"/>
            <w:hideMark/>
          </w:tcPr>
          <w:p w14:paraId="788363E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13</w:t>
            </w:r>
          </w:p>
        </w:tc>
        <w:tc>
          <w:tcPr>
            <w:tcW w:w="736" w:type="dxa"/>
            <w:tcBorders>
              <w:top w:val="nil"/>
              <w:left w:val="nil"/>
              <w:bottom w:val="nil"/>
              <w:right w:val="nil"/>
            </w:tcBorders>
            <w:shd w:val="clear" w:color="000000" w:fill="F7DDCF"/>
            <w:noWrap/>
            <w:vAlign w:val="bottom"/>
            <w:hideMark/>
          </w:tcPr>
          <w:p w14:paraId="639D60EC"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14</w:t>
            </w:r>
          </w:p>
        </w:tc>
      </w:tr>
      <w:tr w:rsidR="005556A6" w:rsidRPr="005556A6" w14:paraId="0D9084CA" w14:textId="77777777" w:rsidTr="005556A6">
        <w:trPr>
          <w:trHeight w:val="314"/>
        </w:trPr>
        <w:tc>
          <w:tcPr>
            <w:tcW w:w="736" w:type="dxa"/>
            <w:tcBorders>
              <w:top w:val="nil"/>
              <w:left w:val="nil"/>
              <w:bottom w:val="nil"/>
              <w:right w:val="nil"/>
            </w:tcBorders>
            <w:noWrap/>
            <w:vAlign w:val="bottom"/>
            <w:hideMark/>
          </w:tcPr>
          <w:p w14:paraId="2F267BB1"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2015</w:t>
            </w:r>
          </w:p>
        </w:tc>
        <w:tc>
          <w:tcPr>
            <w:tcW w:w="736" w:type="dxa"/>
            <w:tcBorders>
              <w:top w:val="nil"/>
              <w:left w:val="nil"/>
              <w:bottom w:val="nil"/>
              <w:right w:val="nil"/>
            </w:tcBorders>
            <w:shd w:val="clear" w:color="000000" w:fill="F6DACC"/>
            <w:noWrap/>
            <w:vAlign w:val="bottom"/>
            <w:hideMark/>
          </w:tcPr>
          <w:p w14:paraId="7263EE9E"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20</w:t>
            </w:r>
          </w:p>
        </w:tc>
        <w:tc>
          <w:tcPr>
            <w:tcW w:w="736" w:type="dxa"/>
            <w:tcBorders>
              <w:top w:val="nil"/>
              <w:left w:val="nil"/>
              <w:bottom w:val="nil"/>
              <w:right w:val="nil"/>
            </w:tcBorders>
            <w:shd w:val="clear" w:color="000000" w:fill="FAE0D3"/>
            <w:noWrap/>
            <w:vAlign w:val="bottom"/>
            <w:hideMark/>
          </w:tcPr>
          <w:p w14:paraId="7EC621E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w:t>
            </w:r>
          </w:p>
        </w:tc>
        <w:tc>
          <w:tcPr>
            <w:tcW w:w="736" w:type="dxa"/>
            <w:tcBorders>
              <w:top w:val="nil"/>
              <w:left w:val="nil"/>
              <w:bottom w:val="nil"/>
              <w:right w:val="nil"/>
            </w:tcBorders>
            <w:shd w:val="clear" w:color="000000" w:fill="FAE1D4"/>
            <w:noWrap/>
            <w:vAlign w:val="bottom"/>
            <w:hideMark/>
          </w:tcPr>
          <w:p w14:paraId="120E7F9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w:t>
            </w:r>
          </w:p>
        </w:tc>
        <w:tc>
          <w:tcPr>
            <w:tcW w:w="736" w:type="dxa"/>
            <w:tcBorders>
              <w:top w:val="nil"/>
              <w:left w:val="nil"/>
              <w:bottom w:val="nil"/>
              <w:right w:val="nil"/>
            </w:tcBorders>
            <w:shd w:val="clear" w:color="000000" w:fill="F0D3C4"/>
            <w:noWrap/>
            <w:vAlign w:val="bottom"/>
            <w:hideMark/>
          </w:tcPr>
          <w:p w14:paraId="5141AF6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38</w:t>
            </w:r>
          </w:p>
        </w:tc>
        <w:tc>
          <w:tcPr>
            <w:tcW w:w="736" w:type="dxa"/>
            <w:tcBorders>
              <w:top w:val="nil"/>
              <w:left w:val="nil"/>
              <w:bottom w:val="nil"/>
              <w:right w:val="nil"/>
            </w:tcBorders>
            <w:shd w:val="clear" w:color="000000" w:fill="ECCCBC"/>
            <w:noWrap/>
            <w:vAlign w:val="bottom"/>
            <w:hideMark/>
          </w:tcPr>
          <w:p w14:paraId="5FF1E8D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54</w:t>
            </w:r>
          </w:p>
        </w:tc>
        <w:tc>
          <w:tcPr>
            <w:tcW w:w="736" w:type="dxa"/>
            <w:tcBorders>
              <w:top w:val="nil"/>
              <w:left w:val="nil"/>
              <w:bottom w:val="nil"/>
              <w:right w:val="nil"/>
            </w:tcBorders>
            <w:shd w:val="clear" w:color="000000" w:fill="ECCEBE"/>
            <w:noWrap/>
            <w:vAlign w:val="bottom"/>
            <w:hideMark/>
          </w:tcPr>
          <w:p w14:paraId="5E7D65D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51</w:t>
            </w:r>
          </w:p>
        </w:tc>
        <w:tc>
          <w:tcPr>
            <w:tcW w:w="736" w:type="dxa"/>
            <w:tcBorders>
              <w:top w:val="nil"/>
              <w:left w:val="nil"/>
              <w:bottom w:val="nil"/>
              <w:right w:val="nil"/>
            </w:tcBorders>
            <w:shd w:val="clear" w:color="000000" w:fill="F6DCCE"/>
            <w:noWrap/>
            <w:vAlign w:val="bottom"/>
            <w:hideMark/>
          </w:tcPr>
          <w:p w14:paraId="0BB84FE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17</w:t>
            </w:r>
          </w:p>
        </w:tc>
        <w:tc>
          <w:tcPr>
            <w:tcW w:w="736" w:type="dxa"/>
            <w:tcBorders>
              <w:top w:val="nil"/>
              <w:left w:val="nil"/>
              <w:bottom w:val="nil"/>
              <w:right w:val="nil"/>
            </w:tcBorders>
            <w:shd w:val="clear" w:color="000000" w:fill="F7DCCE"/>
            <w:noWrap/>
            <w:vAlign w:val="bottom"/>
            <w:hideMark/>
          </w:tcPr>
          <w:p w14:paraId="38DF361A"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15</w:t>
            </w:r>
          </w:p>
        </w:tc>
        <w:tc>
          <w:tcPr>
            <w:tcW w:w="736" w:type="dxa"/>
            <w:tcBorders>
              <w:top w:val="nil"/>
              <w:left w:val="nil"/>
              <w:bottom w:val="nil"/>
              <w:right w:val="nil"/>
            </w:tcBorders>
            <w:shd w:val="clear" w:color="000000" w:fill="FAE0D3"/>
            <w:noWrap/>
            <w:vAlign w:val="bottom"/>
            <w:hideMark/>
          </w:tcPr>
          <w:p w14:paraId="662B58B6"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w:t>
            </w:r>
          </w:p>
        </w:tc>
        <w:tc>
          <w:tcPr>
            <w:tcW w:w="736" w:type="dxa"/>
            <w:tcBorders>
              <w:top w:val="nil"/>
              <w:left w:val="nil"/>
              <w:bottom w:val="nil"/>
              <w:right w:val="nil"/>
            </w:tcBorders>
            <w:shd w:val="clear" w:color="000000" w:fill="FAE0D3"/>
            <w:noWrap/>
            <w:vAlign w:val="bottom"/>
            <w:hideMark/>
          </w:tcPr>
          <w:p w14:paraId="27F7331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w:t>
            </w:r>
          </w:p>
        </w:tc>
        <w:tc>
          <w:tcPr>
            <w:tcW w:w="736" w:type="dxa"/>
            <w:tcBorders>
              <w:top w:val="nil"/>
              <w:left w:val="nil"/>
              <w:bottom w:val="nil"/>
              <w:right w:val="nil"/>
            </w:tcBorders>
            <w:shd w:val="clear" w:color="000000" w:fill="FAE1D4"/>
            <w:noWrap/>
            <w:vAlign w:val="bottom"/>
            <w:hideMark/>
          </w:tcPr>
          <w:p w14:paraId="516F74DC"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w:t>
            </w:r>
          </w:p>
        </w:tc>
        <w:tc>
          <w:tcPr>
            <w:tcW w:w="736" w:type="dxa"/>
            <w:tcBorders>
              <w:top w:val="nil"/>
              <w:left w:val="nil"/>
              <w:bottom w:val="nil"/>
              <w:right w:val="nil"/>
            </w:tcBorders>
            <w:shd w:val="clear" w:color="000000" w:fill="FBE2D5"/>
            <w:noWrap/>
            <w:vAlign w:val="bottom"/>
            <w:hideMark/>
          </w:tcPr>
          <w:p w14:paraId="3BE2F9A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r>
      <w:tr w:rsidR="005556A6" w:rsidRPr="005556A6" w14:paraId="46F7D349" w14:textId="77777777" w:rsidTr="005556A6">
        <w:trPr>
          <w:trHeight w:val="314"/>
        </w:trPr>
        <w:tc>
          <w:tcPr>
            <w:tcW w:w="736" w:type="dxa"/>
            <w:tcBorders>
              <w:top w:val="nil"/>
              <w:left w:val="nil"/>
              <w:bottom w:val="nil"/>
              <w:right w:val="nil"/>
            </w:tcBorders>
            <w:noWrap/>
            <w:vAlign w:val="bottom"/>
            <w:hideMark/>
          </w:tcPr>
          <w:p w14:paraId="7C42FC4A"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2016</w:t>
            </w:r>
          </w:p>
        </w:tc>
        <w:tc>
          <w:tcPr>
            <w:tcW w:w="736" w:type="dxa"/>
            <w:tcBorders>
              <w:top w:val="nil"/>
              <w:left w:val="nil"/>
              <w:bottom w:val="nil"/>
              <w:right w:val="nil"/>
            </w:tcBorders>
            <w:shd w:val="clear" w:color="000000" w:fill="FAE1D4"/>
            <w:noWrap/>
            <w:vAlign w:val="bottom"/>
            <w:hideMark/>
          </w:tcPr>
          <w:p w14:paraId="30D5AAF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w:t>
            </w:r>
          </w:p>
        </w:tc>
        <w:tc>
          <w:tcPr>
            <w:tcW w:w="736" w:type="dxa"/>
            <w:tcBorders>
              <w:top w:val="nil"/>
              <w:left w:val="nil"/>
              <w:bottom w:val="nil"/>
              <w:right w:val="nil"/>
            </w:tcBorders>
            <w:shd w:val="clear" w:color="000000" w:fill="F9DFD1"/>
            <w:noWrap/>
            <w:vAlign w:val="bottom"/>
            <w:hideMark/>
          </w:tcPr>
          <w:p w14:paraId="100C2717"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9</w:t>
            </w:r>
          </w:p>
        </w:tc>
        <w:tc>
          <w:tcPr>
            <w:tcW w:w="736" w:type="dxa"/>
            <w:tcBorders>
              <w:top w:val="nil"/>
              <w:left w:val="nil"/>
              <w:bottom w:val="nil"/>
              <w:right w:val="nil"/>
            </w:tcBorders>
            <w:shd w:val="clear" w:color="000000" w:fill="F9DFD2"/>
            <w:noWrap/>
            <w:vAlign w:val="bottom"/>
            <w:hideMark/>
          </w:tcPr>
          <w:p w14:paraId="3D4445A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8</w:t>
            </w:r>
          </w:p>
        </w:tc>
        <w:tc>
          <w:tcPr>
            <w:tcW w:w="736" w:type="dxa"/>
            <w:tcBorders>
              <w:top w:val="nil"/>
              <w:left w:val="nil"/>
              <w:bottom w:val="nil"/>
              <w:right w:val="nil"/>
            </w:tcBorders>
            <w:shd w:val="clear" w:color="000000" w:fill="FAE1D4"/>
            <w:noWrap/>
            <w:vAlign w:val="bottom"/>
            <w:hideMark/>
          </w:tcPr>
          <w:p w14:paraId="7F31805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w:t>
            </w:r>
          </w:p>
        </w:tc>
        <w:tc>
          <w:tcPr>
            <w:tcW w:w="736" w:type="dxa"/>
            <w:tcBorders>
              <w:top w:val="nil"/>
              <w:left w:val="nil"/>
              <w:bottom w:val="nil"/>
              <w:right w:val="nil"/>
            </w:tcBorders>
            <w:shd w:val="clear" w:color="000000" w:fill="F9E0D2"/>
            <w:noWrap/>
            <w:vAlign w:val="bottom"/>
            <w:hideMark/>
          </w:tcPr>
          <w:p w14:paraId="2914A36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7</w:t>
            </w:r>
          </w:p>
        </w:tc>
        <w:tc>
          <w:tcPr>
            <w:tcW w:w="736" w:type="dxa"/>
            <w:tcBorders>
              <w:top w:val="nil"/>
              <w:left w:val="nil"/>
              <w:bottom w:val="nil"/>
              <w:right w:val="nil"/>
            </w:tcBorders>
            <w:shd w:val="clear" w:color="000000" w:fill="FAE0D3"/>
            <w:noWrap/>
            <w:vAlign w:val="bottom"/>
            <w:hideMark/>
          </w:tcPr>
          <w:p w14:paraId="17CD898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w:t>
            </w:r>
          </w:p>
        </w:tc>
        <w:tc>
          <w:tcPr>
            <w:tcW w:w="736" w:type="dxa"/>
            <w:tcBorders>
              <w:top w:val="nil"/>
              <w:left w:val="nil"/>
              <w:bottom w:val="nil"/>
              <w:right w:val="nil"/>
            </w:tcBorders>
            <w:shd w:val="clear" w:color="000000" w:fill="F6DBCD"/>
            <w:noWrap/>
            <w:vAlign w:val="bottom"/>
            <w:hideMark/>
          </w:tcPr>
          <w:p w14:paraId="4322A59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19</w:t>
            </w:r>
          </w:p>
        </w:tc>
        <w:tc>
          <w:tcPr>
            <w:tcW w:w="736" w:type="dxa"/>
            <w:tcBorders>
              <w:top w:val="nil"/>
              <w:left w:val="nil"/>
              <w:bottom w:val="nil"/>
              <w:right w:val="nil"/>
            </w:tcBorders>
            <w:shd w:val="clear" w:color="000000" w:fill="F5D9CB"/>
            <w:noWrap/>
            <w:vAlign w:val="bottom"/>
            <w:hideMark/>
          </w:tcPr>
          <w:p w14:paraId="23384523"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23</w:t>
            </w:r>
          </w:p>
        </w:tc>
        <w:tc>
          <w:tcPr>
            <w:tcW w:w="736" w:type="dxa"/>
            <w:tcBorders>
              <w:top w:val="nil"/>
              <w:left w:val="nil"/>
              <w:bottom w:val="nil"/>
              <w:right w:val="nil"/>
            </w:tcBorders>
            <w:shd w:val="clear" w:color="000000" w:fill="FAE0D3"/>
            <w:noWrap/>
            <w:vAlign w:val="bottom"/>
            <w:hideMark/>
          </w:tcPr>
          <w:p w14:paraId="40C1260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w:t>
            </w:r>
          </w:p>
        </w:tc>
        <w:tc>
          <w:tcPr>
            <w:tcW w:w="736" w:type="dxa"/>
            <w:tcBorders>
              <w:top w:val="nil"/>
              <w:left w:val="nil"/>
              <w:bottom w:val="nil"/>
              <w:right w:val="nil"/>
            </w:tcBorders>
            <w:shd w:val="clear" w:color="000000" w:fill="F8DED0"/>
            <w:noWrap/>
            <w:vAlign w:val="bottom"/>
            <w:hideMark/>
          </w:tcPr>
          <w:p w14:paraId="4CDCE456"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12</w:t>
            </w:r>
          </w:p>
        </w:tc>
        <w:tc>
          <w:tcPr>
            <w:tcW w:w="736" w:type="dxa"/>
            <w:tcBorders>
              <w:top w:val="nil"/>
              <w:left w:val="nil"/>
              <w:bottom w:val="nil"/>
              <w:right w:val="nil"/>
            </w:tcBorders>
            <w:shd w:val="clear" w:color="000000" w:fill="F9DFD1"/>
            <w:noWrap/>
            <w:vAlign w:val="bottom"/>
            <w:hideMark/>
          </w:tcPr>
          <w:p w14:paraId="5130928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9</w:t>
            </w:r>
          </w:p>
        </w:tc>
        <w:tc>
          <w:tcPr>
            <w:tcW w:w="736" w:type="dxa"/>
            <w:tcBorders>
              <w:top w:val="nil"/>
              <w:left w:val="nil"/>
              <w:bottom w:val="nil"/>
              <w:right w:val="nil"/>
            </w:tcBorders>
            <w:shd w:val="clear" w:color="000000" w:fill="F6DBCD"/>
            <w:noWrap/>
            <w:vAlign w:val="bottom"/>
            <w:hideMark/>
          </w:tcPr>
          <w:p w14:paraId="4F7141D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18</w:t>
            </w:r>
          </w:p>
        </w:tc>
      </w:tr>
      <w:tr w:rsidR="005556A6" w:rsidRPr="005556A6" w14:paraId="6B183867" w14:textId="77777777" w:rsidTr="005556A6">
        <w:trPr>
          <w:trHeight w:val="314"/>
        </w:trPr>
        <w:tc>
          <w:tcPr>
            <w:tcW w:w="736" w:type="dxa"/>
            <w:tcBorders>
              <w:top w:val="nil"/>
              <w:left w:val="nil"/>
              <w:bottom w:val="nil"/>
              <w:right w:val="nil"/>
            </w:tcBorders>
            <w:noWrap/>
            <w:vAlign w:val="bottom"/>
            <w:hideMark/>
          </w:tcPr>
          <w:p w14:paraId="2C716CDD"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2017</w:t>
            </w:r>
          </w:p>
        </w:tc>
        <w:tc>
          <w:tcPr>
            <w:tcW w:w="736" w:type="dxa"/>
            <w:tcBorders>
              <w:top w:val="nil"/>
              <w:left w:val="nil"/>
              <w:bottom w:val="nil"/>
              <w:right w:val="nil"/>
            </w:tcBorders>
            <w:shd w:val="clear" w:color="000000" w:fill="E3C1AF"/>
            <w:noWrap/>
            <w:vAlign w:val="bottom"/>
            <w:hideMark/>
          </w:tcPr>
          <w:p w14:paraId="166A2FD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82</w:t>
            </w:r>
          </w:p>
        </w:tc>
        <w:tc>
          <w:tcPr>
            <w:tcW w:w="736" w:type="dxa"/>
            <w:tcBorders>
              <w:top w:val="nil"/>
              <w:left w:val="nil"/>
              <w:bottom w:val="nil"/>
              <w:right w:val="nil"/>
            </w:tcBorders>
            <w:shd w:val="clear" w:color="000000" w:fill="E3C0AE"/>
            <w:noWrap/>
            <w:vAlign w:val="bottom"/>
            <w:hideMark/>
          </w:tcPr>
          <w:p w14:paraId="02BAA8AC"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84</w:t>
            </w:r>
          </w:p>
        </w:tc>
        <w:tc>
          <w:tcPr>
            <w:tcW w:w="736" w:type="dxa"/>
            <w:tcBorders>
              <w:top w:val="nil"/>
              <w:left w:val="nil"/>
              <w:bottom w:val="nil"/>
              <w:right w:val="nil"/>
            </w:tcBorders>
            <w:shd w:val="clear" w:color="000000" w:fill="F0D3C3"/>
            <w:noWrap/>
            <w:vAlign w:val="bottom"/>
            <w:hideMark/>
          </w:tcPr>
          <w:p w14:paraId="4DE5863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39</w:t>
            </w:r>
          </w:p>
        </w:tc>
        <w:tc>
          <w:tcPr>
            <w:tcW w:w="736" w:type="dxa"/>
            <w:tcBorders>
              <w:top w:val="nil"/>
              <w:left w:val="nil"/>
              <w:bottom w:val="nil"/>
              <w:right w:val="nil"/>
            </w:tcBorders>
            <w:shd w:val="clear" w:color="000000" w:fill="F4D8C9"/>
            <w:noWrap/>
            <w:vAlign w:val="bottom"/>
            <w:hideMark/>
          </w:tcPr>
          <w:p w14:paraId="795B64A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26</w:t>
            </w:r>
          </w:p>
        </w:tc>
        <w:tc>
          <w:tcPr>
            <w:tcW w:w="736" w:type="dxa"/>
            <w:tcBorders>
              <w:top w:val="nil"/>
              <w:left w:val="nil"/>
              <w:bottom w:val="nil"/>
              <w:right w:val="nil"/>
            </w:tcBorders>
            <w:shd w:val="clear" w:color="000000" w:fill="F6DCCE"/>
            <w:noWrap/>
            <w:vAlign w:val="bottom"/>
            <w:hideMark/>
          </w:tcPr>
          <w:p w14:paraId="4231DFC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17</w:t>
            </w:r>
          </w:p>
        </w:tc>
        <w:tc>
          <w:tcPr>
            <w:tcW w:w="736" w:type="dxa"/>
            <w:tcBorders>
              <w:top w:val="nil"/>
              <w:left w:val="nil"/>
              <w:bottom w:val="nil"/>
              <w:right w:val="nil"/>
            </w:tcBorders>
            <w:shd w:val="clear" w:color="000000" w:fill="F9DFD2"/>
            <w:noWrap/>
            <w:vAlign w:val="bottom"/>
            <w:hideMark/>
          </w:tcPr>
          <w:p w14:paraId="0E634956"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8</w:t>
            </w:r>
          </w:p>
        </w:tc>
        <w:tc>
          <w:tcPr>
            <w:tcW w:w="736" w:type="dxa"/>
            <w:tcBorders>
              <w:top w:val="nil"/>
              <w:left w:val="nil"/>
              <w:bottom w:val="nil"/>
              <w:right w:val="nil"/>
            </w:tcBorders>
            <w:shd w:val="clear" w:color="000000" w:fill="F6DCCE"/>
            <w:noWrap/>
            <w:vAlign w:val="bottom"/>
            <w:hideMark/>
          </w:tcPr>
          <w:p w14:paraId="120132E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17</w:t>
            </w:r>
          </w:p>
        </w:tc>
        <w:tc>
          <w:tcPr>
            <w:tcW w:w="736" w:type="dxa"/>
            <w:tcBorders>
              <w:top w:val="nil"/>
              <w:left w:val="nil"/>
              <w:bottom w:val="nil"/>
              <w:right w:val="nil"/>
            </w:tcBorders>
            <w:shd w:val="clear" w:color="000000" w:fill="F8DDCF"/>
            <w:noWrap/>
            <w:vAlign w:val="bottom"/>
            <w:hideMark/>
          </w:tcPr>
          <w:p w14:paraId="53096B8E"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13</w:t>
            </w:r>
          </w:p>
        </w:tc>
        <w:tc>
          <w:tcPr>
            <w:tcW w:w="736" w:type="dxa"/>
            <w:tcBorders>
              <w:top w:val="nil"/>
              <w:left w:val="nil"/>
              <w:bottom w:val="nil"/>
              <w:right w:val="nil"/>
            </w:tcBorders>
            <w:shd w:val="clear" w:color="000000" w:fill="F3D7C8"/>
            <w:noWrap/>
            <w:vAlign w:val="bottom"/>
            <w:hideMark/>
          </w:tcPr>
          <w:p w14:paraId="2B6FF88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28</w:t>
            </w:r>
          </w:p>
        </w:tc>
        <w:tc>
          <w:tcPr>
            <w:tcW w:w="736" w:type="dxa"/>
            <w:tcBorders>
              <w:top w:val="nil"/>
              <w:left w:val="nil"/>
              <w:bottom w:val="nil"/>
              <w:right w:val="nil"/>
            </w:tcBorders>
            <w:shd w:val="clear" w:color="000000" w:fill="F4D7C9"/>
            <w:noWrap/>
            <w:vAlign w:val="bottom"/>
            <w:hideMark/>
          </w:tcPr>
          <w:p w14:paraId="019F54DA"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27</w:t>
            </w:r>
          </w:p>
        </w:tc>
        <w:tc>
          <w:tcPr>
            <w:tcW w:w="736" w:type="dxa"/>
            <w:tcBorders>
              <w:top w:val="nil"/>
              <w:left w:val="nil"/>
              <w:bottom w:val="nil"/>
              <w:right w:val="nil"/>
            </w:tcBorders>
            <w:shd w:val="clear" w:color="000000" w:fill="ECCDBD"/>
            <w:noWrap/>
            <w:vAlign w:val="bottom"/>
            <w:hideMark/>
          </w:tcPr>
          <w:p w14:paraId="5886ECE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53</w:t>
            </w:r>
          </w:p>
        </w:tc>
        <w:tc>
          <w:tcPr>
            <w:tcW w:w="736" w:type="dxa"/>
            <w:tcBorders>
              <w:top w:val="nil"/>
              <w:left w:val="nil"/>
              <w:bottom w:val="nil"/>
              <w:right w:val="nil"/>
            </w:tcBorders>
            <w:shd w:val="clear" w:color="000000" w:fill="E9C9B8"/>
            <w:noWrap/>
            <w:vAlign w:val="bottom"/>
            <w:hideMark/>
          </w:tcPr>
          <w:p w14:paraId="4B3C807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63</w:t>
            </w:r>
          </w:p>
        </w:tc>
      </w:tr>
      <w:tr w:rsidR="005556A6" w:rsidRPr="005556A6" w14:paraId="0D725D5A" w14:textId="77777777" w:rsidTr="005556A6">
        <w:trPr>
          <w:trHeight w:val="314"/>
        </w:trPr>
        <w:tc>
          <w:tcPr>
            <w:tcW w:w="736" w:type="dxa"/>
            <w:tcBorders>
              <w:top w:val="nil"/>
              <w:left w:val="nil"/>
              <w:bottom w:val="nil"/>
              <w:right w:val="nil"/>
            </w:tcBorders>
            <w:noWrap/>
            <w:vAlign w:val="bottom"/>
            <w:hideMark/>
          </w:tcPr>
          <w:p w14:paraId="1B38C0F4"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2018</w:t>
            </w:r>
          </w:p>
        </w:tc>
        <w:tc>
          <w:tcPr>
            <w:tcW w:w="736" w:type="dxa"/>
            <w:tcBorders>
              <w:top w:val="nil"/>
              <w:left w:val="nil"/>
              <w:bottom w:val="nil"/>
              <w:right w:val="nil"/>
            </w:tcBorders>
            <w:shd w:val="clear" w:color="000000" w:fill="E6C5B3"/>
            <w:noWrap/>
            <w:vAlign w:val="bottom"/>
            <w:hideMark/>
          </w:tcPr>
          <w:p w14:paraId="6B4F1C17"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73</w:t>
            </w:r>
          </w:p>
        </w:tc>
        <w:tc>
          <w:tcPr>
            <w:tcW w:w="736" w:type="dxa"/>
            <w:tcBorders>
              <w:top w:val="nil"/>
              <w:left w:val="nil"/>
              <w:bottom w:val="nil"/>
              <w:right w:val="nil"/>
            </w:tcBorders>
            <w:shd w:val="clear" w:color="000000" w:fill="DDB8A4"/>
            <w:noWrap/>
            <w:vAlign w:val="bottom"/>
            <w:hideMark/>
          </w:tcPr>
          <w:p w14:paraId="54F59B2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105</w:t>
            </w:r>
          </w:p>
        </w:tc>
        <w:tc>
          <w:tcPr>
            <w:tcW w:w="736" w:type="dxa"/>
            <w:tcBorders>
              <w:top w:val="nil"/>
              <w:left w:val="nil"/>
              <w:bottom w:val="nil"/>
              <w:right w:val="nil"/>
            </w:tcBorders>
            <w:shd w:val="clear" w:color="000000" w:fill="C5977F"/>
            <w:noWrap/>
            <w:vAlign w:val="bottom"/>
            <w:hideMark/>
          </w:tcPr>
          <w:p w14:paraId="6D4F4B97"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185</w:t>
            </w:r>
          </w:p>
        </w:tc>
        <w:tc>
          <w:tcPr>
            <w:tcW w:w="736" w:type="dxa"/>
            <w:tcBorders>
              <w:top w:val="nil"/>
              <w:left w:val="nil"/>
              <w:bottom w:val="nil"/>
              <w:right w:val="nil"/>
            </w:tcBorders>
            <w:shd w:val="clear" w:color="000000" w:fill="B27C60"/>
            <w:noWrap/>
            <w:vAlign w:val="bottom"/>
            <w:hideMark/>
          </w:tcPr>
          <w:p w14:paraId="1613C0D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251</w:t>
            </w:r>
          </w:p>
        </w:tc>
        <w:tc>
          <w:tcPr>
            <w:tcW w:w="736" w:type="dxa"/>
            <w:tcBorders>
              <w:top w:val="nil"/>
              <w:left w:val="nil"/>
              <w:bottom w:val="nil"/>
              <w:right w:val="nil"/>
            </w:tcBorders>
            <w:shd w:val="clear" w:color="000000" w:fill="CA9E86"/>
            <w:noWrap/>
            <w:vAlign w:val="bottom"/>
            <w:hideMark/>
          </w:tcPr>
          <w:p w14:paraId="0ED8C73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169</w:t>
            </w:r>
          </w:p>
        </w:tc>
        <w:tc>
          <w:tcPr>
            <w:tcW w:w="736" w:type="dxa"/>
            <w:tcBorders>
              <w:top w:val="nil"/>
              <w:left w:val="nil"/>
              <w:bottom w:val="nil"/>
              <w:right w:val="nil"/>
            </w:tcBorders>
            <w:shd w:val="clear" w:color="000000" w:fill="E6C5B3"/>
            <w:noWrap/>
            <w:vAlign w:val="bottom"/>
            <w:hideMark/>
          </w:tcPr>
          <w:p w14:paraId="2D5ECEF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73</w:t>
            </w:r>
          </w:p>
        </w:tc>
        <w:tc>
          <w:tcPr>
            <w:tcW w:w="736" w:type="dxa"/>
            <w:tcBorders>
              <w:top w:val="nil"/>
              <w:left w:val="nil"/>
              <w:bottom w:val="nil"/>
              <w:right w:val="nil"/>
            </w:tcBorders>
            <w:shd w:val="clear" w:color="000000" w:fill="E7C6B5"/>
            <w:noWrap/>
            <w:vAlign w:val="bottom"/>
            <w:hideMark/>
          </w:tcPr>
          <w:p w14:paraId="2937831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69</w:t>
            </w:r>
          </w:p>
        </w:tc>
        <w:tc>
          <w:tcPr>
            <w:tcW w:w="736" w:type="dxa"/>
            <w:tcBorders>
              <w:top w:val="nil"/>
              <w:left w:val="nil"/>
              <w:bottom w:val="nil"/>
              <w:right w:val="nil"/>
            </w:tcBorders>
            <w:shd w:val="clear" w:color="000000" w:fill="F1D5C6"/>
            <w:noWrap/>
            <w:vAlign w:val="bottom"/>
            <w:hideMark/>
          </w:tcPr>
          <w:p w14:paraId="51AE137A"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34</w:t>
            </w:r>
          </w:p>
        </w:tc>
        <w:tc>
          <w:tcPr>
            <w:tcW w:w="736" w:type="dxa"/>
            <w:tcBorders>
              <w:top w:val="nil"/>
              <w:left w:val="nil"/>
              <w:bottom w:val="nil"/>
              <w:right w:val="nil"/>
            </w:tcBorders>
            <w:shd w:val="clear" w:color="000000" w:fill="F0D3C3"/>
            <w:noWrap/>
            <w:vAlign w:val="bottom"/>
            <w:hideMark/>
          </w:tcPr>
          <w:p w14:paraId="1E2E19A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39</w:t>
            </w:r>
          </w:p>
        </w:tc>
        <w:tc>
          <w:tcPr>
            <w:tcW w:w="736" w:type="dxa"/>
            <w:tcBorders>
              <w:top w:val="nil"/>
              <w:left w:val="nil"/>
              <w:bottom w:val="nil"/>
              <w:right w:val="nil"/>
            </w:tcBorders>
            <w:shd w:val="clear" w:color="000000" w:fill="ECCDBD"/>
            <w:noWrap/>
            <w:vAlign w:val="bottom"/>
            <w:hideMark/>
          </w:tcPr>
          <w:p w14:paraId="699A9F1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52</w:t>
            </w:r>
          </w:p>
        </w:tc>
        <w:tc>
          <w:tcPr>
            <w:tcW w:w="736" w:type="dxa"/>
            <w:tcBorders>
              <w:top w:val="nil"/>
              <w:left w:val="nil"/>
              <w:bottom w:val="nil"/>
              <w:right w:val="nil"/>
            </w:tcBorders>
            <w:shd w:val="clear" w:color="000000" w:fill="ECCEBE"/>
            <w:noWrap/>
            <w:vAlign w:val="bottom"/>
            <w:hideMark/>
          </w:tcPr>
          <w:p w14:paraId="6BD70302"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51</w:t>
            </w:r>
          </w:p>
        </w:tc>
        <w:tc>
          <w:tcPr>
            <w:tcW w:w="736" w:type="dxa"/>
            <w:tcBorders>
              <w:top w:val="nil"/>
              <w:left w:val="nil"/>
              <w:bottom w:val="nil"/>
              <w:right w:val="nil"/>
            </w:tcBorders>
            <w:shd w:val="clear" w:color="000000" w:fill="EBCCBC"/>
            <w:noWrap/>
            <w:vAlign w:val="bottom"/>
            <w:hideMark/>
          </w:tcPr>
          <w:p w14:paraId="329B5E03"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55</w:t>
            </w:r>
          </w:p>
        </w:tc>
      </w:tr>
      <w:tr w:rsidR="005556A6" w:rsidRPr="005556A6" w14:paraId="201FE779" w14:textId="77777777" w:rsidTr="005556A6">
        <w:trPr>
          <w:trHeight w:val="314"/>
        </w:trPr>
        <w:tc>
          <w:tcPr>
            <w:tcW w:w="736" w:type="dxa"/>
            <w:tcBorders>
              <w:top w:val="nil"/>
              <w:left w:val="nil"/>
              <w:bottom w:val="nil"/>
              <w:right w:val="nil"/>
            </w:tcBorders>
            <w:noWrap/>
            <w:vAlign w:val="bottom"/>
            <w:hideMark/>
          </w:tcPr>
          <w:p w14:paraId="77740B60"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2019</w:t>
            </w:r>
          </w:p>
        </w:tc>
        <w:tc>
          <w:tcPr>
            <w:tcW w:w="736" w:type="dxa"/>
            <w:tcBorders>
              <w:top w:val="nil"/>
              <w:left w:val="nil"/>
              <w:bottom w:val="nil"/>
              <w:right w:val="nil"/>
            </w:tcBorders>
            <w:shd w:val="clear" w:color="000000" w:fill="A56B4C"/>
            <w:noWrap/>
            <w:vAlign w:val="bottom"/>
            <w:hideMark/>
          </w:tcPr>
          <w:p w14:paraId="39E55F3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292</w:t>
            </w:r>
          </w:p>
        </w:tc>
        <w:tc>
          <w:tcPr>
            <w:tcW w:w="736" w:type="dxa"/>
            <w:tcBorders>
              <w:top w:val="nil"/>
              <w:left w:val="nil"/>
              <w:bottom w:val="nil"/>
              <w:right w:val="nil"/>
            </w:tcBorders>
            <w:shd w:val="clear" w:color="000000" w:fill="7E350E"/>
            <w:noWrap/>
            <w:vAlign w:val="bottom"/>
            <w:hideMark/>
          </w:tcPr>
          <w:p w14:paraId="2F832FEE"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424</w:t>
            </w:r>
          </w:p>
        </w:tc>
        <w:tc>
          <w:tcPr>
            <w:tcW w:w="736" w:type="dxa"/>
            <w:tcBorders>
              <w:top w:val="nil"/>
              <w:left w:val="nil"/>
              <w:bottom w:val="nil"/>
              <w:right w:val="nil"/>
            </w:tcBorders>
            <w:shd w:val="clear" w:color="000000" w:fill="CDA28C"/>
            <w:noWrap/>
            <w:vAlign w:val="bottom"/>
            <w:hideMark/>
          </w:tcPr>
          <w:p w14:paraId="56D27A9A"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157</w:t>
            </w:r>
          </w:p>
        </w:tc>
        <w:tc>
          <w:tcPr>
            <w:tcW w:w="736" w:type="dxa"/>
            <w:tcBorders>
              <w:top w:val="nil"/>
              <w:left w:val="nil"/>
              <w:bottom w:val="nil"/>
              <w:right w:val="nil"/>
            </w:tcBorders>
            <w:shd w:val="clear" w:color="000000" w:fill="E9C9B8"/>
            <w:noWrap/>
            <w:vAlign w:val="bottom"/>
            <w:hideMark/>
          </w:tcPr>
          <w:p w14:paraId="63B6482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62</w:t>
            </w:r>
          </w:p>
        </w:tc>
        <w:tc>
          <w:tcPr>
            <w:tcW w:w="736" w:type="dxa"/>
            <w:tcBorders>
              <w:top w:val="nil"/>
              <w:left w:val="nil"/>
              <w:bottom w:val="nil"/>
              <w:right w:val="nil"/>
            </w:tcBorders>
            <w:shd w:val="clear" w:color="000000" w:fill="F6DBCD"/>
            <w:noWrap/>
            <w:vAlign w:val="bottom"/>
            <w:hideMark/>
          </w:tcPr>
          <w:p w14:paraId="62FBC53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19</w:t>
            </w:r>
          </w:p>
        </w:tc>
        <w:tc>
          <w:tcPr>
            <w:tcW w:w="736" w:type="dxa"/>
            <w:tcBorders>
              <w:top w:val="nil"/>
              <w:left w:val="nil"/>
              <w:bottom w:val="nil"/>
              <w:right w:val="nil"/>
            </w:tcBorders>
            <w:shd w:val="clear" w:color="000000" w:fill="F4D8C9"/>
            <w:noWrap/>
            <w:vAlign w:val="bottom"/>
            <w:hideMark/>
          </w:tcPr>
          <w:p w14:paraId="6FC95A7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26</w:t>
            </w:r>
          </w:p>
        </w:tc>
        <w:tc>
          <w:tcPr>
            <w:tcW w:w="736" w:type="dxa"/>
            <w:tcBorders>
              <w:top w:val="nil"/>
              <w:left w:val="nil"/>
              <w:bottom w:val="nil"/>
              <w:right w:val="nil"/>
            </w:tcBorders>
            <w:shd w:val="clear" w:color="000000" w:fill="F7DDCF"/>
            <w:noWrap/>
            <w:vAlign w:val="bottom"/>
            <w:hideMark/>
          </w:tcPr>
          <w:p w14:paraId="1A9F993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14</w:t>
            </w:r>
          </w:p>
        </w:tc>
        <w:tc>
          <w:tcPr>
            <w:tcW w:w="736" w:type="dxa"/>
            <w:tcBorders>
              <w:top w:val="nil"/>
              <w:left w:val="nil"/>
              <w:bottom w:val="nil"/>
              <w:right w:val="nil"/>
            </w:tcBorders>
            <w:shd w:val="clear" w:color="000000" w:fill="F8DDCF"/>
            <w:noWrap/>
            <w:vAlign w:val="bottom"/>
            <w:hideMark/>
          </w:tcPr>
          <w:p w14:paraId="77C67A1F"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13</w:t>
            </w:r>
          </w:p>
        </w:tc>
        <w:tc>
          <w:tcPr>
            <w:tcW w:w="736" w:type="dxa"/>
            <w:tcBorders>
              <w:top w:val="nil"/>
              <w:left w:val="nil"/>
              <w:bottom w:val="nil"/>
              <w:right w:val="nil"/>
            </w:tcBorders>
            <w:shd w:val="clear" w:color="000000" w:fill="FBE2D5"/>
            <w:noWrap/>
            <w:vAlign w:val="bottom"/>
            <w:hideMark/>
          </w:tcPr>
          <w:p w14:paraId="1447E39C"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c>
          <w:tcPr>
            <w:tcW w:w="736" w:type="dxa"/>
            <w:tcBorders>
              <w:top w:val="nil"/>
              <w:left w:val="nil"/>
              <w:bottom w:val="nil"/>
              <w:right w:val="nil"/>
            </w:tcBorders>
            <w:shd w:val="clear" w:color="000000" w:fill="FBE1D4"/>
            <w:noWrap/>
            <w:vAlign w:val="bottom"/>
            <w:hideMark/>
          </w:tcPr>
          <w:p w14:paraId="24F3A453"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w:t>
            </w:r>
          </w:p>
        </w:tc>
        <w:tc>
          <w:tcPr>
            <w:tcW w:w="736" w:type="dxa"/>
            <w:tcBorders>
              <w:top w:val="nil"/>
              <w:left w:val="nil"/>
              <w:bottom w:val="nil"/>
              <w:right w:val="nil"/>
            </w:tcBorders>
            <w:shd w:val="clear" w:color="000000" w:fill="F8DED0"/>
            <w:noWrap/>
            <w:vAlign w:val="bottom"/>
            <w:hideMark/>
          </w:tcPr>
          <w:p w14:paraId="31F3D706"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12</w:t>
            </w:r>
          </w:p>
        </w:tc>
        <w:tc>
          <w:tcPr>
            <w:tcW w:w="736" w:type="dxa"/>
            <w:tcBorders>
              <w:top w:val="nil"/>
              <w:left w:val="nil"/>
              <w:bottom w:val="nil"/>
              <w:right w:val="nil"/>
            </w:tcBorders>
            <w:shd w:val="clear" w:color="000000" w:fill="FBE2D5"/>
            <w:noWrap/>
            <w:vAlign w:val="bottom"/>
            <w:hideMark/>
          </w:tcPr>
          <w:p w14:paraId="728CD6F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r>
      <w:tr w:rsidR="005556A6" w:rsidRPr="005556A6" w14:paraId="5931C2F4" w14:textId="77777777" w:rsidTr="005556A6">
        <w:trPr>
          <w:trHeight w:val="314"/>
        </w:trPr>
        <w:tc>
          <w:tcPr>
            <w:tcW w:w="736" w:type="dxa"/>
            <w:tcBorders>
              <w:top w:val="nil"/>
              <w:left w:val="nil"/>
              <w:bottom w:val="nil"/>
              <w:right w:val="nil"/>
            </w:tcBorders>
            <w:noWrap/>
            <w:vAlign w:val="bottom"/>
            <w:hideMark/>
          </w:tcPr>
          <w:p w14:paraId="02FFDEB5"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lastRenderedPageBreak/>
              <w:t>2020</w:t>
            </w:r>
          </w:p>
        </w:tc>
        <w:tc>
          <w:tcPr>
            <w:tcW w:w="736" w:type="dxa"/>
            <w:tcBorders>
              <w:top w:val="nil"/>
              <w:left w:val="nil"/>
              <w:bottom w:val="nil"/>
              <w:right w:val="nil"/>
            </w:tcBorders>
            <w:shd w:val="clear" w:color="000000" w:fill="FAE0D3"/>
            <w:noWrap/>
            <w:vAlign w:val="bottom"/>
            <w:hideMark/>
          </w:tcPr>
          <w:p w14:paraId="2D0F7FC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5</w:t>
            </w:r>
          </w:p>
        </w:tc>
        <w:tc>
          <w:tcPr>
            <w:tcW w:w="736" w:type="dxa"/>
            <w:tcBorders>
              <w:top w:val="nil"/>
              <w:left w:val="nil"/>
              <w:bottom w:val="nil"/>
              <w:right w:val="nil"/>
            </w:tcBorders>
            <w:shd w:val="clear" w:color="000000" w:fill="F9DFD2"/>
            <w:noWrap/>
            <w:vAlign w:val="bottom"/>
            <w:hideMark/>
          </w:tcPr>
          <w:p w14:paraId="46A4B2D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8</w:t>
            </w:r>
          </w:p>
        </w:tc>
        <w:tc>
          <w:tcPr>
            <w:tcW w:w="736" w:type="dxa"/>
            <w:tcBorders>
              <w:top w:val="nil"/>
              <w:left w:val="nil"/>
              <w:bottom w:val="nil"/>
              <w:right w:val="nil"/>
            </w:tcBorders>
            <w:shd w:val="clear" w:color="000000" w:fill="F8DED0"/>
            <w:noWrap/>
            <w:vAlign w:val="bottom"/>
            <w:hideMark/>
          </w:tcPr>
          <w:p w14:paraId="376E5EB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12</w:t>
            </w:r>
          </w:p>
        </w:tc>
        <w:tc>
          <w:tcPr>
            <w:tcW w:w="736" w:type="dxa"/>
            <w:tcBorders>
              <w:top w:val="nil"/>
              <w:left w:val="nil"/>
              <w:bottom w:val="nil"/>
              <w:right w:val="nil"/>
            </w:tcBorders>
            <w:shd w:val="clear" w:color="000000" w:fill="F9E0D2"/>
            <w:noWrap/>
            <w:vAlign w:val="bottom"/>
            <w:hideMark/>
          </w:tcPr>
          <w:p w14:paraId="20336BB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7</w:t>
            </w:r>
          </w:p>
        </w:tc>
        <w:tc>
          <w:tcPr>
            <w:tcW w:w="736" w:type="dxa"/>
            <w:tcBorders>
              <w:top w:val="nil"/>
              <w:left w:val="nil"/>
              <w:bottom w:val="nil"/>
              <w:right w:val="nil"/>
            </w:tcBorders>
            <w:shd w:val="clear" w:color="000000" w:fill="FBE2D5"/>
            <w:noWrap/>
            <w:vAlign w:val="bottom"/>
            <w:hideMark/>
          </w:tcPr>
          <w:p w14:paraId="6FB73266"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c>
          <w:tcPr>
            <w:tcW w:w="736" w:type="dxa"/>
            <w:tcBorders>
              <w:top w:val="nil"/>
              <w:left w:val="nil"/>
              <w:bottom w:val="nil"/>
              <w:right w:val="nil"/>
            </w:tcBorders>
            <w:shd w:val="clear" w:color="000000" w:fill="FBE2D5"/>
            <w:noWrap/>
            <w:vAlign w:val="bottom"/>
            <w:hideMark/>
          </w:tcPr>
          <w:p w14:paraId="62156FBC"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2D5"/>
            <w:noWrap/>
            <w:vAlign w:val="bottom"/>
            <w:hideMark/>
          </w:tcPr>
          <w:p w14:paraId="6B6C62B9"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2D5"/>
            <w:noWrap/>
            <w:vAlign w:val="bottom"/>
            <w:hideMark/>
          </w:tcPr>
          <w:p w14:paraId="381454D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2D5"/>
            <w:noWrap/>
            <w:vAlign w:val="bottom"/>
            <w:hideMark/>
          </w:tcPr>
          <w:p w14:paraId="7F07528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2D5"/>
            <w:noWrap/>
            <w:vAlign w:val="bottom"/>
            <w:hideMark/>
          </w:tcPr>
          <w:p w14:paraId="56F52AFA"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2D5"/>
            <w:noWrap/>
            <w:vAlign w:val="bottom"/>
            <w:hideMark/>
          </w:tcPr>
          <w:p w14:paraId="167EAC7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2D5"/>
            <w:noWrap/>
            <w:vAlign w:val="bottom"/>
            <w:hideMark/>
          </w:tcPr>
          <w:p w14:paraId="14AA029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r>
      <w:tr w:rsidR="005556A6" w:rsidRPr="005556A6" w14:paraId="17ACFC21" w14:textId="77777777" w:rsidTr="005556A6">
        <w:trPr>
          <w:trHeight w:val="314"/>
        </w:trPr>
        <w:tc>
          <w:tcPr>
            <w:tcW w:w="736" w:type="dxa"/>
            <w:tcBorders>
              <w:top w:val="nil"/>
              <w:left w:val="nil"/>
              <w:bottom w:val="nil"/>
              <w:right w:val="nil"/>
            </w:tcBorders>
            <w:noWrap/>
            <w:vAlign w:val="bottom"/>
            <w:hideMark/>
          </w:tcPr>
          <w:p w14:paraId="6510E6A7"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2021</w:t>
            </w:r>
          </w:p>
        </w:tc>
        <w:tc>
          <w:tcPr>
            <w:tcW w:w="736" w:type="dxa"/>
            <w:tcBorders>
              <w:top w:val="nil"/>
              <w:left w:val="nil"/>
              <w:bottom w:val="nil"/>
              <w:right w:val="nil"/>
            </w:tcBorders>
            <w:shd w:val="clear" w:color="000000" w:fill="FBE2D5"/>
            <w:noWrap/>
            <w:vAlign w:val="bottom"/>
            <w:hideMark/>
          </w:tcPr>
          <w:p w14:paraId="546D709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2D5"/>
            <w:noWrap/>
            <w:vAlign w:val="bottom"/>
            <w:hideMark/>
          </w:tcPr>
          <w:p w14:paraId="0585BF4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c>
          <w:tcPr>
            <w:tcW w:w="736" w:type="dxa"/>
            <w:tcBorders>
              <w:top w:val="nil"/>
              <w:left w:val="nil"/>
              <w:bottom w:val="nil"/>
              <w:right w:val="nil"/>
            </w:tcBorders>
            <w:shd w:val="clear" w:color="000000" w:fill="FBE2D5"/>
            <w:noWrap/>
            <w:vAlign w:val="bottom"/>
            <w:hideMark/>
          </w:tcPr>
          <w:p w14:paraId="7707DFE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w:t>
            </w:r>
          </w:p>
        </w:tc>
        <w:tc>
          <w:tcPr>
            <w:tcW w:w="736" w:type="dxa"/>
            <w:tcBorders>
              <w:top w:val="nil"/>
              <w:left w:val="nil"/>
              <w:bottom w:val="nil"/>
              <w:right w:val="nil"/>
            </w:tcBorders>
            <w:shd w:val="clear" w:color="000000" w:fill="FBE2D5"/>
            <w:noWrap/>
            <w:vAlign w:val="bottom"/>
            <w:hideMark/>
          </w:tcPr>
          <w:p w14:paraId="0424B9D2"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0</w:t>
            </w:r>
          </w:p>
        </w:tc>
        <w:tc>
          <w:tcPr>
            <w:tcW w:w="736" w:type="dxa"/>
            <w:tcBorders>
              <w:top w:val="nil"/>
              <w:left w:val="nil"/>
              <w:bottom w:val="nil"/>
              <w:right w:val="nil"/>
            </w:tcBorders>
            <w:shd w:val="clear" w:color="000000" w:fill="FBE1D4"/>
            <w:noWrap/>
            <w:vAlign w:val="bottom"/>
            <w:hideMark/>
          </w:tcPr>
          <w:p w14:paraId="0FF9632A"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w:t>
            </w:r>
          </w:p>
        </w:tc>
        <w:tc>
          <w:tcPr>
            <w:tcW w:w="736" w:type="dxa"/>
            <w:tcBorders>
              <w:top w:val="nil"/>
              <w:left w:val="nil"/>
              <w:bottom w:val="nil"/>
              <w:right w:val="nil"/>
            </w:tcBorders>
            <w:shd w:val="clear" w:color="000000" w:fill="FBE1D4"/>
            <w:noWrap/>
            <w:vAlign w:val="bottom"/>
            <w:hideMark/>
          </w:tcPr>
          <w:p w14:paraId="6D5E0CBC"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w:t>
            </w:r>
          </w:p>
        </w:tc>
        <w:tc>
          <w:tcPr>
            <w:tcW w:w="736" w:type="dxa"/>
            <w:tcBorders>
              <w:top w:val="nil"/>
              <w:left w:val="nil"/>
              <w:bottom w:val="nil"/>
              <w:right w:val="nil"/>
            </w:tcBorders>
            <w:shd w:val="clear" w:color="000000" w:fill="FBE2D5"/>
            <w:noWrap/>
            <w:vAlign w:val="bottom"/>
            <w:hideMark/>
          </w:tcPr>
          <w:p w14:paraId="4C1B774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c>
          <w:tcPr>
            <w:tcW w:w="736" w:type="dxa"/>
            <w:tcBorders>
              <w:top w:val="nil"/>
              <w:left w:val="nil"/>
              <w:bottom w:val="nil"/>
              <w:right w:val="nil"/>
            </w:tcBorders>
            <w:shd w:val="clear" w:color="000000" w:fill="FBE2D5"/>
            <w:noWrap/>
            <w:vAlign w:val="bottom"/>
            <w:hideMark/>
          </w:tcPr>
          <w:p w14:paraId="54BB45FE"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c>
          <w:tcPr>
            <w:tcW w:w="736" w:type="dxa"/>
            <w:tcBorders>
              <w:top w:val="nil"/>
              <w:left w:val="nil"/>
              <w:bottom w:val="nil"/>
              <w:right w:val="nil"/>
            </w:tcBorders>
            <w:shd w:val="clear" w:color="000000" w:fill="E8C7B6"/>
            <w:noWrap/>
            <w:vAlign w:val="bottom"/>
            <w:hideMark/>
          </w:tcPr>
          <w:p w14:paraId="2F78F66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67</w:t>
            </w:r>
          </w:p>
        </w:tc>
        <w:tc>
          <w:tcPr>
            <w:tcW w:w="736" w:type="dxa"/>
            <w:tcBorders>
              <w:top w:val="nil"/>
              <w:left w:val="nil"/>
              <w:bottom w:val="nil"/>
              <w:right w:val="nil"/>
            </w:tcBorders>
            <w:shd w:val="clear" w:color="000000" w:fill="D7B09C"/>
            <w:noWrap/>
            <w:vAlign w:val="bottom"/>
            <w:hideMark/>
          </w:tcPr>
          <w:p w14:paraId="4E91415B"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123</w:t>
            </w:r>
          </w:p>
        </w:tc>
        <w:tc>
          <w:tcPr>
            <w:tcW w:w="736" w:type="dxa"/>
            <w:tcBorders>
              <w:top w:val="nil"/>
              <w:left w:val="nil"/>
              <w:bottom w:val="nil"/>
              <w:right w:val="nil"/>
            </w:tcBorders>
            <w:shd w:val="clear" w:color="000000" w:fill="DFBBA8"/>
            <w:noWrap/>
            <w:vAlign w:val="bottom"/>
            <w:hideMark/>
          </w:tcPr>
          <w:p w14:paraId="3585108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96</w:t>
            </w:r>
          </w:p>
        </w:tc>
        <w:tc>
          <w:tcPr>
            <w:tcW w:w="736" w:type="dxa"/>
            <w:tcBorders>
              <w:top w:val="nil"/>
              <w:left w:val="nil"/>
              <w:bottom w:val="nil"/>
              <w:right w:val="nil"/>
            </w:tcBorders>
            <w:shd w:val="clear" w:color="000000" w:fill="F3D6C7"/>
            <w:noWrap/>
            <w:vAlign w:val="bottom"/>
            <w:hideMark/>
          </w:tcPr>
          <w:p w14:paraId="4CD80E6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30</w:t>
            </w:r>
          </w:p>
        </w:tc>
      </w:tr>
      <w:tr w:rsidR="005556A6" w:rsidRPr="005556A6" w14:paraId="72068563" w14:textId="77777777" w:rsidTr="005556A6">
        <w:trPr>
          <w:trHeight w:val="314"/>
        </w:trPr>
        <w:tc>
          <w:tcPr>
            <w:tcW w:w="736" w:type="dxa"/>
            <w:tcBorders>
              <w:top w:val="nil"/>
              <w:left w:val="nil"/>
              <w:bottom w:val="nil"/>
              <w:right w:val="nil"/>
            </w:tcBorders>
            <w:noWrap/>
            <w:vAlign w:val="bottom"/>
            <w:hideMark/>
          </w:tcPr>
          <w:p w14:paraId="625143BF"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2022</w:t>
            </w:r>
          </w:p>
        </w:tc>
        <w:tc>
          <w:tcPr>
            <w:tcW w:w="736" w:type="dxa"/>
            <w:tcBorders>
              <w:top w:val="nil"/>
              <w:left w:val="nil"/>
              <w:bottom w:val="nil"/>
              <w:right w:val="nil"/>
            </w:tcBorders>
            <w:shd w:val="clear" w:color="000000" w:fill="F6DBCD"/>
            <w:noWrap/>
            <w:vAlign w:val="bottom"/>
            <w:hideMark/>
          </w:tcPr>
          <w:p w14:paraId="62A0D45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18</w:t>
            </w:r>
          </w:p>
        </w:tc>
        <w:tc>
          <w:tcPr>
            <w:tcW w:w="736" w:type="dxa"/>
            <w:tcBorders>
              <w:top w:val="nil"/>
              <w:left w:val="nil"/>
              <w:bottom w:val="nil"/>
              <w:right w:val="nil"/>
            </w:tcBorders>
            <w:shd w:val="clear" w:color="000000" w:fill="FBE1D4"/>
            <w:noWrap/>
            <w:vAlign w:val="bottom"/>
            <w:hideMark/>
          </w:tcPr>
          <w:p w14:paraId="4EFF2BA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w:t>
            </w:r>
          </w:p>
        </w:tc>
        <w:tc>
          <w:tcPr>
            <w:tcW w:w="736" w:type="dxa"/>
            <w:tcBorders>
              <w:top w:val="nil"/>
              <w:left w:val="nil"/>
              <w:bottom w:val="nil"/>
              <w:right w:val="nil"/>
            </w:tcBorders>
            <w:shd w:val="clear" w:color="000000" w:fill="FAE0D3"/>
            <w:noWrap/>
            <w:vAlign w:val="bottom"/>
            <w:hideMark/>
          </w:tcPr>
          <w:p w14:paraId="2E399C67"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w:t>
            </w:r>
          </w:p>
        </w:tc>
        <w:tc>
          <w:tcPr>
            <w:tcW w:w="736" w:type="dxa"/>
            <w:tcBorders>
              <w:top w:val="nil"/>
              <w:left w:val="nil"/>
              <w:bottom w:val="nil"/>
              <w:right w:val="nil"/>
            </w:tcBorders>
            <w:shd w:val="clear" w:color="000000" w:fill="FBE2D5"/>
            <w:noWrap/>
            <w:vAlign w:val="bottom"/>
            <w:hideMark/>
          </w:tcPr>
          <w:p w14:paraId="7331D7E2"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w:t>
            </w:r>
          </w:p>
        </w:tc>
        <w:tc>
          <w:tcPr>
            <w:tcW w:w="736" w:type="dxa"/>
            <w:tcBorders>
              <w:top w:val="nil"/>
              <w:left w:val="nil"/>
              <w:bottom w:val="nil"/>
              <w:right w:val="nil"/>
            </w:tcBorders>
            <w:shd w:val="clear" w:color="000000" w:fill="F9DED1"/>
            <w:noWrap/>
            <w:vAlign w:val="bottom"/>
            <w:hideMark/>
          </w:tcPr>
          <w:p w14:paraId="5A33E95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10</w:t>
            </w:r>
          </w:p>
        </w:tc>
        <w:tc>
          <w:tcPr>
            <w:tcW w:w="736" w:type="dxa"/>
            <w:tcBorders>
              <w:top w:val="nil"/>
              <w:left w:val="nil"/>
              <w:bottom w:val="nil"/>
              <w:right w:val="nil"/>
            </w:tcBorders>
            <w:shd w:val="clear" w:color="000000" w:fill="F2D5C6"/>
            <w:noWrap/>
            <w:vAlign w:val="bottom"/>
            <w:hideMark/>
          </w:tcPr>
          <w:p w14:paraId="148BB2B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33</w:t>
            </w:r>
          </w:p>
        </w:tc>
        <w:tc>
          <w:tcPr>
            <w:tcW w:w="736" w:type="dxa"/>
            <w:tcBorders>
              <w:top w:val="nil"/>
              <w:left w:val="nil"/>
              <w:bottom w:val="nil"/>
              <w:right w:val="nil"/>
            </w:tcBorders>
            <w:shd w:val="clear" w:color="000000" w:fill="F7DCCE"/>
            <w:noWrap/>
            <w:vAlign w:val="bottom"/>
            <w:hideMark/>
          </w:tcPr>
          <w:p w14:paraId="4E538625"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15</w:t>
            </w:r>
          </w:p>
        </w:tc>
        <w:tc>
          <w:tcPr>
            <w:tcW w:w="736" w:type="dxa"/>
            <w:tcBorders>
              <w:top w:val="nil"/>
              <w:left w:val="nil"/>
              <w:bottom w:val="nil"/>
              <w:right w:val="nil"/>
            </w:tcBorders>
            <w:shd w:val="clear" w:color="000000" w:fill="F0D3C3"/>
            <w:noWrap/>
            <w:vAlign w:val="bottom"/>
            <w:hideMark/>
          </w:tcPr>
          <w:p w14:paraId="754E22B6"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39</w:t>
            </w:r>
          </w:p>
        </w:tc>
        <w:tc>
          <w:tcPr>
            <w:tcW w:w="736" w:type="dxa"/>
            <w:tcBorders>
              <w:top w:val="nil"/>
              <w:left w:val="nil"/>
              <w:bottom w:val="nil"/>
              <w:right w:val="nil"/>
            </w:tcBorders>
            <w:shd w:val="clear" w:color="000000" w:fill="F0D2C3"/>
            <w:noWrap/>
            <w:vAlign w:val="bottom"/>
            <w:hideMark/>
          </w:tcPr>
          <w:p w14:paraId="5196A83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40</w:t>
            </w:r>
          </w:p>
        </w:tc>
        <w:tc>
          <w:tcPr>
            <w:tcW w:w="736" w:type="dxa"/>
            <w:tcBorders>
              <w:top w:val="nil"/>
              <w:left w:val="nil"/>
              <w:bottom w:val="nil"/>
              <w:right w:val="nil"/>
            </w:tcBorders>
            <w:shd w:val="clear" w:color="000000" w:fill="F6DACC"/>
            <w:noWrap/>
            <w:vAlign w:val="bottom"/>
            <w:hideMark/>
          </w:tcPr>
          <w:p w14:paraId="1BBF0DE2"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20</w:t>
            </w:r>
          </w:p>
        </w:tc>
        <w:tc>
          <w:tcPr>
            <w:tcW w:w="736" w:type="dxa"/>
            <w:tcBorders>
              <w:top w:val="nil"/>
              <w:left w:val="nil"/>
              <w:bottom w:val="nil"/>
              <w:right w:val="nil"/>
            </w:tcBorders>
            <w:shd w:val="clear" w:color="000000" w:fill="F4D7C9"/>
            <w:noWrap/>
            <w:vAlign w:val="bottom"/>
            <w:hideMark/>
          </w:tcPr>
          <w:p w14:paraId="0B8465C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27</w:t>
            </w:r>
          </w:p>
        </w:tc>
        <w:tc>
          <w:tcPr>
            <w:tcW w:w="736" w:type="dxa"/>
            <w:tcBorders>
              <w:top w:val="nil"/>
              <w:left w:val="nil"/>
              <w:bottom w:val="nil"/>
              <w:right w:val="nil"/>
            </w:tcBorders>
            <w:shd w:val="clear" w:color="000000" w:fill="F1D4C5"/>
            <w:noWrap/>
            <w:vAlign w:val="bottom"/>
            <w:hideMark/>
          </w:tcPr>
          <w:p w14:paraId="7141527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35</w:t>
            </w:r>
          </w:p>
        </w:tc>
      </w:tr>
      <w:tr w:rsidR="005556A6" w:rsidRPr="005556A6" w14:paraId="5D4C98FA" w14:textId="77777777" w:rsidTr="005556A6">
        <w:trPr>
          <w:trHeight w:val="314"/>
        </w:trPr>
        <w:tc>
          <w:tcPr>
            <w:tcW w:w="736" w:type="dxa"/>
            <w:tcBorders>
              <w:top w:val="nil"/>
              <w:left w:val="nil"/>
              <w:bottom w:val="nil"/>
              <w:right w:val="nil"/>
            </w:tcBorders>
            <w:noWrap/>
            <w:vAlign w:val="bottom"/>
            <w:hideMark/>
          </w:tcPr>
          <w:p w14:paraId="7F380A17" w14:textId="77777777" w:rsidR="005556A6" w:rsidRPr="005556A6" w:rsidRDefault="005556A6" w:rsidP="005556A6">
            <w:pPr>
              <w:spacing w:after="0" w:line="240" w:lineRule="auto"/>
              <w:jc w:val="right"/>
              <w:rPr>
                <w:rFonts w:ascii="Aptos Narrow" w:eastAsia="Times New Roman" w:hAnsi="Aptos Narrow" w:cs="Times New Roman"/>
                <w:b/>
                <w:bCs/>
                <w:color w:val="000000"/>
                <w:kern w:val="0"/>
                <w:sz w:val="22"/>
                <w:szCs w:val="22"/>
                <w14:ligatures w14:val="none"/>
              </w:rPr>
            </w:pPr>
            <w:r w:rsidRPr="005556A6">
              <w:rPr>
                <w:rFonts w:ascii="Aptos Narrow" w:eastAsia="Times New Roman" w:hAnsi="Aptos Narrow" w:cs="Times New Roman"/>
                <w:b/>
                <w:bCs/>
                <w:color w:val="000000"/>
                <w:kern w:val="0"/>
                <w:sz w:val="22"/>
                <w:szCs w:val="22"/>
                <w14:ligatures w14:val="none"/>
              </w:rPr>
              <w:t>2023</w:t>
            </w:r>
          </w:p>
        </w:tc>
        <w:tc>
          <w:tcPr>
            <w:tcW w:w="736" w:type="dxa"/>
            <w:tcBorders>
              <w:top w:val="nil"/>
              <w:left w:val="nil"/>
              <w:bottom w:val="nil"/>
              <w:right w:val="nil"/>
            </w:tcBorders>
            <w:shd w:val="clear" w:color="000000" w:fill="DBB6A2"/>
            <w:noWrap/>
            <w:vAlign w:val="bottom"/>
            <w:hideMark/>
          </w:tcPr>
          <w:p w14:paraId="23E8208C"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110</w:t>
            </w:r>
          </w:p>
        </w:tc>
        <w:tc>
          <w:tcPr>
            <w:tcW w:w="736" w:type="dxa"/>
            <w:tcBorders>
              <w:top w:val="nil"/>
              <w:left w:val="nil"/>
              <w:bottom w:val="nil"/>
              <w:right w:val="nil"/>
            </w:tcBorders>
            <w:shd w:val="clear" w:color="000000" w:fill="CCA18A"/>
            <w:noWrap/>
            <w:vAlign w:val="bottom"/>
            <w:hideMark/>
          </w:tcPr>
          <w:p w14:paraId="1B356F02"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161</w:t>
            </w:r>
          </w:p>
        </w:tc>
        <w:tc>
          <w:tcPr>
            <w:tcW w:w="736" w:type="dxa"/>
            <w:tcBorders>
              <w:top w:val="nil"/>
              <w:left w:val="nil"/>
              <w:bottom w:val="nil"/>
              <w:right w:val="nil"/>
            </w:tcBorders>
            <w:shd w:val="clear" w:color="000000" w:fill="863F1A"/>
            <w:noWrap/>
            <w:vAlign w:val="bottom"/>
            <w:hideMark/>
          </w:tcPr>
          <w:p w14:paraId="6BF05287"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400</w:t>
            </w:r>
          </w:p>
        </w:tc>
        <w:tc>
          <w:tcPr>
            <w:tcW w:w="736" w:type="dxa"/>
            <w:tcBorders>
              <w:top w:val="nil"/>
              <w:left w:val="nil"/>
              <w:bottom w:val="nil"/>
              <w:right w:val="nil"/>
            </w:tcBorders>
            <w:shd w:val="clear" w:color="000000" w:fill="945331"/>
            <w:noWrap/>
            <w:vAlign w:val="bottom"/>
            <w:hideMark/>
          </w:tcPr>
          <w:p w14:paraId="7D9AE4B9"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351</w:t>
            </w:r>
          </w:p>
        </w:tc>
        <w:tc>
          <w:tcPr>
            <w:tcW w:w="736" w:type="dxa"/>
            <w:tcBorders>
              <w:top w:val="nil"/>
              <w:left w:val="nil"/>
              <w:bottom w:val="nil"/>
              <w:right w:val="nil"/>
            </w:tcBorders>
            <w:shd w:val="clear" w:color="000000" w:fill="8E4B27"/>
            <w:noWrap/>
            <w:vAlign w:val="bottom"/>
            <w:hideMark/>
          </w:tcPr>
          <w:p w14:paraId="3A458BC3"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372</w:t>
            </w:r>
          </w:p>
        </w:tc>
        <w:tc>
          <w:tcPr>
            <w:tcW w:w="736" w:type="dxa"/>
            <w:tcBorders>
              <w:top w:val="nil"/>
              <w:left w:val="nil"/>
              <w:bottom w:val="nil"/>
              <w:right w:val="nil"/>
            </w:tcBorders>
            <w:shd w:val="clear" w:color="000000" w:fill="B47F63"/>
            <w:noWrap/>
            <w:vAlign w:val="bottom"/>
            <w:hideMark/>
          </w:tcPr>
          <w:p w14:paraId="190F89B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243</w:t>
            </w:r>
          </w:p>
        </w:tc>
        <w:tc>
          <w:tcPr>
            <w:tcW w:w="736" w:type="dxa"/>
            <w:tcBorders>
              <w:top w:val="nil"/>
              <w:left w:val="nil"/>
              <w:bottom w:val="nil"/>
              <w:right w:val="nil"/>
            </w:tcBorders>
            <w:shd w:val="clear" w:color="000000" w:fill="C3957C"/>
            <w:noWrap/>
            <w:vAlign w:val="bottom"/>
            <w:hideMark/>
          </w:tcPr>
          <w:p w14:paraId="0423DF98"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191</w:t>
            </w:r>
          </w:p>
        </w:tc>
        <w:tc>
          <w:tcPr>
            <w:tcW w:w="736" w:type="dxa"/>
            <w:tcBorders>
              <w:top w:val="nil"/>
              <w:left w:val="nil"/>
              <w:bottom w:val="nil"/>
              <w:right w:val="nil"/>
            </w:tcBorders>
            <w:shd w:val="clear" w:color="000000" w:fill="CFA48E"/>
            <w:noWrap/>
            <w:vAlign w:val="bottom"/>
            <w:hideMark/>
          </w:tcPr>
          <w:p w14:paraId="6F458C14"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152</w:t>
            </w:r>
          </w:p>
        </w:tc>
        <w:tc>
          <w:tcPr>
            <w:tcW w:w="736" w:type="dxa"/>
            <w:tcBorders>
              <w:top w:val="nil"/>
              <w:left w:val="nil"/>
              <w:bottom w:val="nil"/>
              <w:right w:val="nil"/>
            </w:tcBorders>
            <w:shd w:val="clear" w:color="000000" w:fill="DFBBA8"/>
            <w:noWrap/>
            <w:vAlign w:val="bottom"/>
            <w:hideMark/>
          </w:tcPr>
          <w:p w14:paraId="5A1BCE81"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96</w:t>
            </w:r>
          </w:p>
        </w:tc>
        <w:tc>
          <w:tcPr>
            <w:tcW w:w="736" w:type="dxa"/>
            <w:tcBorders>
              <w:top w:val="nil"/>
              <w:left w:val="nil"/>
              <w:bottom w:val="nil"/>
              <w:right w:val="nil"/>
            </w:tcBorders>
            <w:shd w:val="clear" w:color="000000" w:fill="E7C6B4"/>
            <w:noWrap/>
            <w:vAlign w:val="bottom"/>
            <w:hideMark/>
          </w:tcPr>
          <w:p w14:paraId="77CE12C9"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71</w:t>
            </w:r>
          </w:p>
        </w:tc>
        <w:tc>
          <w:tcPr>
            <w:tcW w:w="736" w:type="dxa"/>
            <w:tcBorders>
              <w:top w:val="nil"/>
              <w:left w:val="nil"/>
              <w:bottom w:val="nil"/>
              <w:right w:val="nil"/>
            </w:tcBorders>
            <w:shd w:val="clear" w:color="000000" w:fill="EECFBF"/>
            <w:noWrap/>
            <w:vAlign w:val="bottom"/>
            <w:hideMark/>
          </w:tcPr>
          <w:p w14:paraId="37B3A6C0"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47</w:t>
            </w:r>
          </w:p>
        </w:tc>
        <w:tc>
          <w:tcPr>
            <w:tcW w:w="736" w:type="dxa"/>
            <w:tcBorders>
              <w:top w:val="nil"/>
              <w:left w:val="nil"/>
              <w:bottom w:val="nil"/>
              <w:right w:val="nil"/>
            </w:tcBorders>
            <w:shd w:val="clear" w:color="000000" w:fill="EACAB9"/>
            <w:noWrap/>
            <w:vAlign w:val="bottom"/>
            <w:hideMark/>
          </w:tcPr>
          <w:p w14:paraId="0210E5CD" w14:textId="77777777" w:rsidR="005556A6" w:rsidRPr="005556A6" w:rsidRDefault="005556A6" w:rsidP="005556A6">
            <w:pPr>
              <w:spacing w:after="0" w:line="240" w:lineRule="auto"/>
              <w:jc w:val="right"/>
              <w:rPr>
                <w:rFonts w:ascii="Aptos Narrow" w:eastAsia="Times New Roman" w:hAnsi="Aptos Narrow" w:cs="Times New Roman"/>
                <w:color w:val="000000"/>
                <w:kern w:val="0"/>
                <w:sz w:val="22"/>
                <w:szCs w:val="22"/>
                <w14:ligatures w14:val="none"/>
              </w:rPr>
            </w:pPr>
            <w:r w:rsidRPr="005556A6">
              <w:rPr>
                <w:rFonts w:ascii="Aptos Narrow" w:eastAsia="Times New Roman" w:hAnsi="Aptos Narrow" w:cs="Times New Roman"/>
                <w:color w:val="000000"/>
                <w:kern w:val="0"/>
                <w:sz w:val="22"/>
                <w:szCs w:val="22"/>
                <w14:ligatures w14:val="none"/>
              </w:rPr>
              <w:t>60</w:t>
            </w:r>
          </w:p>
        </w:tc>
      </w:tr>
    </w:tbl>
    <w:p w14:paraId="345F225F" w14:textId="61E6AB30" w:rsidR="0000622B" w:rsidRDefault="0000622B" w:rsidP="00DD72A3">
      <w:pPr>
        <w:jc w:val="both"/>
        <w:rPr>
          <w:rFonts w:asciiTheme="majorBidi" w:hAnsiTheme="majorBidi" w:cstheme="majorBidi"/>
          <w:b/>
          <w:bCs/>
        </w:rPr>
      </w:pPr>
    </w:p>
    <w:p w14:paraId="4C63E59E" w14:textId="0533EEDC" w:rsidR="0000622B" w:rsidRDefault="0000622B" w:rsidP="00DD72A3">
      <w:pPr>
        <w:jc w:val="both"/>
        <w:rPr>
          <w:rFonts w:asciiTheme="majorBidi" w:hAnsiTheme="majorBidi" w:cstheme="majorBidi"/>
          <w:b/>
          <w:bCs/>
        </w:rPr>
      </w:pPr>
    </w:p>
    <w:p w14:paraId="779D1C92" w14:textId="595B41C1" w:rsidR="0000622B" w:rsidRDefault="0000622B" w:rsidP="00DD72A3">
      <w:pPr>
        <w:jc w:val="both"/>
        <w:rPr>
          <w:rFonts w:asciiTheme="majorBidi" w:hAnsiTheme="majorBidi" w:cstheme="majorBidi"/>
          <w:b/>
          <w:bCs/>
        </w:rPr>
      </w:pPr>
    </w:p>
    <w:p w14:paraId="7187C5C0" w14:textId="77777777" w:rsidR="0000622B" w:rsidRDefault="0000622B" w:rsidP="00DD72A3">
      <w:pPr>
        <w:jc w:val="both"/>
        <w:rPr>
          <w:rFonts w:asciiTheme="majorBidi" w:hAnsiTheme="majorBidi" w:cstheme="majorBidi"/>
          <w:b/>
          <w:bCs/>
        </w:rPr>
      </w:pPr>
    </w:p>
    <w:p w14:paraId="670B4277" w14:textId="782A2B36" w:rsidR="00AC13AE" w:rsidRPr="00BC6CA9" w:rsidRDefault="004011F2" w:rsidP="00FF4E1C">
      <w:pPr>
        <w:spacing w:after="0" w:line="240" w:lineRule="auto"/>
        <w:jc w:val="both"/>
        <w:rPr>
          <w:rFonts w:asciiTheme="majorBidi" w:hAnsiTheme="majorBidi" w:cstheme="majorBidi"/>
          <w:b/>
          <w:bCs/>
          <w:sz w:val="22"/>
          <w:szCs w:val="22"/>
        </w:rPr>
      </w:pPr>
      <w:r w:rsidRPr="00BC6CA9">
        <w:rPr>
          <w:rFonts w:asciiTheme="majorBidi" w:hAnsiTheme="majorBidi" w:cstheme="majorBidi"/>
          <w:sz w:val="22"/>
          <w:szCs w:val="22"/>
        </w:rPr>
        <w:t>.</w:t>
      </w:r>
      <w:r w:rsidR="00EE04EE" w:rsidRPr="00EE04EE">
        <w:rPr>
          <w:rFonts w:asciiTheme="majorBidi" w:hAnsiTheme="majorBidi" w:cstheme="majorBidi"/>
          <w:sz w:val="22"/>
          <w:szCs w:val="22"/>
        </w:rPr>
        <w:t xml:space="preserve"> </w:t>
      </w:r>
    </w:p>
    <w:p w14:paraId="7BED649C" w14:textId="77777777" w:rsidR="00AC13AE" w:rsidRDefault="00AC13AE" w:rsidP="00DD72A3">
      <w:pPr>
        <w:jc w:val="both"/>
        <w:rPr>
          <w:rFonts w:asciiTheme="majorBidi" w:hAnsiTheme="majorBidi" w:cstheme="majorBidi"/>
          <w:b/>
          <w:bCs/>
        </w:rPr>
      </w:pPr>
    </w:p>
    <w:p w14:paraId="68A7B41A" w14:textId="554FD6FF" w:rsidR="00455F66" w:rsidRPr="00455F66" w:rsidRDefault="00455F66" w:rsidP="00924144">
      <w:pPr>
        <w:spacing w:line="480" w:lineRule="auto"/>
        <w:jc w:val="both"/>
        <w:rPr>
          <w:rFonts w:asciiTheme="majorBidi" w:hAnsiTheme="majorBidi" w:cstheme="majorBidi"/>
        </w:rPr>
      </w:pPr>
      <w:r w:rsidRPr="00455F66">
        <w:rPr>
          <w:rFonts w:asciiTheme="majorBidi" w:hAnsiTheme="majorBidi" w:cstheme="majorBidi"/>
        </w:rPr>
        <w:t>During 2014–2023, the overall average annual incidence rate (AAIR) of reported measles was 1.83 cases per 100,000 population per year. Considerable geographic variation was observed, with the highest AAIRs in Qurayyat (17.97 per 100,000/year), Al-Jouf (15.97), and Najran (10.21), compared with 0.35 per 100,000/year in Al-Bahah. Thus, the long-term average rate in Qurayyat was approximately 9.8 times the overall rate and 51 times that observed in Al-Bahah</w:t>
      </w:r>
      <w:r w:rsidR="00E419CA">
        <w:rPr>
          <w:rFonts w:asciiTheme="majorBidi" w:hAnsiTheme="majorBidi" w:cstheme="majorBidi"/>
        </w:rPr>
        <w:t xml:space="preserve"> (Figure 4)</w:t>
      </w:r>
      <w:r w:rsidRPr="00455F66">
        <w:rPr>
          <w:rFonts w:asciiTheme="majorBidi" w:hAnsiTheme="majorBidi" w:cstheme="majorBidi"/>
        </w:rPr>
        <w:t>.</w:t>
      </w:r>
    </w:p>
    <w:p w14:paraId="34C6D14E" w14:textId="77777777" w:rsidR="00455F66" w:rsidRDefault="00455F66" w:rsidP="00DD72A3">
      <w:pPr>
        <w:jc w:val="both"/>
        <w:rPr>
          <w:rFonts w:asciiTheme="majorBidi" w:hAnsiTheme="majorBidi" w:cstheme="majorBidi"/>
          <w:b/>
          <w:bCs/>
        </w:rPr>
      </w:pPr>
    </w:p>
    <w:p w14:paraId="07DA7E39" w14:textId="0498A32E" w:rsidR="004D1607" w:rsidRDefault="004D1607" w:rsidP="00DD72A3">
      <w:pPr>
        <w:jc w:val="both"/>
        <w:rPr>
          <w:rFonts w:asciiTheme="majorBidi" w:hAnsiTheme="majorBidi" w:cstheme="majorBidi"/>
          <w:b/>
          <w:bCs/>
        </w:rPr>
      </w:pPr>
    </w:p>
    <w:p w14:paraId="12228CD0" w14:textId="77777777" w:rsidR="004D1607" w:rsidRDefault="004D1607" w:rsidP="00DD72A3">
      <w:pPr>
        <w:jc w:val="both"/>
        <w:rPr>
          <w:rFonts w:asciiTheme="majorBidi" w:hAnsiTheme="majorBidi" w:cstheme="majorBidi"/>
          <w:b/>
          <w:bCs/>
        </w:rPr>
      </w:pPr>
    </w:p>
    <w:p w14:paraId="314C0C85" w14:textId="77777777" w:rsidR="004D1607" w:rsidRDefault="004D1607" w:rsidP="00DD72A3">
      <w:pPr>
        <w:jc w:val="both"/>
        <w:rPr>
          <w:rFonts w:asciiTheme="majorBidi" w:hAnsiTheme="majorBidi" w:cstheme="majorBidi"/>
          <w:b/>
          <w:bCs/>
        </w:rPr>
      </w:pPr>
    </w:p>
    <w:p w14:paraId="1EAAA1D2" w14:textId="77777777" w:rsidR="004D1607" w:rsidRDefault="004D1607" w:rsidP="00DD72A3">
      <w:pPr>
        <w:jc w:val="both"/>
        <w:rPr>
          <w:rFonts w:asciiTheme="majorBidi" w:hAnsiTheme="majorBidi" w:cstheme="majorBidi"/>
          <w:b/>
          <w:bCs/>
        </w:rPr>
      </w:pPr>
    </w:p>
    <w:p w14:paraId="37CE71F3" w14:textId="6EB8CCC9" w:rsidR="004D1607" w:rsidRDefault="004D1607" w:rsidP="00DD72A3">
      <w:pPr>
        <w:jc w:val="both"/>
        <w:rPr>
          <w:rFonts w:asciiTheme="majorBidi" w:hAnsiTheme="majorBidi" w:cstheme="majorBidi"/>
          <w:b/>
          <w:bCs/>
        </w:rPr>
      </w:pPr>
    </w:p>
    <w:p w14:paraId="5395F476" w14:textId="77777777" w:rsidR="004D1607" w:rsidRDefault="004D1607" w:rsidP="00DD72A3">
      <w:pPr>
        <w:jc w:val="both"/>
        <w:rPr>
          <w:rFonts w:asciiTheme="majorBidi" w:hAnsiTheme="majorBidi" w:cstheme="majorBidi"/>
          <w:b/>
          <w:bCs/>
        </w:rPr>
      </w:pPr>
    </w:p>
    <w:p w14:paraId="5F52CD4B" w14:textId="77777777" w:rsidR="004D1607" w:rsidRDefault="004D1607" w:rsidP="00DD72A3">
      <w:pPr>
        <w:jc w:val="both"/>
        <w:rPr>
          <w:rFonts w:asciiTheme="majorBidi" w:hAnsiTheme="majorBidi" w:cstheme="majorBidi"/>
          <w:b/>
          <w:bCs/>
        </w:rPr>
      </w:pPr>
    </w:p>
    <w:p w14:paraId="77A6D356" w14:textId="42953A3F" w:rsidR="004D1607" w:rsidRDefault="004D1607" w:rsidP="00DD72A3">
      <w:pPr>
        <w:jc w:val="both"/>
        <w:rPr>
          <w:rFonts w:asciiTheme="majorBidi" w:hAnsiTheme="majorBidi" w:cstheme="majorBidi"/>
          <w:b/>
          <w:bCs/>
        </w:rPr>
      </w:pPr>
    </w:p>
    <w:p w14:paraId="5B0E6E1D" w14:textId="77777777" w:rsidR="00DD72A3" w:rsidRDefault="00DD72A3" w:rsidP="00E419CA">
      <w:pPr>
        <w:shd w:val="clear" w:color="auto" w:fill="F2F2F2" w:themeFill="background1" w:themeFillShade="F2"/>
        <w:jc w:val="both"/>
        <w:rPr>
          <w:rFonts w:asciiTheme="majorBidi" w:hAnsiTheme="majorBidi" w:cstheme="majorBidi"/>
        </w:rPr>
      </w:pPr>
    </w:p>
    <w:p w14:paraId="0360703C" w14:textId="58DF964B" w:rsidR="00E47E57" w:rsidRDefault="0093037C" w:rsidP="006B5131">
      <w:pPr>
        <w:autoSpaceDE w:val="0"/>
        <w:autoSpaceDN w:val="0"/>
        <w:adjustRightInd w:val="0"/>
        <w:spacing w:after="0" w:line="240" w:lineRule="auto"/>
        <w:ind w:left="720"/>
        <w:rPr>
          <w:rFonts w:asciiTheme="majorBidi" w:hAnsiTheme="majorBidi" w:cstheme="majorBidi"/>
          <w:b/>
          <w:bCs/>
        </w:rPr>
      </w:pPr>
      <w:r w:rsidRPr="006B5131">
        <w:rPr>
          <w:rFonts w:ascii="DejaVuSans-Bold" w:hAnsi="DejaVuSans-Bold" w:cs="DejaVuSans-Bold"/>
          <w:b/>
          <w:bCs/>
          <w:noProof/>
          <w:color w:val="C00000"/>
          <w:kern w:val="0"/>
        </w:rPr>
        <w:lastRenderedPageBreak/>
        <mc:AlternateContent>
          <mc:Choice Requires="wps">
            <w:drawing>
              <wp:anchor distT="0" distB="0" distL="114300" distR="114300" simplePos="0" relativeHeight="251665408" behindDoc="0" locked="0" layoutInCell="1" allowOverlap="1" wp14:anchorId="2D1E91A4" wp14:editId="435C2DC9">
                <wp:simplePos x="0" y="0"/>
                <wp:positionH relativeFrom="column">
                  <wp:posOffset>4571999</wp:posOffset>
                </wp:positionH>
                <wp:positionV relativeFrom="paragraph">
                  <wp:posOffset>3856362</wp:posOffset>
                </wp:positionV>
                <wp:extent cx="122255" cy="0"/>
                <wp:effectExtent l="0" t="19050" r="30480" b="19050"/>
                <wp:wrapNone/>
                <wp:docPr id="640221849" name="Straight Connector 12"/>
                <wp:cNvGraphicFramePr/>
                <a:graphic xmlns:a="http://schemas.openxmlformats.org/drawingml/2006/main">
                  <a:graphicData uri="http://schemas.microsoft.com/office/word/2010/wordprocessingShape">
                    <wps:wsp>
                      <wps:cNvCnPr/>
                      <wps:spPr>
                        <a:xfrm>
                          <a:off x="0" y="0"/>
                          <a:ext cx="122255"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D38FB" id="Straight Connector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303.65pt" to="369.65pt,3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" strokecolor="#c00000" strokeweight="2.25pt">
                <v:stroke joinstyle="miter"/>
              </v:line>
            </w:pict>
          </mc:Fallback>
        </mc:AlternateContent>
      </w:r>
      <w:r w:rsidR="000D4322">
        <w:rPr>
          <w:rFonts w:ascii="DejaVuSans-Bold" w:hAnsi="DejaVuSans-Bold" w:cs="DejaVuSans-Bold"/>
          <w:b/>
          <w:bCs/>
          <w:noProof/>
          <w:kern w:val="0"/>
        </w:rPr>
        <mc:AlternateContent>
          <mc:Choice Requires="wps">
            <w:drawing>
              <wp:anchor distT="0" distB="0" distL="114300" distR="114300" simplePos="0" relativeHeight="251664384" behindDoc="0" locked="0" layoutInCell="1" allowOverlap="1" wp14:anchorId="1EFB9443" wp14:editId="64793B27">
                <wp:simplePos x="0" y="0"/>
                <wp:positionH relativeFrom="margin">
                  <wp:posOffset>4495800</wp:posOffset>
                </wp:positionH>
                <wp:positionV relativeFrom="paragraph">
                  <wp:posOffset>3733800</wp:posOffset>
                </wp:positionV>
                <wp:extent cx="1733550" cy="266700"/>
                <wp:effectExtent l="0" t="0" r="19050" b="19050"/>
                <wp:wrapNone/>
                <wp:docPr id="1886751706" name="Text Box 11"/>
                <wp:cNvGraphicFramePr/>
                <a:graphic xmlns:a="http://schemas.openxmlformats.org/drawingml/2006/main">
                  <a:graphicData uri="http://schemas.microsoft.com/office/word/2010/wordprocessingShape">
                    <wps:wsp>
                      <wps:cNvSpPr txBox="1"/>
                      <wps:spPr>
                        <a:xfrm>
                          <a:off x="0" y="0"/>
                          <a:ext cx="1733550" cy="266700"/>
                        </a:xfrm>
                        <a:prstGeom prst="rect">
                          <a:avLst/>
                        </a:prstGeom>
                        <a:solidFill>
                          <a:schemeClr val="lt1"/>
                        </a:solidFill>
                        <a:ln w="6350">
                          <a:solidFill>
                            <a:schemeClr val="bg1"/>
                          </a:solidFill>
                        </a:ln>
                      </wps:spPr>
                      <wps:txbx>
                        <w:txbxContent>
                          <w:p w14:paraId="4F702A48" w14:textId="34A28B8B" w:rsidR="006B5131" w:rsidRPr="0093037C" w:rsidRDefault="006B5131">
                            <w:pPr>
                              <w:rPr>
                                <w:rFonts w:ascii="Georgia" w:hAnsi="Georgia"/>
                                <w:sz w:val="20"/>
                                <w:szCs w:val="20"/>
                              </w:rPr>
                            </w:pPr>
                            <w:r>
                              <w:t xml:space="preserve">     </w:t>
                            </w:r>
                            <w:r w:rsidRPr="0093037C">
                              <w:rPr>
                                <w:rFonts w:ascii="Georgia" w:hAnsi="Georgia"/>
                                <w:color w:val="215E99" w:themeColor="text2" w:themeTint="BF"/>
                                <w:sz w:val="20"/>
                                <w:szCs w:val="20"/>
                              </w:rPr>
                              <w:t>National AAIR = 1.83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FB9443" id="_x0000_t202" coordsize="21600,21600" o:spt="202" path="m,l,21600r21600,l21600,xe">
                <v:stroke joinstyle="miter"/>
                <v:path gradientshapeok="t" o:connecttype="rect"/>
              </v:shapetype>
              <v:shape id="Text Box 11" o:spid="_x0000_s1028" type="#_x0000_t202" style="position:absolute;left:0;text-align:left;margin-left:354pt;margin-top:294pt;width:136.5pt;height:2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" fillcolor="white [3201]" strokecolor="white [3212]" strokeweight=".5pt">
                <v:textbox>
                  <w:txbxContent>
                    <w:p w14:paraId="4F702A48" w14:textId="34A28B8B" w:rsidR="006B5131" w:rsidRPr="0093037C" w:rsidRDefault="006B5131">
                      <w:pPr>
                        <w:rPr>
                          <w:rFonts w:ascii="Georgia" w:hAnsi="Georgia"/>
                          <w:sz w:val="20"/>
                          <w:szCs w:val="20"/>
                        </w:rPr>
                      </w:pPr>
                      <w:r>
                        <w:t xml:space="preserve">     </w:t>
                      </w:r>
                      <w:r w:rsidRPr="0093037C">
                        <w:rPr>
                          <w:rFonts w:ascii="Georgia" w:hAnsi="Georgia"/>
                          <w:color w:val="215E99" w:themeColor="text2" w:themeTint="BF"/>
                          <w:sz w:val="20"/>
                          <w:szCs w:val="20"/>
                        </w:rPr>
                        <w:t>National AAIR = 1.83</w:t>
                      </w:r>
                    </w:p>
                  </w:txbxContent>
                </v:textbox>
                <w10:wrap anchorx="margin"/>
              </v:shape>
            </w:pict>
          </mc:Fallback>
        </mc:AlternateContent>
      </w:r>
      <w:r w:rsidR="00E419CA">
        <w:rPr>
          <w:rFonts w:ascii="DejaVuSans-Bold" w:hAnsi="DejaVuSans-Bold" w:cs="DejaVuSans-Bold"/>
          <w:b/>
          <w:bCs/>
          <w:kern w:val="0"/>
        </w:rPr>
        <w:t xml:space="preserve">Figure 4: </w:t>
      </w:r>
      <w:r w:rsidR="00E47E57" w:rsidRPr="00E47E57">
        <w:rPr>
          <w:rFonts w:ascii="DejaVuSans-Bold" w:hAnsi="DejaVuSans-Bold" w:cs="DejaVuSans-Bold"/>
          <w:b/>
          <w:bCs/>
          <w:kern w:val="0"/>
        </w:rPr>
        <w:t>Average annual measles incidence by health region</w:t>
      </w:r>
      <w:r w:rsidR="00E47E57">
        <w:rPr>
          <w:rFonts w:ascii="DejaVuSans-Bold" w:hAnsi="DejaVuSans-Bold" w:cs="DejaVuSans-Bold"/>
          <w:b/>
          <w:bCs/>
          <w:kern w:val="0"/>
        </w:rPr>
        <w:t xml:space="preserve"> </w:t>
      </w:r>
      <w:r w:rsidR="00E47E57" w:rsidRPr="00E47E57">
        <w:rPr>
          <w:rFonts w:ascii="DejaVuSans-Bold" w:hAnsi="DejaVuSans-Bold" w:cs="DejaVuSans-Bold"/>
          <w:b/>
          <w:bCs/>
          <w:kern w:val="0"/>
        </w:rPr>
        <w:t xml:space="preserve">Saudi Arabia, 2014 </w:t>
      </w:r>
      <w:r w:rsidR="005D59D0">
        <w:rPr>
          <w:rFonts w:ascii="DejaVuSans-Bold" w:hAnsi="DejaVuSans-Bold" w:cs="DejaVuSans-Bold" w:hint="cs"/>
          <w:b/>
          <w:bCs/>
          <w:kern w:val="0"/>
          <w:rtl/>
        </w:rPr>
        <w:t>-</w:t>
      </w:r>
      <w:r w:rsidR="00E47E57" w:rsidRPr="00E47E57">
        <w:rPr>
          <w:rFonts w:ascii="DejaVuSans-Bold" w:hAnsi="DejaVuSans-Bold" w:cs="DejaVuSans-Bold"/>
          <w:b/>
          <w:bCs/>
          <w:kern w:val="0"/>
        </w:rPr>
        <w:t>2023</w:t>
      </w:r>
      <w:r w:rsidR="00E47E57" w:rsidRPr="00E47E57">
        <w:t xml:space="preserve"> </w:t>
      </w:r>
      <w:r w:rsidR="00E47E57" w:rsidRPr="00E47E57">
        <w:rPr>
          <w:rFonts w:asciiTheme="majorBidi" w:hAnsiTheme="majorBidi" w:cstheme="majorBidi"/>
          <w:b/>
          <w:bCs/>
          <w:noProof/>
        </w:rPr>
        <w:drawing>
          <wp:inline distT="0" distB="0" distL="0" distR="0" wp14:anchorId="70BCF71C" wp14:editId="7B2E112A">
            <wp:extent cx="5861674" cy="4022725"/>
            <wp:effectExtent l="0" t="0" r="6350" b="0"/>
            <wp:docPr id="334486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336" cy="4077395"/>
                    </a:xfrm>
                    <a:prstGeom prst="rect">
                      <a:avLst/>
                    </a:prstGeom>
                    <a:noFill/>
                    <a:ln>
                      <a:noFill/>
                    </a:ln>
                  </pic:spPr>
                </pic:pic>
              </a:graphicData>
            </a:graphic>
          </wp:inline>
        </w:drawing>
      </w:r>
      <w:r w:rsidR="00E47E57" w:rsidRPr="00E47E57">
        <w:rPr>
          <w:rFonts w:asciiTheme="majorBidi" w:hAnsiTheme="majorBidi" w:cstheme="majorBidi"/>
          <w:b/>
          <w:bCs/>
          <w:noProof/>
        </w:rPr>
        <w:t xml:space="preserve"> </w:t>
      </w:r>
    </w:p>
    <w:p w14:paraId="13C62AAF" w14:textId="66A0CA27" w:rsidR="00E47E57" w:rsidRDefault="006B5131" w:rsidP="00E47E57">
      <w:pPr>
        <w:spacing w:line="480" w:lineRule="auto"/>
        <w:ind w:left="2160" w:firstLine="720"/>
        <w:jc w:val="both"/>
        <w:rPr>
          <w:rFonts w:ascii="DejaVuSans" w:hAnsi="DejaVuSans" w:cs="DejaVuSans"/>
          <w:kern w:val="0"/>
          <w:sz w:val="22"/>
          <w:szCs w:val="22"/>
        </w:rPr>
      </w:pPr>
      <w:r>
        <w:rPr>
          <w:rFonts w:ascii="DejaVuSans-Bold" w:hAnsi="DejaVuSans-Bold" w:cs="DejaVuSans-Bold"/>
          <w:b/>
          <w:bCs/>
          <w:noProof/>
          <w:kern w:val="0"/>
        </w:rPr>
        <mc:AlternateContent>
          <mc:Choice Requires="wps">
            <w:drawing>
              <wp:anchor distT="0" distB="0" distL="114300" distR="114300" simplePos="0" relativeHeight="251661312" behindDoc="0" locked="0" layoutInCell="1" allowOverlap="1" wp14:anchorId="709FBB64" wp14:editId="394553DE">
                <wp:simplePos x="0" y="0"/>
                <wp:positionH relativeFrom="column">
                  <wp:posOffset>171450</wp:posOffset>
                </wp:positionH>
                <wp:positionV relativeFrom="paragraph">
                  <wp:posOffset>191770</wp:posOffset>
                </wp:positionV>
                <wp:extent cx="6419850" cy="476250"/>
                <wp:effectExtent l="0" t="0" r="19050" b="19050"/>
                <wp:wrapNone/>
                <wp:docPr id="1161082662" name="Rectangle: Rounded Corners 8"/>
                <wp:cNvGraphicFramePr/>
                <a:graphic xmlns:a="http://schemas.openxmlformats.org/drawingml/2006/main">
                  <a:graphicData uri="http://schemas.microsoft.com/office/word/2010/wordprocessingShape">
                    <wps:wsp>
                      <wps:cNvSpPr/>
                      <wps:spPr>
                        <a:xfrm>
                          <a:off x="0" y="0"/>
                          <a:ext cx="6419850" cy="47625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397C76" w14:textId="45CB0F19" w:rsidR="00E419CA" w:rsidRPr="00E419CA" w:rsidRDefault="00E419CA" w:rsidP="006B5131">
                            <w:pPr>
                              <w:shd w:val="clear" w:color="auto" w:fill="FFFFFF" w:themeFill="background1"/>
                              <w:rPr>
                                <w:color w:val="002060"/>
                                <w:sz w:val="18"/>
                                <w:szCs w:val="18"/>
                              </w:rPr>
                            </w:pPr>
                            <w:r w:rsidRPr="00E419CA">
                              <w:rPr>
                                <w:color w:val="002060"/>
                                <w:sz w:val="18"/>
                                <w:szCs w:val="18"/>
                              </w:rPr>
                              <w:t>National AAIR = 5,997 cases ÷ (32,694,320 mean annual population × 10 years) × 100,000 = 1.83/100,000 population/year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9FBB64" id="Rectangle: Rounded Corners 8" o:spid="_x0000_s1029" style="position:absolute;left:0;text-align:left;margin-left:13.5pt;margin-top:15.1pt;width:505.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" fillcolor="white [3212]" strokecolor="white [3212]" strokeweight="1pt">
                <v:stroke joinstyle="miter"/>
                <v:textbox>
                  <w:txbxContent>
                    <w:p w14:paraId="19397C76" w14:textId="45CB0F19" w:rsidR="00E419CA" w:rsidRPr="00E419CA" w:rsidRDefault="00E419CA" w:rsidP="006B5131">
                      <w:pPr>
                        <w:shd w:val="clear" w:color="auto" w:fill="FFFFFF" w:themeFill="background1"/>
                        <w:rPr>
                          <w:color w:val="002060"/>
                          <w:sz w:val="18"/>
                          <w:szCs w:val="18"/>
                        </w:rPr>
                      </w:pPr>
                      <w:r w:rsidRPr="00E419CA">
                        <w:rPr>
                          <w:color w:val="002060"/>
                          <w:sz w:val="18"/>
                          <w:szCs w:val="18"/>
                        </w:rPr>
                        <w:t>National AAIR = 5,997 cases ÷ (32,694,320 mean annual population × 10 years) × 100,000 = 1.83/100,000 population/year</w:t>
                      </w:r>
                    </w:p>
                  </w:txbxContent>
                </v:textbox>
              </v:roundrect>
            </w:pict>
          </mc:Fallback>
        </mc:AlternateContent>
      </w:r>
      <w:r w:rsidR="00E47E57" w:rsidRPr="00E47E57">
        <w:rPr>
          <w:rFonts w:ascii="DejaVuSans" w:hAnsi="DejaVuSans" w:cs="DejaVuSans"/>
          <w:kern w:val="0"/>
          <w:sz w:val="22"/>
          <w:szCs w:val="22"/>
        </w:rPr>
        <w:t>Reported measles cases per 100,000 population per year</w:t>
      </w:r>
    </w:p>
    <w:p w14:paraId="650F8955" w14:textId="77777777" w:rsidR="006B5131" w:rsidRDefault="006B5131" w:rsidP="00DD72A3">
      <w:pPr>
        <w:spacing w:line="480" w:lineRule="auto"/>
        <w:jc w:val="both"/>
        <w:rPr>
          <w:rFonts w:asciiTheme="majorBidi" w:hAnsiTheme="majorBidi" w:cstheme="majorBidi"/>
          <w:b/>
          <w:bCs/>
        </w:rPr>
      </w:pPr>
    </w:p>
    <w:p w14:paraId="15CEF929" w14:textId="33AF3EF8" w:rsidR="004D1607" w:rsidRPr="00DD72A3" w:rsidRDefault="004D1607" w:rsidP="00DD72A3">
      <w:pPr>
        <w:spacing w:line="480" w:lineRule="auto"/>
        <w:jc w:val="both"/>
        <w:rPr>
          <w:rFonts w:asciiTheme="majorBidi" w:hAnsiTheme="majorBidi" w:cstheme="majorBidi"/>
          <w:b/>
          <w:bCs/>
        </w:rPr>
      </w:pPr>
      <w:r w:rsidRPr="00DD72A3">
        <w:rPr>
          <w:rFonts w:asciiTheme="majorBidi" w:hAnsiTheme="majorBidi" w:cstheme="majorBidi"/>
          <w:b/>
          <w:bCs/>
        </w:rPr>
        <w:t xml:space="preserve">Discussion </w:t>
      </w:r>
    </w:p>
    <w:p w14:paraId="4B906720" w14:textId="77777777" w:rsidR="005D59D0" w:rsidRDefault="004D1607" w:rsidP="00F44CE9">
      <w:pPr>
        <w:spacing w:line="480" w:lineRule="auto"/>
        <w:rPr>
          <w:rFonts w:asciiTheme="majorBidi" w:hAnsiTheme="majorBidi" w:cstheme="majorBidi"/>
          <w:rtl/>
        </w:rPr>
      </w:pPr>
      <w:r>
        <w:rPr>
          <w:rFonts w:asciiTheme="majorBidi" w:hAnsiTheme="majorBidi" w:cstheme="majorBidi"/>
        </w:rPr>
        <w:t>Th</w:t>
      </w:r>
      <w:r w:rsidR="0093037C">
        <w:rPr>
          <w:rFonts w:asciiTheme="majorBidi" w:hAnsiTheme="majorBidi" w:cstheme="majorBidi"/>
        </w:rPr>
        <w:t>e</w:t>
      </w:r>
      <w:r>
        <w:rPr>
          <w:rFonts w:asciiTheme="majorBidi" w:hAnsiTheme="majorBidi" w:cstheme="majorBidi"/>
        </w:rPr>
        <w:t xml:space="preserve"> year -to- year fluctuation in reported cases is consistent with nature of the measles epidemiology. In this the annual number of cases vary with level of accumulation of susceptible individuals. </w:t>
      </w:r>
      <w:r w:rsidR="0093037C">
        <w:rPr>
          <w:rFonts w:asciiTheme="majorBidi" w:hAnsiTheme="majorBidi" w:cstheme="majorBidi"/>
        </w:rPr>
        <w:t>Cases</w:t>
      </w:r>
      <w:r>
        <w:rPr>
          <w:rFonts w:asciiTheme="majorBidi" w:hAnsiTheme="majorBidi" w:cstheme="majorBidi"/>
        </w:rPr>
        <w:t xml:space="preserve"> accumulate when herd immunity declin</w:t>
      </w:r>
      <w:r w:rsidR="00F44CE9">
        <w:rPr>
          <w:rFonts w:asciiTheme="majorBidi" w:hAnsiTheme="majorBidi" w:cstheme="majorBidi"/>
        </w:rPr>
        <w:t>es</w:t>
      </w:r>
      <w:r>
        <w:rPr>
          <w:rFonts w:asciiTheme="majorBidi" w:hAnsiTheme="majorBidi" w:cstheme="majorBidi"/>
        </w:rPr>
        <w:t xml:space="preserve"> below 95%. </w:t>
      </w:r>
      <w:r w:rsidR="00F44CE9" w:rsidRPr="00F44CE9">
        <w:rPr>
          <w:rFonts w:asciiTheme="majorBidi" w:hAnsiTheme="majorBidi" w:cstheme="majorBidi"/>
        </w:rPr>
        <w:t xml:space="preserve">This pattern reflects the exceptionally high transmissibility of measles, with a conventionally estimated basic reproduction number (R₀) of 12–18, although considerable variation across epidemiological settings has been reported </w:t>
      </w:r>
      <w:r w:rsidR="00F44CE9" w:rsidRPr="00F44CE9">
        <w:rPr>
          <w:rFonts w:ascii="Times New Roman" w:hAnsi="Times New Roman" w:cs="Times New Roman"/>
          <w:kern w:val="0"/>
        </w:rPr>
        <w:t>(12–14)</w:t>
      </w:r>
      <w:r>
        <w:rPr>
          <w:rFonts w:asciiTheme="majorBidi" w:hAnsiTheme="majorBidi" w:cstheme="majorBidi"/>
        </w:rPr>
        <w:t xml:space="preserve">. The low reported cases during the period between 2014 to 2016 </w:t>
      </w:r>
      <w:r w:rsidR="00FF12DA" w:rsidRPr="00FF12DA">
        <w:rPr>
          <w:rFonts w:asciiTheme="majorBidi" w:hAnsiTheme="majorBidi" w:cstheme="majorBidi"/>
        </w:rPr>
        <w:t>suggest</w:t>
      </w:r>
      <w:r w:rsidR="00FF12DA">
        <w:rPr>
          <w:rFonts w:asciiTheme="majorBidi" w:hAnsiTheme="majorBidi" w:cstheme="majorBidi"/>
        </w:rPr>
        <w:t xml:space="preserve">s </w:t>
      </w:r>
      <w:r w:rsidR="00FF12DA" w:rsidRPr="00FF12DA">
        <w:rPr>
          <w:rFonts w:asciiTheme="majorBidi" w:hAnsiTheme="majorBidi" w:cstheme="majorBidi"/>
        </w:rPr>
        <w:t>limited transmission during these years</w:t>
      </w:r>
      <w:r w:rsidR="00FF12DA">
        <w:rPr>
          <w:rFonts w:asciiTheme="majorBidi" w:hAnsiTheme="majorBidi" w:cstheme="majorBidi"/>
        </w:rPr>
        <w:t xml:space="preserve"> and</w:t>
      </w:r>
      <w:r w:rsidR="00FF12DA" w:rsidRPr="00FF12DA">
        <w:rPr>
          <w:rFonts w:asciiTheme="majorBidi" w:hAnsiTheme="majorBidi" w:cstheme="majorBidi"/>
        </w:rPr>
        <w:t xml:space="preserve"> </w:t>
      </w:r>
      <w:r>
        <w:rPr>
          <w:rFonts w:asciiTheme="majorBidi" w:hAnsiTheme="majorBidi" w:cstheme="majorBidi"/>
        </w:rPr>
        <w:t>reflect the high vaccination coverage which reached 96%</w:t>
      </w:r>
      <w:r w:rsidR="00F44CE9">
        <w:rPr>
          <w:rFonts w:asciiTheme="majorBidi" w:hAnsiTheme="majorBidi" w:cstheme="majorBidi"/>
        </w:rPr>
        <w:fldChar w:fldCharType="begin"/>
      </w:r>
      <w:r w:rsidR="00F44CE9">
        <w:rPr>
          <w:rFonts w:asciiTheme="majorBidi" w:hAnsiTheme="majorBidi" w:cstheme="majorBidi"/>
        </w:rPr>
        <w:instrText xml:space="preserve"> ADDIN ZOTERO_ITEM CSL_CITATION {"citationID":"pjeUX5w4","properties":{"unsorted":false,"formattedCitation":"(10)","plainCitation":"(10)","noteIndex":0},"citationItems":[{"id":85,"uris":["http://zotero.org/users/17790777/items/9K3Z5PQE"],"itemData":{"id":85,"type":"webpage","title":"Statistical Yearbook - Statistical Yearbook","URL":"https://www.moh.gov.sa/en/Ministry/Statistics/book/Pages/default.aspx","accessed":{"date-parts":[["2025",10,9]]}}}],"schema":"https://github.com/citation-style-language/schema/raw/master/csl-citation.json"} </w:instrText>
      </w:r>
      <w:r w:rsidR="00F44CE9">
        <w:rPr>
          <w:rFonts w:asciiTheme="majorBidi" w:hAnsiTheme="majorBidi" w:cstheme="majorBidi"/>
        </w:rPr>
        <w:fldChar w:fldCharType="separate"/>
      </w:r>
      <w:r w:rsidR="00F44CE9" w:rsidRPr="00F44CE9">
        <w:rPr>
          <w:rFonts w:ascii="Times New Roman" w:hAnsi="Times New Roman" w:cs="Times New Roman"/>
        </w:rPr>
        <w:t>(10)</w:t>
      </w:r>
      <w:r w:rsidR="00F44CE9">
        <w:rPr>
          <w:rFonts w:asciiTheme="majorBidi" w:hAnsiTheme="majorBidi" w:cstheme="majorBidi"/>
        </w:rPr>
        <w:fldChar w:fldCharType="end"/>
      </w:r>
      <w:r>
        <w:rPr>
          <w:rFonts w:asciiTheme="majorBidi" w:hAnsiTheme="majorBidi" w:cstheme="majorBidi"/>
        </w:rPr>
        <w:t xml:space="preserve"> that resulted in maintaining high herd immunity and limited importation </w:t>
      </w:r>
      <w:r>
        <w:rPr>
          <w:rFonts w:asciiTheme="majorBidi" w:hAnsiTheme="majorBidi" w:cstheme="majorBidi"/>
        </w:rPr>
        <w:lastRenderedPageBreak/>
        <w:t xml:space="preserve">of cases or effective containment. This is inconsistent with post-elimination age where </w:t>
      </w:r>
      <w:r w:rsidR="00FF12DA">
        <w:rPr>
          <w:rFonts w:asciiTheme="majorBidi" w:hAnsiTheme="majorBidi" w:cstheme="majorBidi"/>
        </w:rPr>
        <w:t>measles</w:t>
      </w:r>
      <w:r>
        <w:rPr>
          <w:rFonts w:asciiTheme="majorBidi" w:hAnsiTheme="majorBidi" w:cstheme="majorBidi"/>
        </w:rPr>
        <w:t xml:space="preserve"> spread </w:t>
      </w:r>
      <w:r w:rsidR="00696020">
        <w:rPr>
          <w:rFonts w:asciiTheme="majorBidi" w:hAnsiTheme="majorBidi" w:cstheme="majorBidi"/>
        </w:rPr>
        <w:t>is</w:t>
      </w:r>
      <w:r>
        <w:rPr>
          <w:rFonts w:asciiTheme="majorBidi" w:hAnsiTheme="majorBidi" w:cstheme="majorBidi"/>
        </w:rPr>
        <w:t xml:space="preserve"> low level but not entirely interrupted. The resurgence of cases during the period between 2017-2019 may despite high vaccination coverage reflect imported cases likely due to i</w:t>
      </w:r>
      <w:r w:rsidRPr="00D61ED5">
        <w:rPr>
          <w:rFonts w:asciiTheme="majorBidi" w:hAnsiTheme="majorBidi" w:cstheme="majorBidi"/>
        </w:rPr>
        <w:t>nternational travel</w:t>
      </w:r>
      <w:r>
        <w:rPr>
          <w:rFonts w:asciiTheme="majorBidi" w:hAnsiTheme="majorBidi" w:cstheme="majorBidi"/>
        </w:rPr>
        <w:t>er reduction of herd immunity albite at low level. Accumulation of susceptible individuals could occur because of missed vaccination doses of vaccine hesitancy due to likely r</w:t>
      </w:r>
      <w:r w:rsidRPr="00D61ED5">
        <w:rPr>
          <w:rFonts w:asciiTheme="majorBidi" w:hAnsiTheme="majorBidi" w:cstheme="majorBidi"/>
        </w:rPr>
        <w:t>educed perception of measles severity</w:t>
      </w:r>
      <w:r>
        <w:rPr>
          <w:rFonts w:asciiTheme="majorBidi" w:hAnsiTheme="majorBidi" w:cstheme="majorBidi"/>
        </w:rPr>
        <w:t xml:space="preserve"> among public.</w:t>
      </w:r>
      <w:r w:rsidRPr="00D61ED5">
        <w:t xml:space="preserve"> </w:t>
      </w:r>
      <w:r w:rsidRPr="00D61ED5">
        <w:rPr>
          <w:rFonts w:asciiTheme="majorBidi" w:hAnsiTheme="majorBidi" w:cstheme="majorBidi"/>
        </w:rPr>
        <w:t xml:space="preserve">Suboptimal coverage of the second dose of measles-containing vaccine </w:t>
      </w:r>
      <w:r>
        <w:rPr>
          <w:rFonts w:asciiTheme="majorBidi" w:hAnsiTheme="majorBidi" w:cstheme="majorBidi"/>
        </w:rPr>
        <w:t xml:space="preserve">could also be the reason. Epidemiologically this could give rise to failure to sustain optimum level of herd immunity which may cause an explosives spread of the measles given the high </w:t>
      </w:r>
      <w:r w:rsidRPr="00C411A7">
        <w:rPr>
          <w:rFonts w:asciiTheme="majorBidi" w:hAnsiTheme="majorBidi" w:cstheme="majorBidi"/>
          <w:i/>
          <w:iCs/>
        </w:rPr>
        <w:t>R</w:t>
      </w:r>
      <w:r w:rsidRPr="00C411A7">
        <w:rPr>
          <w:rFonts w:asciiTheme="majorBidi" w:hAnsiTheme="majorBidi" w:cstheme="majorBidi"/>
          <w:i/>
          <w:iCs/>
          <w:vertAlign w:val="subscript"/>
        </w:rPr>
        <w:t>0</w:t>
      </w:r>
      <w:r>
        <w:rPr>
          <w:rFonts w:asciiTheme="majorBidi" w:hAnsiTheme="majorBidi" w:cstheme="majorBidi"/>
        </w:rPr>
        <w:t>. Most of the cases reported during years 2017 to 2019 were of the age group of below 1 year to over 5 years. This reflects low herd immunity among these age groups which could be caused by first and second doses suboptim</w:t>
      </w:r>
      <w:r w:rsidR="00C411A7">
        <w:rPr>
          <w:rFonts w:asciiTheme="majorBidi" w:hAnsiTheme="majorBidi" w:cstheme="majorBidi"/>
        </w:rPr>
        <w:t>al</w:t>
      </w:r>
      <w:r>
        <w:rPr>
          <w:rFonts w:asciiTheme="majorBidi" w:hAnsiTheme="majorBidi" w:cstheme="majorBidi"/>
        </w:rPr>
        <w:t xml:space="preserve"> coverage or delayed vaccination. </w:t>
      </w:r>
    </w:p>
    <w:p w14:paraId="0EDF4E51" w14:textId="58FA0E7D" w:rsidR="00825D13" w:rsidRDefault="00DF0C53" w:rsidP="00F44CE9">
      <w:pPr>
        <w:spacing w:line="480" w:lineRule="auto"/>
        <w:rPr>
          <w:rFonts w:asciiTheme="majorBidi" w:hAnsiTheme="majorBidi" w:cstheme="majorBidi"/>
          <w:color w:val="002060"/>
        </w:rPr>
      </w:pPr>
      <w:r w:rsidRPr="00E01BE5">
        <w:rPr>
          <w:rFonts w:asciiTheme="majorBidi" w:hAnsiTheme="majorBidi" w:cstheme="majorBidi"/>
          <w:color w:val="002060"/>
        </w:rPr>
        <w:t xml:space="preserve">Majority of cases were of the age below 1 year up to 15 years </w:t>
      </w:r>
      <w:r w:rsidR="00CF2D47">
        <w:rPr>
          <w:rFonts w:asciiTheme="majorBidi" w:hAnsiTheme="majorBidi" w:cstheme="majorBidi"/>
          <w:color w:val="002060"/>
        </w:rPr>
        <w:t>particularly</w:t>
      </w:r>
      <w:r w:rsidRPr="00E01BE5">
        <w:rPr>
          <w:rFonts w:asciiTheme="majorBidi" w:hAnsiTheme="majorBidi" w:cstheme="majorBidi"/>
          <w:color w:val="002060"/>
        </w:rPr>
        <w:t xml:space="preserve"> </w:t>
      </w:r>
      <w:r w:rsidR="00CF2D47">
        <w:rPr>
          <w:rFonts w:asciiTheme="majorBidi" w:hAnsiTheme="majorBidi" w:cstheme="majorBidi"/>
          <w:color w:val="002060"/>
        </w:rPr>
        <w:t>children</w:t>
      </w:r>
      <w:r w:rsidRPr="00E01BE5">
        <w:rPr>
          <w:rFonts w:asciiTheme="majorBidi" w:hAnsiTheme="majorBidi" w:cstheme="majorBidi"/>
          <w:color w:val="002060"/>
        </w:rPr>
        <w:t xml:space="preserve"> </w:t>
      </w:r>
      <w:r w:rsidR="009135C7" w:rsidRPr="00E01BE5">
        <w:rPr>
          <w:rFonts w:asciiTheme="majorBidi" w:hAnsiTheme="majorBidi" w:cstheme="majorBidi"/>
          <w:color w:val="002060"/>
        </w:rPr>
        <w:t>under</w:t>
      </w:r>
      <w:r w:rsidRPr="00E01BE5">
        <w:rPr>
          <w:rFonts w:asciiTheme="majorBidi" w:hAnsiTheme="majorBidi" w:cstheme="majorBidi"/>
          <w:color w:val="002060"/>
        </w:rPr>
        <w:t xml:space="preserve"> </w:t>
      </w:r>
      <w:r w:rsidR="00CF2D47">
        <w:rPr>
          <w:rFonts w:asciiTheme="majorBidi" w:hAnsiTheme="majorBidi" w:cstheme="majorBidi"/>
          <w:color w:val="002060"/>
        </w:rPr>
        <w:t>five years of age</w:t>
      </w:r>
      <w:r w:rsidRPr="00E01BE5">
        <w:rPr>
          <w:rFonts w:asciiTheme="majorBidi" w:hAnsiTheme="majorBidi" w:cstheme="majorBidi"/>
          <w:color w:val="002060"/>
        </w:rPr>
        <w:t xml:space="preserve">. This </w:t>
      </w:r>
      <w:r w:rsidR="00975265" w:rsidRPr="00E01BE5">
        <w:rPr>
          <w:rFonts w:asciiTheme="majorBidi" w:hAnsiTheme="majorBidi" w:cstheme="majorBidi"/>
          <w:color w:val="002060"/>
        </w:rPr>
        <w:t xml:space="preserve">is </w:t>
      </w:r>
      <w:r w:rsidRPr="00E01BE5">
        <w:rPr>
          <w:rFonts w:asciiTheme="majorBidi" w:hAnsiTheme="majorBidi" w:cstheme="majorBidi"/>
          <w:color w:val="002060"/>
        </w:rPr>
        <w:t xml:space="preserve">consistent with the global </w:t>
      </w:r>
      <w:r w:rsidR="00501A8A">
        <w:rPr>
          <w:rFonts w:asciiTheme="majorBidi" w:hAnsiTheme="majorBidi" w:cstheme="majorBidi"/>
          <w:color w:val="002060"/>
        </w:rPr>
        <w:t>finding</w:t>
      </w:r>
      <w:r w:rsidRPr="00E01BE5">
        <w:rPr>
          <w:rFonts w:asciiTheme="majorBidi" w:hAnsiTheme="majorBidi" w:cstheme="majorBidi"/>
          <w:color w:val="002060"/>
        </w:rPr>
        <w:t xml:space="preserve"> </w:t>
      </w:r>
      <w:r w:rsidR="00501A8A">
        <w:rPr>
          <w:rFonts w:asciiTheme="majorBidi" w:hAnsiTheme="majorBidi" w:cstheme="majorBidi"/>
          <w:color w:val="002060"/>
        </w:rPr>
        <w:t>indic</w:t>
      </w:r>
      <w:r w:rsidRPr="00E01BE5">
        <w:rPr>
          <w:rFonts w:asciiTheme="majorBidi" w:hAnsiTheme="majorBidi" w:cstheme="majorBidi"/>
          <w:color w:val="002060"/>
        </w:rPr>
        <w:t xml:space="preserve">ating </w:t>
      </w:r>
      <w:r w:rsidR="00501A8A">
        <w:rPr>
          <w:rFonts w:asciiTheme="majorBidi" w:hAnsiTheme="majorBidi" w:cstheme="majorBidi"/>
          <w:color w:val="002060"/>
        </w:rPr>
        <w:t>substantial</w:t>
      </w:r>
      <w:r w:rsidRPr="00E01BE5">
        <w:rPr>
          <w:rFonts w:asciiTheme="majorBidi" w:hAnsiTheme="majorBidi" w:cstheme="majorBidi"/>
          <w:color w:val="002060"/>
        </w:rPr>
        <w:t xml:space="preserve"> </w:t>
      </w:r>
      <w:r w:rsidR="00501A8A">
        <w:rPr>
          <w:rFonts w:asciiTheme="majorBidi" w:hAnsiTheme="majorBidi" w:cstheme="majorBidi"/>
          <w:color w:val="002060"/>
        </w:rPr>
        <w:t>measles</w:t>
      </w:r>
      <w:r w:rsidRPr="00E01BE5">
        <w:rPr>
          <w:rFonts w:asciiTheme="majorBidi" w:hAnsiTheme="majorBidi" w:cstheme="majorBidi"/>
          <w:color w:val="002060"/>
        </w:rPr>
        <w:t xml:space="preserve"> burden </w:t>
      </w:r>
      <w:r w:rsidR="00501A8A">
        <w:rPr>
          <w:rFonts w:asciiTheme="majorBidi" w:hAnsiTheme="majorBidi" w:cstheme="majorBidi"/>
          <w:color w:val="002060"/>
        </w:rPr>
        <w:t>in young children</w:t>
      </w:r>
      <w:r w:rsidRPr="00E01BE5">
        <w:rPr>
          <w:rFonts w:asciiTheme="majorBidi" w:hAnsiTheme="majorBidi" w:cstheme="majorBidi"/>
          <w:color w:val="002060"/>
        </w:rPr>
        <w:fldChar w:fldCharType="begin"/>
      </w:r>
      <w:r w:rsidR="00F44CE9" w:rsidRPr="00E01BE5">
        <w:rPr>
          <w:rFonts w:asciiTheme="majorBidi" w:hAnsiTheme="majorBidi" w:cstheme="majorBidi"/>
          <w:color w:val="002060"/>
        </w:rPr>
        <w:instrText xml:space="preserve"> ADDIN ZOTERO_ITEM CSL_CITATION {"citationID":"85zxxeBg","properties":{"formattedCitation":"(12\\uc0\\u8211{}15)","plainCitation":"(12–15)","noteIndex":0},"citationItems":[{"id":2,"uris":["http://zotero.org/users/17790777/items/2W9JM4CU"],"itemData":{"id":2,"type":"article-journal","abstract":"Background:\nMeasles is a major cause of childhood morbidity and mortality, accounting for nearly half of the morbidity associated with global vaccine preventable diseases. Regular outbreaks of Measles are reported in India, of which only a few are investigated. This study was conducted in the Shivpuri District of Madhya Pradesh (India) to investigate and asses various epidemiological factors associated with measles outbreak.\n\nMaterials and Methods:\nA cross-sectional study was carried out in 30 randomly selected sub-centers in 8 blocks of the Shivpuri District of Madhya Pradesh, covering 212 villages, selected by cluster sampling. The villages, which had reported measles cases, were extensively investigated by the field teams through extensive house-to-house surveys during 12-19 May 2004.\n\nResults:\nA total of 1204 cases with 14 deaths were reported with an attack rate of 6.2% and a case fatality rate of 1.2%. In this study, 17.7% of the cases reported post-measles complications with diarrhea as the most common post measles complication. The routine measles vaccine and Vitamin A supplementation in the area was also less than 30%.\n\nConclusions:\nThe majority of the cases had occurred in the unvaccinated children and in under 5 year old population. There are repeated outbreaks and a long delay in reporting of the cases. The occurrence of cases, in a reasonable proportion of the vaccinated population, points toward the fact that there is a possibility of a vaccine failure in older children. This study calls for an improved surveillance system, an improvement in the cold chain, and enhancements for measles vaccination if India is to achieve the goal of measles elimination.","container-title":"Indian Journal of Community Medicine : Official Publication of Indian Association of Preventive &amp; Social Medicine","DOI":"10.4103/0970-0218.51234","ISSN":"0970-0218","issue":"2","journalAbbreviation":"Indian J Community Med","page":"117-121","PMID":"19966957","PMCID":"PMC2781117","source":"PubMed Central","title":"Practical Observations from an Epidemiological Investigation of a Measles Outbreak in a District of India","volume":"34","author":[{"family":"Mishra","given":"Ashok"},{"family":"Mishra","given":"Subodh"},{"family":"Lahariya","given":"Chandrakant"},{"family":"Jain","given":"Pankaj"},{"family":"Bhadoriya","given":"Rahul S"},{"family":"Shrivastav","given":"Dhiraj"},{"family":"Marathe","given":"Neera"}],"issued":{"date-parts":[["2009",4]]}}},{"id":4,"uris":["http://zotero.org/users/17790777/items/72A7444U"],"itemData":{"id":4,"type":"webpage","abstract":"Washington, D.C., 3 July 2025 (PAHO) – A total of 7,132 confirmed cases of measles and 13 deaths have been reported in the Region of the Americas as of mid-June 2025, according to the latest epidemiological update from the Pan American Health Organization (PAHO). This represents a 29-fold increase compared to the 244 cases reported during the same period in 2024.","language":"en","title":"Measles cases rise in the Americas in 2025 - PAHO/WHO | Pan American Health Organization","URL":"https://www.paho.org/en/news/3-7-2025-measles-cases-rise-americas-2025","accessed":{"date-parts":[["2026",3,21]]},"issued":{"date-parts":[["2025",7,3]]}}},{"id":1,"uris":["http://zotero.org/users/17790777/items/UBQTZP8K"],"itemData":{"id":1,"type":"webpage","abstract":"WHO fact sheet on measles providing key facts and information on signs and symptoms, who is at risk, transmission, treatment, prevention and WHO's work on in this area.","language":"en","title":"Measles","URL":"https://www.who.int/news-room/fact-sheets/detail/measles","accessed":{"date-parts":[["2026",3,21]]}}},{"id":3,"uris":["http://zotero.org/users/17790777/items/TEVDJXBM"],"itemData":{"id":3,"type":"article-journal","abstract":"Background\nMeasles is a highly contagious disease that has caused global morbidity and mortality. Though great progress has been made in measles elimination, the resurgence of measles has been observed in recent years. As extant literature were mainly confined to data of local area, we conducted a systematic analysis to explore the trends of the incidence of measles, coverage rate, and the risk factors from 1990 to 2019 on global, regional, and national levels.\n\nMethods\nData on cases of incidence, age standardized rate (ASR), vaccine coverage, and risk factors of measles were retrieved from the Global Burden of Disease (GBD) Study 2019 database. Estimated averaged percentage change (EAPC) of ASR was calculated to quantify the trends of measles incidence. Pearson correlation was applied to assess the association of EAPC and measles-containing vaccine coverage rate with socio-demographic index (SDI) in 2019, and the correlation between ASR and measles-containing vaccine coverage rate.\n\nResults\nGlobally, there was a significant decrease in the number (84.18%) and ASR (6.13%, 95% CI: 5.41–6.84%) of measles incidence from 1990 to 2019. More than 80% of incidence cases were attributed to children under 5 and the proportion was highest in low SDI region. Countries and territories with low ASRs are mostly clustered in North America, Southern Latin America, and Western Europe, whereas those with high ASRs are mainly clustered in Africa, East Asia, and South Asia. Lower SDI was associated with higher ASR and lower vaccine coverage rate. The more the SDI value was further away from 0.6, the smaller the absolute value did EAPC have. Child wasting accounted for the most measles-related death cases, followed by child underweight, child stunting, and vitamin A deficiency.\n\nConclusions\nMeasles eradication is feasible, but urgently demands political commitment, financial support, and public engagement. In the context of COVID-19 pandemic and the global resurgence of measles, surveillance systems and routine immunization programs should be improved, while vaccine hesitancy needs to be addressed.","container-title":"Frontiers in Medicine","DOI":"10.3389/fmed.2021.798031","ISSN":"2296-858X","journalAbbreviation":"Front Med (Lausanne)","page":"798031","PMID":"35127753","PMCID":"PMC8810814","source":"PubMed Central","title":"Trends of the Global, Regional, and National Incidence of Measles, Vaccine Coverage, and Risk Factors in 204 Countries From 1990 to 2019","volume":"8","author":[{"family":"Wang","given":"Ruitong"},{"family":"Jing","given":"Wenzhan"},{"family":"Liu","given":"Min"},{"family":"Liu","given":"Jue"}],"issued":{"date-parts":[["2022",1,20]]}}}],"schema":"https://github.com/citation-style-language/schema/raw/master/csl-citation.json"} </w:instrText>
      </w:r>
      <w:r w:rsidRPr="00E01BE5">
        <w:rPr>
          <w:rFonts w:asciiTheme="majorBidi" w:hAnsiTheme="majorBidi" w:cstheme="majorBidi"/>
          <w:color w:val="002060"/>
        </w:rPr>
        <w:fldChar w:fldCharType="separate"/>
      </w:r>
      <w:r w:rsidR="00F44CE9" w:rsidRPr="00E01BE5">
        <w:rPr>
          <w:rFonts w:ascii="Times New Roman" w:hAnsi="Times New Roman" w:cs="Times New Roman"/>
          <w:kern w:val="0"/>
        </w:rPr>
        <w:t>(12–15)</w:t>
      </w:r>
      <w:r w:rsidRPr="00E01BE5">
        <w:rPr>
          <w:rFonts w:asciiTheme="majorBidi" w:hAnsiTheme="majorBidi" w:cstheme="majorBidi"/>
          <w:color w:val="002060"/>
        </w:rPr>
        <w:fldChar w:fldCharType="end"/>
      </w:r>
      <w:r w:rsidR="00975265" w:rsidRPr="00E01BE5">
        <w:rPr>
          <w:rFonts w:asciiTheme="majorBidi" w:hAnsiTheme="majorBidi" w:cstheme="majorBidi"/>
          <w:color w:val="002060"/>
        </w:rPr>
        <w:t xml:space="preserve">.This  pattern is epidemiologically expected and reflects </w:t>
      </w:r>
      <w:r w:rsidR="009135C7">
        <w:rPr>
          <w:rFonts w:asciiTheme="majorBidi" w:hAnsiTheme="majorBidi" w:cstheme="majorBidi"/>
          <w:color w:val="002060"/>
        </w:rPr>
        <w:t xml:space="preserve">both </w:t>
      </w:r>
      <w:r w:rsidR="00975265" w:rsidRPr="00E01BE5">
        <w:rPr>
          <w:rFonts w:asciiTheme="majorBidi" w:hAnsiTheme="majorBidi" w:cstheme="majorBidi"/>
          <w:color w:val="002060"/>
        </w:rPr>
        <w:t>early-life susceptibility prior to full vaccination and high transmission in preschool and school-age children.</w:t>
      </w:r>
      <w:r w:rsidR="00D27A40" w:rsidRPr="00E01BE5">
        <w:rPr>
          <w:rFonts w:asciiTheme="majorBidi" w:hAnsiTheme="majorBidi" w:cstheme="majorBidi"/>
          <w:color w:val="002060"/>
        </w:rPr>
        <w:t xml:space="preserve"> The lower </w:t>
      </w:r>
      <w:r w:rsidR="00C411A7" w:rsidRPr="00E01BE5">
        <w:rPr>
          <w:rFonts w:asciiTheme="majorBidi" w:hAnsiTheme="majorBidi" w:cstheme="majorBidi"/>
          <w:color w:val="002060"/>
        </w:rPr>
        <w:t>number of cases</w:t>
      </w:r>
      <w:r w:rsidR="00D27A40" w:rsidRPr="00E01BE5">
        <w:rPr>
          <w:rFonts w:asciiTheme="majorBidi" w:hAnsiTheme="majorBidi" w:cstheme="majorBidi"/>
          <w:color w:val="002060"/>
        </w:rPr>
        <w:t xml:space="preserve"> among adults is attributable to </w:t>
      </w:r>
      <w:r w:rsidR="00975265" w:rsidRPr="00E01BE5">
        <w:rPr>
          <w:rFonts w:asciiTheme="majorBidi" w:hAnsiTheme="majorBidi" w:cstheme="majorBidi"/>
          <w:color w:val="002060"/>
        </w:rPr>
        <w:t xml:space="preserve">immunity </w:t>
      </w:r>
      <w:r w:rsidR="00D27A40" w:rsidRPr="00E01BE5">
        <w:rPr>
          <w:rFonts w:asciiTheme="majorBidi" w:hAnsiTheme="majorBidi" w:cstheme="majorBidi"/>
          <w:color w:val="002060"/>
        </w:rPr>
        <w:t xml:space="preserve">due to </w:t>
      </w:r>
      <w:r w:rsidR="00975265" w:rsidRPr="00E01BE5">
        <w:rPr>
          <w:rFonts w:asciiTheme="majorBidi" w:hAnsiTheme="majorBidi" w:cstheme="majorBidi"/>
          <w:color w:val="002060"/>
        </w:rPr>
        <w:t>vaccination or prior infection</w:t>
      </w:r>
      <w:r w:rsidR="00D27A40" w:rsidRPr="00E01BE5">
        <w:rPr>
          <w:rFonts w:asciiTheme="majorBidi" w:hAnsiTheme="majorBidi" w:cstheme="majorBidi"/>
          <w:color w:val="002060"/>
        </w:rPr>
        <w:t>.</w:t>
      </w:r>
      <w:r w:rsidR="00D27A40">
        <w:rPr>
          <w:rFonts w:asciiTheme="majorBidi" w:hAnsiTheme="majorBidi" w:cstheme="majorBidi"/>
          <w:color w:val="002060"/>
        </w:rPr>
        <w:t xml:space="preserve"> </w:t>
      </w:r>
    </w:p>
    <w:p w14:paraId="52A83A37" w14:textId="533D7739" w:rsidR="000947AE" w:rsidRDefault="001E7196" w:rsidP="00F44CE9">
      <w:pPr>
        <w:spacing w:line="480" w:lineRule="auto"/>
        <w:rPr>
          <w:rFonts w:asciiTheme="majorBidi" w:hAnsiTheme="majorBidi" w:cstheme="majorBidi"/>
          <w:color w:val="0070C0"/>
        </w:rPr>
      </w:pPr>
      <w:r>
        <w:rPr>
          <w:rFonts w:asciiTheme="majorBidi" w:hAnsiTheme="majorBidi" w:cstheme="majorBidi"/>
          <w:color w:val="002060"/>
        </w:rPr>
        <w:t xml:space="preserve">Infants aged below one </w:t>
      </w:r>
      <w:r w:rsidR="008C63A5">
        <w:rPr>
          <w:rFonts w:asciiTheme="majorBidi" w:hAnsiTheme="majorBidi" w:cstheme="majorBidi"/>
          <w:color w:val="002060"/>
        </w:rPr>
        <w:t xml:space="preserve">year </w:t>
      </w:r>
      <w:r>
        <w:rPr>
          <w:rFonts w:asciiTheme="majorBidi" w:hAnsiTheme="majorBidi" w:cstheme="majorBidi"/>
          <w:color w:val="002060"/>
        </w:rPr>
        <w:t>showed the highest AAIR</w:t>
      </w:r>
      <w:r w:rsidR="008C63A5">
        <w:rPr>
          <w:rFonts w:asciiTheme="majorBidi" w:hAnsiTheme="majorBidi" w:cstheme="majorBidi"/>
          <w:color w:val="002060"/>
        </w:rPr>
        <w:t xml:space="preserve"> suggest</w:t>
      </w:r>
      <w:r>
        <w:rPr>
          <w:rFonts w:asciiTheme="majorBidi" w:hAnsiTheme="majorBidi" w:cstheme="majorBidi"/>
          <w:color w:val="002060"/>
        </w:rPr>
        <w:t>ing</w:t>
      </w:r>
      <w:r w:rsidR="008C63A5">
        <w:rPr>
          <w:rFonts w:asciiTheme="majorBidi" w:hAnsiTheme="majorBidi" w:cstheme="majorBidi"/>
          <w:color w:val="002060"/>
        </w:rPr>
        <w:t xml:space="preserve"> </w:t>
      </w:r>
      <w:r w:rsidR="00D21B22">
        <w:rPr>
          <w:rFonts w:asciiTheme="majorBidi" w:hAnsiTheme="majorBidi" w:cstheme="majorBidi"/>
          <w:color w:val="002060"/>
        </w:rPr>
        <w:t>high</w:t>
      </w:r>
      <w:r w:rsidR="008C63A5" w:rsidRPr="008C63A5">
        <w:rPr>
          <w:rFonts w:asciiTheme="majorBidi" w:hAnsiTheme="majorBidi" w:cstheme="majorBidi"/>
          <w:color w:val="002060"/>
        </w:rPr>
        <w:t xml:space="preserve"> </w:t>
      </w:r>
      <w:r w:rsidR="00D21B22" w:rsidRPr="008C63A5">
        <w:rPr>
          <w:rFonts w:asciiTheme="majorBidi" w:hAnsiTheme="majorBidi" w:cstheme="majorBidi"/>
          <w:color w:val="002060"/>
        </w:rPr>
        <w:t>susceptibi</w:t>
      </w:r>
      <w:r w:rsidR="00D21B22">
        <w:rPr>
          <w:rFonts w:asciiTheme="majorBidi" w:hAnsiTheme="majorBidi" w:cstheme="majorBidi"/>
          <w:color w:val="002060"/>
        </w:rPr>
        <w:t>lity</w:t>
      </w:r>
      <w:r w:rsidR="008C63A5" w:rsidRPr="008C63A5">
        <w:rPr>
          <w:rFonts w:asciiTheme="majorBidi" w:hAnsiTheme="majorBidi" w:cstheme="majorBidi"/>
          <w:color w:val="002060"/>
        </w:rPr>
        <w:t xml:space="preserve"> </w:t>
      </w:r>
      <w:r>
        <w:rPr>
          <w:rFonts w:asciiTheme="majorBidi" w:hAnsiTheme="majorBidi" w:cstheme="majorBidi"/>
          <w:color w:val="002060"/>
        </w:rPr>
        <w:t>to measles due</w:t>
      </w:r>
      <w:r w:rsidR="00D21B22">
        <w:rPr>
          <w:rFonts w:asciiTheme="majorBidi" w:hAnsiTheme="majorBidi" w:cstheme="majorBidi"/>
          <w:color w:val="002060"/>
        </w:rPr>
        <w:t xml:space="preserve"> to</w:t>
      </w:r>
      <w:r w:rsidR="008C63A5" w:rsidRPr="008C63A5">
        <w:rPr>
          <w:rFonts w:asciiTheme="majorBidi" w:hAnsiTheme="majorBidi" w:cstheme="majorBidi"/>
          <w:color w:val="002060"/>
        </w:rPr>
        <w:t xml:space="preserve"> </w:t>
      </w:r>
      <w:r w:rsidR="00D21B22">
        <w:rPr>
          <w:rFonts w:asciiTheme="majorBidi" w:hAnsiTheme="majorBidi" w:cstheme="majorBidi"/>
          <w:color w:val="002060"/>
        </w:rPr>
        <w:t xml:space="preserve">waning </w:t>
      </w:r>
      <w:r w:rsidR="008C63A5" w:rsidRPr="008C63A5">
        <w:rPr>
          <w:rFonts w:asciiTheme="majorBidi" w:hAnsiTheme="majorBidi" w:cstheme="majorBidi"/>
          <w:color w:val="002060"/>
        </w:rPr>
        <w:t xml:space="preserve">maternal antibody </w:t>
      </w:r>
      <w:r w:rsidR="00D21B22">
        <w:rPr>
          <w:rFonts w:asciiTheme="majorBidi" w:hAnsiTheme="majorBidi" w:cstheme="majorBidi"/>
          <w:color w:val="002060"/>
        </w:rPr>
        <w:t>levels</w:t>
      </w:r>
      <w:r>
        <w:rPr>
          <w:rFonts w:asciiTheme="majorBidi" w:hAnsiTheme="majorBidi" w:cstheme="majorBidi"/>
          <w:color w:val="002060"/>
        </w:rPr>
        <w:t xml:space="preserve"> before an adequate vaccination</w:t>
      </w:r>
      <w:r w:rsidR="009135C7">
        <w:rPr>
          <w:rFonts w:asciiTheme="majorBidi" w:hAnsiTheme="majorBidi" w:cstheme="majorBidi"/>
          <w:color w:val="002060"/>
        </w:rPr>
        <w:t>-</w:t>
      </w:r>
      <w:r>
        <w:rPr>
          <w:rFonts w:asciiTheme="majorBidi" w:hAnsiTheme="majorBidi" w:cstheme="majorBidi"/>
          <w:color w:val="002060"/>
        </w:rPr>
        <w:t xml:space="preserve"> induced protection. </w:t>
      </w:r>
      <w:r w:rsidR="00AD2816">
        <w:rPr>
          <w:rFonts w:asciiTheme="majorBidi" w:hAnsiTheme="majorBidi" w:cstheme="majorBidi"/>
          <w:color w:val="002060"/>
        </w:rPr>
        <w:t xml:space="preserve">Previous studies have reported </w:t>
      </w:r>
      <w:r w:rsidR="00F525CE">
        <w:rPr>
          <w:rFonts w:asciiTheme="majorBidi" w:hAnsiTheme="majorBidi" w:cstheme="majorBidi"/>
          <w:color w:val="002060"/>
        </w:rPr>
        <w:t xml:space="preserve"> </w:t>
      </w:r>
      <w:r w:rsidR="00492923" w:rsidRPr="004E32CB">
        <w:rPr>
          <w:rFonts w:asciiTheme="majorBidi" w:hAnsiTheme="majorBidi" w:cstheme="majorBidi"/>
          <w:color w:val="0070C0"/>
        </w:rPr>
        <w:t xml:space="preserve">age-specific </w:t>
      </w:r>
      <w:r w:rsidR="00191D1D">
        <w:rPr>
          <w:rFonts w:asciiTheme="majorBidi" w:hAnsiTheme="majorBidi" w:cstheme="majorBidi"/>
          <w:color w:val="0070C0"/>
        </w:rPr>
        <w:t xml:space="preserve">AAIR of </w:t>
      </w:r>
      <w:r w:rsidR="00492923" w:rsidRPr="004E32CB">
        <w:rPr>
          <w:rFonts w:asciiTheme="majorBidi" w:hAnsiTheme="majorBidi" w:cstheme="majorBidi"/>
          <w:color w:val="0070C0"/>
        </w:rPr>
        <w:t>6.7</w:t>
      </w:r>
      <w:r w:rsidR="002074D7" w:rsidRPr="004E32CB">
        <w:rPr>
          <w:rFonts w:asciiTheme="majorBidi" w:hAnsiTheme="majorBidi" w:cstheme="majorBidi"/>
          <w:color w:val="0070C0"/>
        </w:rPr>
        <w:t xml:space="preserve"> and 35.8 </w:t>
      </w:r>
      <w:r w:rsidR="002074D7" w:rsidRPr="004E32CB">
        <w:rPr>
          <w:rFonts w:asciiTheme="majorBidi" w:hAnsiTheme="majorBidi" w:cstheme="majorBidi"/>
          <w:color w:val="0070C0"/>
        </w:rPr>
        <w:fldChar w:fldCharType="begin"/>
      </w:r>
      <w:r w:rsidR="00F44CE9" w:rsidRPr="004E32CB">
        <w:rPr>
          <w:rFonts w:asciiTheme="majorBidi" w:hAnsiTheme="majorBidi" w:cstheme="majorBidi"/>
          <w:color w:val="0070C0"/>
        </w:rPr>
        <w:instrText xml:space="preserve"> ADDIN ZOTERO_ITEM CSL_CITATION {"citationID":"VvbalM8w","properties":{"unsorted":false,"formattedCitation":"(16,17)","plainCitation":"(16,17)","noteIndex":0},"citationItems":[{"id":631,"uris":["http://zotero.org/users/17790777/items/8CJLY8B5"],"itemData":{"id":631,"type":"article-journal","abstract":"Background\nMeasles outbreaks create a significant burden for healthcare facilities. We describe the impact of a large outbreak between October 2023 and June 2024 on Birmingham Children's Hospital Emergency Department (ED) in terms of cases and contact-tracing workload.\nAim\nTo describe the impact of the outbreak in terms of case demographics, ED attendances, hospital admissions and post-exposure preventative measures.\nMethods\nConfirmed cases were defined as individuals presenting to hospital and with laboratory confirmation (measles PCR positive). Epidemiological, clinical and laboratory data from public health case management systems and hospital records were analysed.\nFindings\nA total of 366 patients attending ED were tested for measles. Of 161 confirmed cases, 40 (25%) were aged &lt;1 year. Of 122 cases eligible for vaccination, 105 (86%) had no MMR vaccination. 32% (52/162) of confirmed cases attended ED more than once in the 21 days before being tested. Forty-six cases (29%) were admitted to hospital. Contacts were identified for 95 confirmed cases and 2397 exposure letters were sent. Thirteen confirmed cases had a symptom onset seven to 21 days after receiving an exposure letter.\nConclusion\nThe outbreak led to significant pressure on the children's hospital ED in terms of case burden and contact tracing, with the potential for nosocomial spread. Future outbreak response should focus on prompt implementation of infection prevention and control measures; clear and timely messaging around symptoms for both families and clinicians; streamlined notifications; accelerated development of measles point-of-care testing; access to pop-up vaccination in the community; and better integrated working between public health teams and frontline clinicians.","container-title":"Journal of Hospital Infection","DOI":"10.1016/j.jhin.2025.07.020","ISSN":"0195-6701","journalAbbreviation":"Journal of Hospital Infection","page":"41-47","source":"ScienceDirect","title":"Impact of a measles outbreak on a UK children's emergency department and the public health response: a retrospective observational study","title-short":"Impact of a measles outbreak on a UK children's emergency department and the public health response","volume":"165","author":[{"family":"Harris","given":"C."},{"family":"Bird","given":"C."},{"family":"Saavedra-Campos","given":"M."},{"family":"Chatt","given":"C."},{"family":"Booth","given":"E."},{"family":"Proto","given":"W."},{"family":"Patel","given":"M."}],"issued":{"date-parts":[["2025",11,1]]}}},{"id":629,"uris":["http://zotero.org/users/17790777/items/BZWWZADM"],"itemData":{"id":629,"type":"webpage","container-title":"GOV.UK","language":"en","title":"Confirmed cases of measles in England by month, age, region and upper tier local authority: 2026","title-short":"Confirmed cases of measles in England by month, age, region and upper tier local authority","URL":"https://www.gov.uk/government/publications/measles-epidemiology-2023/confirmed-cases-of-measles-in-england-by-month-age-region-and-upper-tier-local-authority-2026","accessed":{"date-parts":[["2026",3,24]]}}}],"schema":"https://github.com/citation-style-language/schema/raw/master/csl-citation.json"} </w:instrText>
      </w:r>
      <w:r w:rsidR="002074D7" w:rsidRPr="004E32CB">
        <w:rPr>
          <w:rFonts w:asciiTheme="majorBidi" w:hAnsiTheme="majorBidi" w:cstheme="majorBidi"/>
          <w:color w:val="0070C0"/>
        </w:rPr>
        <w:fldChar w:fldCharType="separate"/>
      </w:r>
      <w:r w:rsidR="00F44CE9" w:rsidRPr="004E32CB">
        <w:rPr>
          <w:rFonts w:ascii="Aptos" w:hAnsi="Aptos"/>
          <w:color w:val="0070C0"/>
        </w:rPr>
        <w:t>(16,17)</w:t>
      </w:r>
      <w:r w:rsidR="002074D7" w:rsidRPr="004E32CB">
        <w:rPr>
          <w:rFonts w:asciiTheme="majorBidi" w:hAnsiTheme="majorBidi" w:cstheme="majorBidi"/>
          <w:color w:val="0070C0"/>
        </w:rPr>
        <w:fldChar w:fldCharType="end"/>
      </w:r>
      <w:r w:rsidR="00492923" w:rsidRPr="004E32CB">
        <w:rPr>
          <w:rFonts w:asciiTheme="majorBidi" w:hAnsiTheme="majorBidi" w:cstheme="majorBidi"/>
          <w:color w:val="0070C0"/>
        </w:rPr>
        <w:t xml:space="preserve"> cases per 100,000 infants</w:t>
      </w:r>
      <w:r w:rsidR="00F525CE" w:rsidRPr="004E32CB">
        <w:rPr>
          <w:rFonts w:asciiTheme="majorBidi" w:hAnsiTheme="majorBidi" w:cstheme="majorBidi"/>
          <w:color w:val="0070C0"/>
        </w:rPr>
        <w:t xml:space="preserve"> </w:t>
      </w:r>
      <w:r w:rsidR="00475E3B" w:rsidRPr="00475E3B">
        <w:rPr>
          <w:rFonts w:asciiTheme="majorBidi" w:hAnsiTheme="majorBidi" w:cstheme="majorBidi"/>
          <w:color w:val="0070C0"/>
        </w:rPr>
        <w:t>although differences in study periods, outbreak intensity, and surveillance practices should be considered when interpreting these comparisons.</w:t>
      </w:r>
      <w:r w:rsidR="00191D1D">
        <w:rPr>
          <w:rFonts w:asciiTheme="majorBidi" w:hAnsiTheme="majorBidi" w:cstheme="majorBidi"/>
          <w:color w:val="0070C0"/>
        </w:rPr>
        <w:t xml:space="preserve"> </w:t>
      </w:r>
      <w:r w:rsidR="000947AE" w:rsidRPr="000947AE">
        <w:rPr>
          <w:rFonts w:asciiTheme="majorBidi" w:hAnsiTheme="majorBidi" w:cstheme="majorBidi"/>
          <w:color w:val="0070C0"/>
        </w:rPr>
        <w:t xml:space="preserve">In comparison, the incidence observed in the present study (up to ~74 per 100,000) indicates a relatively higher transmission </w:t>
      </w:r>
      <w:r w:rsidR="000947AE" w:rsidRPr="000947AE">
        <w:rPr>
          <w:rFonts w:asciiTheme="majorBidi" w:hAnsiTheme="majorBidi" w:cstheme="majorBidi"/>
          <w:color w:val="0070C0"/>
        </w:rPr>
        <w:lastRenderedPageBreak/>
        <w:t>intensity specially as this rate recorded at the year of 2023 which followed the COVID-19 closedown during which susceptible cases have accumulated  as a result of social distancing lowering the intensity of transmission and therefore the maximizing the susceptibility.</w:t>
      </w:r>
    </w:p>
    <w:p w14:paraId="7177D6D9" w14:textId="77777777" w:rsidR="000947AE" w:rsidRDefault="000947AE" w:rsidP="00F44CE9">
      <w:pPr>
        <w:spacing w:line="480" w:lineRule="auto"/>
        <w:rPr>
          <w:rFonts w:asciiTheme="majorBidi" w:hAnsiTheme="majorBidi" w:cstheme="majorBidi"/>
          <w:color w:val="0070C0"/>
        </w:rPr>
      </w:pPr>
    </w:p>
    <w:p w14:paraId="73C70055" w14:textId="77777777" w:rsidR="000947AE" w:rsidRDefault="000947AE" w:rsidP="00F44CE9">
      <w:pPr>
        <w:spacing w:line="480" w:lineRule="auto"/>
        <w:rPr>
          <w:rFonts w:asciiTheme="majorBidi" w:hAnsiTheme="majorBidi" w:cstheme="majorBidi"/>
          <w:color w:val="0070C0"/>
        </w:rPr>
      </w:pPr>
    </w:p>
    <w:p w14:paraId="5DD14849" w14:textId="1D7A316E" w:rsidR="00DF0C53" w:rsidRPr="00CF01F7" w:rsidRDefault="00492923" w:rsidP="00F44CE9">
      <w:pPr>
        <w:spacing w:line="480" w:lineRule="auto"/>
        <w:rPr>
          <w:rFonts w:asciiTheme="majorBidi" w:hAnsiTheme="majorBidi" w:cstheme="majorBidi"/>
          <w:color w:val="00B050"/>
        </w:rPr>
      </w:pPr>
      <w:r w:rsidRPr="004E32CB">
        <w:rPr>
          <w:rFonts w:asciiTheme="majorBidi" w:hAnsiTheme="majorBidi" w:cstheme="majorBidi"/>
          <w:color w:val="0070C0"/>
        </w:rPr>
        <w:t>I</w:t>
      </w:r>
      <w:r w:rsidR="00CB1F9F">
        <w:rPr>
          <w:rFonts w:asciiTheme="majorBidi" w:hAnsiTheme="majorBidi" w:cstheme="majorBidi"/>
          <w:color w:val="0070C0"/>
        </w:rPr>
        <w:t>t</w:t>
      </w:r>
      <w:r w:rsidRPr="004E32CB">
        <w:rPr>
          <w:rFonts w:asciiTheme="majorBidi" w:hAnsiTheme="majorBidi" w:cstheme="majorBidi"/>
          <w:color w:val="0070C0"/>
        </w:rPr>
        <w:t xml:space="preserve"> indicates a relatively higher transmission </w:t>
      </w:r>
      <w:r w:rsidR="001F65FB" w:rsidRPr="004E32CB">
        <w:rPr>
          <w:rFonts w:asciiTheme="majorBidi" w:hAnsiTheme="majorBidi" w:cstheme="majorBidi"/>
          <w:color w:val="0070C0"/>
        </w:rPr>
        <w:t>intensity,</w:t>
      </w:r>
      <w:r w:rsidR="00825D13" w:rsidRPr="004E32CB">
        <w:rPr>
          <w:rFonts w:asciiTheme="majorBidi" w:hAnsiTheme="majorBidi" w:cstheme="majorBidi"/>
          <w:color w:val="0070C0"/>
        </w:rPr>
        <w:t xml:space="preserve"> </w:t>
      </w:r>
      <w:r w:rsidR="00475E3B" w:rsidRPr="004E32CB">
        <w:rPr>
          <w:rFonts w:asciiTheme="majorBidi" w:hAnsiTheme="majorBidi" w:cstheme="majorBidi"/>
          <w:color w:val="0070C0"/>
        </w:rPr>
        <w:t>especially</w:t>
      </w:r>
      <w:r w:rsidR="00825D13" w:rsidRPr="004E32CB">
        <w:rPr>
          <w:rFonts w:asciiTheme="majorBidi" w:hAnsiTheme="majorBidi" w:cstheme="majorBidi"/>
          <w:color w:val="0070C0"/>
        </w:rPr>
        <w:t xml:space="preserve"> as this rate </w:t>
      </w:r>
      <w:r w:rsidR="00825D13">
        <w:rPr>
          <w:rFonts w:asciiTheme="majorBidi" w:hAnsiTheme="majorBidi" w:cstheme="majorBidi"/>
          <w:color w:val="00B050"/>
        </w:rPr>
        <w:t xml:space="preserve">recorded at the year of 2023 which followed the COVID-19 closedown during which susceptible cases have </w:t>
      </w:r>
      <w:r w:rsidR="00D31760">
        <w:rPr>
          <w:rFonts w:asciiTheme="majorBidi" w:hAnsiTheme="majorBidi" w:cstheme="majorBidi"/>
          <w:color w:val="00B050"/>
        </w:rPr>
        <w:t>accumulated as</w:t>
      </w:r>
      <w:r w:rsidR="00825D13">
        <w:rPr>
          <w:rFonts w:asciiTheme="majorBidi" w:hAnsiTheme="majorBidi" w:cstheme="majorBidi"/>
          <w:color w:val="00B050"/>
        </w:rPr>
        <w:t xml:space="preserve"> a result of social distancing lowering the intensity of transmission and therefore </w:t>
      </w:r>
      <w:r w:rsidR="000947AE">
        <w:rPr>
          <w:rFonts w:asciiTheme="majorBidi" w:hAnsiTheme="majorBidi" w:cstheme="majorBidi"/>
          <w:color w:val="00B050"/>
        </w:rPr>
        <w:t>maximizing</w:t>
      </w:r>
      <w:r w:rsidR="00825D13">
        <w:rPr>
          <w:rFonts w:asciiTheme="majorBidi" w:hAnsiTheme="majorBidi" w:cstheme="majorBidi"/>
          <w:color w:val="00B050"/>
        </w:rPr>
        <w:t xml:space="preserve"> the susceptibility</w:t>
      </w:r>
      <w:r w:rsidRPr="00CF01F7">
        <w:rPr>
          <w:rFonts w:asciiTheme="majorBidi" w:hAnsiTheme="majorBidi" w:cstheme="majorBidi"/>
          <w:color w:val="00B050"/>
        </w:rPr>
        <w:t>.</w:t>
      </w:r>
      <w:r w:rsidR="002074D7">
        <w:rPr>
          <w:rFonts w:asciiTheme="majorBidi" w:hAnsiTheme="majorBidi" w:cstheme="majorBidi"/>
          <w:color w:val="00B050"/>
        </w:rPr>
        <w:t xml:space="preserve"> </w:t>
      </w:r>
      <w:r w:rsidR="00093631">
        <w:rPr>
          <w:rFonts w:asciiTheme="majorBidi" w:hAnsiTheme="majorBidi" w:cstheme="majorBidi"/>
          <w:color w:val="002060"/>
        </w:rPr>
        <w:t>Th</w:t>
      </w:r>
      <w:r w:rsidR="003B1D96">
        <w:rPr>
          <w:rFonts w:asciiTheme="majorBidi" w:hAnsiTheme="majorBidi" w:cstheme="majorBidi"/>
          <w:color w:val="002060"/>
        </w:rPr>
        <w:t xml:space="preserve">is </w:t>
      </w:r>
      <w:r w:rsidR="00A0791F">
        <w:rPr>
          <w:rFonts w:asciiTheme="majorBidi" w:hAnsiTheme="majorBidi" w:cstheme="majorBidi"/>
          <w:color w:val="002060"/>
        </w:rPr>
        <w:t xml:space="preserve">early susceptibility </w:t>
      </w:r>
      <w:r w:rsidR="003B1D96">
        <w:rPr>
          <w:rFonts w:asciiTheme="majorBidi" w:hAnsiTheme="majorBidi" w:cstheme="majorBidi"/>
          <w:color w:val="002060"/>
        </w:rPr>
        <w:t>is</w:t>
      </w:r>
      <w:r w:rsidR="00093631">
        <w:rPr>
          <w:rFonts w:asciiTheme="majorBidi" w:hAnsiTheme="majorBidi" w:cstheme="majorBidi"/>
          <w:color w:val="002060"/>
        </w:rPr>
        <w:t xml:space="preserve"> </w:t>
      </w:r>
      <w:r w:rsidR="003B1D96">
        <w:rPr>
          <w:rFonts w:asciiTheme="majorBidi" w:hAnsiTheme="majorBidi" w:cstheme="majorBidi"/>
          <w:color w:val="002060"/>
        </w:rPr>
        <w:t xml:space="preserve">likely to be </w:t>
      </w:r>
      <w:r w:rsidR="00A0791F">
        <w:rPr>
          <w:rFonts w:asciiTheme="majorBidi" w:hAnsiTheme="majorBidi" w:cstheme="majorBidi"/>
          <w:color w:val="002060"/>
        </w:rPr>
        <w:t>impacted by the lower and rapidly waning maternal antibody levels</w:t>
      </w:r>
      <w:r w:rsidR="003B1D96">
        <w:rPr>
          <w:rFonts w:asciiTheme="majorBidi" w:hAnsiTheme="majorBidi" w:cstheme="majorBidi"/>
          <w:color w:val="002060"/>
        </w:rPr>
        <w:t xml:space="preserve"> </w:t>
      </w:r>
      <w:r w:rsidR="00A0791F">
        <w:rPr>
          <w:rFonts w:asciiTheme="majorBidi" w:hAnsiTheme="majorBidi" w:cstheme="majorBidi"/>
          <w:color w:val="002060"/>
        </w:rPr>
        <w:t xml:space="preserve">associated with vaccine- induces immunity and the ongoing community transmission owing to immunity gaps. Additionally, the </w:t>
      </w:r>
      <w:r w:rsidR="00A0791F" w:rsidRPr="00A0791F">
        <w:rPr>
          <w:rFonts w:asciiTheme="majorBidi" w:hAnsiTheme="majorBidi" w:cstheme="majorBidi"/>
          <w:color w:val="002060"/>
        </w:rPr>
        <w:t>presence of measles cases among adults of reproductive age suggests residual susceptibility in this group, which may contribute to reduced levels of maternally derived antibodies in infants. However, this factor alone is unlikely to fully explain the observed burden of disease in infants.</w:t>
      </w:r>
      <w:r w:rsidR="00CF01F7">
        <w:rPr>
          <w:rFonts w:asciiTheme="majorBidi" w:hAnsiTheme="majorBidi" w:cstheme="majorBidi"/>
          <w:color w:val="002060"/>
        </w:rPr>
        <w:t xml:space="preserve"> </w:t>
      </w:r>
    </w:p>
    <w:p w14:paraId="40394EDF" w14:textId="500C5B1C" w:rsidR="004D1607" w:rsidRDefault="004D1607" w:rsidP="00DD72A3">
      <w:pPr>
        <w:spacing w:line="480" w:lineRule="auto"/>
        <w:jc w:val="both"/>
        <w:rPr>
          <w:rFonts w:asciiTheme="majorBidi" w:hAnsiTheme="majorBidi" w:cstheme="majorBidi"/>
        </w:rPr>
      </w:pPr>
      <w:r>
        <w:rPr>
          <w:rFonts w:asciiTheme="majorBidi" w:hAnsiTheme="majorBidi" w:cstheme="majorBidi"/>
        </w:rPr>
        <w:t xml:space="preserve">The other possible reason for the high reported </w:t>
      </w:r>
      <w:r w:rsidR="001F65FB">
        <w:rPr>
          <w:rFonts w:asciiTheme="majorBidi" w:hAnsiTheme="majorBidi" w:cstheme="majorBidi"/>
        </w:rPr>
        <w:t>burden of measles</w:t>
      </w:r>
      <w:r>
        <w:rPr>
          <w:rFonts w:asciiTheme="majorBidi" w:hAnsiTheme="majorBidi" w:cstheme="majorBidi"/>
        </w:rPr>
        <w:t xml:space="preserve"> among those below 1 years is vaccine failure in which maternal antibodies neutralize the vaccine antigen. The sharp decline in reported cases during the year 2020 likely reflects the COVID-19 related non-pharmaceutical intervention, mainly social distancing. This is consistent with epidemiology of measles, a highly contagious viral infection whose transmission is significantly reduced by measur</w:t>
      </w:r>
      <w:r w:rsidR="001F65FB">
        <w:rPr>
          <w:rFonts w:asciiTheme="majorBidi" w:hAnsiTheme="majorBidi" w:cstheme="majorBidi"/>
        </w:rPr>
        <w:t>es</w:t>
      </w:r>
      <w:r>
        <w:rPr>
          <w:rFonts w:asciiTheme="majorBidi" w:hAnsiTheme="majorBidi" w:cstheme="majorBidi"/>
        </w:rPr>
        <w:t xml:space="preserve"> that restrained by close interpersonal contact.</w:t>
      </w:r>
    </w:p>
    <w:p w14:paraId="5156877A" w14:textId="77777777" w:rsidR="004D1607" w:rsidRDefault="004D1607" w:rsidP="00DD72A3">
      <w:pPr>
        <w:spacing w:line="480" w:lineRule="auto"/>
        <w:jc w:val="both"/>
        <w:rPr>
          <w:rFonts w:asciiTheme="majorBidi" w:hAnsiTheme="majorBidi" w:cstheme="majorBidi"/>
          <w:b/>
          <w:bCs/>
        </w:rPr>
      </w:pPr>
    </w:p>
    <w:p w14:paraId="6072D916" w14:textId="77777777" w:rsidR="004D1607" w:rsidRDefault="004D1607" w:rsidP="00DD72A3">
      <w:pPr>
        <w:spacing w:line="480" w:lineRule="auto"/>
        <w:jc w:val="both"/>
        <w:rPr>
          <w:rFonts w:asciiTheme="majorBidi" w:hAnsiTheme="majorBidi" w:cstheme="majorBidi"/>
        </w:rPr>
      </w:pPr>
      <w:r>
        <w:rPr>
          <w:rFonts w:asciiTheme="majorBidi" w:hAnsiTheme="majorBidi" w:cstheme="majorBidi"/>
        </w:rPr>
        <w:t>Discussion of above data</w:t>
      </w:r>
    </w:p>
    <w:p w14:paraId="30FEFE94" w14:textId="77777777" w:rsidR="004D1607" w:rsidRDefault="004D1607" w:rsidP="00DD72A3">
      <w:pPr>
        <w:spacing w:line="480" w:lineRule="auto"/>
        <w:jc w:val="both"/>
        <w:rPr>
          <w:rFonts w:asciiTheme="majorBidi" w:hAnsiTheme="majorBidi" w:cstheme="majorBidi"/>
        </w:rPr>
      </w:pPr>
      <w:r>
        <w:rPr>
          <w:rFonts w:asciiTheme="majorBidi" w:hAnsiTheme="majorBidi" w:cstheme="majorBidi"/>
        </w:rPr>
        <w:lastRenderedPageBreak/>
        <w:t xml:space="preserve">The pattern of transmission over 10 years clearly demonstrates seasonality of measles. High transmission rate started in early winter peaking in late winter and early spring where overcrowding and interpersonal close contact is highest allowing maximum spread of the virus. With lowest transmission occurring in early autumn with slight increase thereafter coinciding with school </w:t>
      </w:r>
    </w:p>
    <w:p w14:paraId="41794896" w14:textId="77777777" w:rsidR="004D1607" w:rsidRPr="00D76646" w:rsidRDefault="004D1607" w:rsidP="00DD72A3">
      <w:pPr>
        <w:spacing w:line="480" w:lineRule="auto"/>
        <w:jc w:val="both"/>
        <w:rPr>
          <w:rFonts w:asciiTheme="majorBidi" w:hAnsiTheme="majorBidi" w:cstheme="majorBidi"/>
        </w:rPr>
      </w:pPr>
      <w:r w:rsidRPr="00FC2428">
        <w:rPr>
          <w:rFonts w:asciiTheme="majorBidi" w:hAnsiTheme="majorBidi" w:cstheme="majorBidi"/>
        </w:rPr>
        <w:t>The annual distribution of measles cases over 10 years number</w:t>
      </w:r>
    </w:p>
    <w:p w14:paraId="64E26DA5" w14:textId="77777777" w:rsidR="004D1607" w:rsidRPr="00D76646" w:rsidRDefault="004D1607" w:rsidP="00DD72A3">
      <w:pPr>
        <w:spacing w:line="480" w:lineRule="auto"/>
        <w:jc w:val="both"/>
        <w:rPr>
          <w:rFonts w:asciiTheme="majorBidi" w:hAnsiTheme="majorBidi" w:cstheme="majorBidi"/>
        </w:rPr>
      </w:pPr>
    </w:p>
    <w:p w14:paraId="5D9533E6" w14:textId="77777777" w:rsidR="004D1607" w:rsidRPr="00D76646" w:rsidRDefault="004D1607" w:rsidP="00DD72A3">
      <w:pPr>
        <w:spacing w:line="480" w:lineRule="auto"/>
        <w:jc w:val="both"/>
        <w:rPr>
          <w:rFonts w:asciiTheme="majorBidi" w:hAnsiTheme="majorBidi" w:cstheme="majorBidi"/>
        </w:rPr>
      </w:pPr>
      <w:r w:rsidRPr="00D76646">
        <w:rPr>
          <w:rFonts w:asciiTheme="majorBidi" w:hAnsiTheme="majorBidi" w:cstheme="majorBidi"/>
        </w:rPr>
        <w:t>Immunization strategies are based on these principles. Achieving high vaccination coverage helps maintain a high level of herd immunity, which further reduces viral circulation within the population. This, in turn, limits natural exposure to the wild virus, thereby reducing opportunities for natural boosting of immunity.</w:t>
      </w:r>
    </w:p>
    <w:p w14:paraId="3FF4DA0B" w14:textId="77777777" w:rsidR="004D1607" w:rsidRPr="00D76646" w:rsidRDefault="004D1607" w:rsidP="00DD72A3">
      <w:pPr>
        <w:spacing w:line="480" w:lineRule="auto"/>
        <w:jc w:val="both"/>
        <w:rPr>
          <w:rFonts w:asciiTheme="majorBidi" w:hAnsiTheme="majorBidi" w:cstheme="majorBidi"/>
        </w:rPr>
      </w:pPr>
    </w:p>
    <w:p w14:paraId="2F5DA985" w14:textId="77777777" w:rsidR="004D1607" w:rsidRDefault="004D1607" w:rsidP="00DD72A3">
      <w:pPr>
        <w:spacing w:line="480" w:lineRule="auto"/>
        <w:jc w:val="both"/>
        <w:rPr>
          <w:rFonts w:asciiTheme="majorBidi" w:hAnsiTheme="majorBidi" w:cstheme="majorBidi"/>
        </w:rPr>
      </w:pPr>
      <w:r w:rsidRPr="00D76646">
        <w:rPr>
          <w:rFonts w:asciiTheme="majorBidi" w:hAnsiTheme="majorBidi" w:cstheme="majorBidi"/>
        </w:rPr>
        <w:t>Additionally, the continued accumulation of susceptible children—due to early loss of maternal antibodies and primary or secondary vaccine failure—can increase the risk of future outbreaks.</w:t>
      </w:r>
    </w:p>
    <w:p w14:paraId="2CF57EE2" w14:textId="77777777" w:rsidR="00F44CE9" w:rsidRPr="00F44CE9" w:rsidRDefault="0017225D" w:rsidP="00F44CE9">
      <w:pPr>
        <w:pStyle w:val="Bibliography"/>
      </w:pPr>
      <w:r>
        <w:rPr>
          <w:rFonts w:asciiTheme="majorBidi" w:hAnsiTheme="majorBidi" w:cstheme="majorBidi"/>
          <w:b/>
          <w:bCs/>
        </w:rPr>
        <w:fldChar w:fldCharType="begin"/>
      </w:r>
      <w:r>
        <w:rPr>
          <w:rFonts w:asciiTheme="majorBidi" w:hAnsiTheme="majorBidi" w:cstheme="majorBidi"/>
          <w:b/>
          <w:bCs/>
        </w:rPr>
        <w:instrText xml:space="preserve"> ADDIN ZOTERO_BIBL {"uncited":[],"omitted":[],"custom":[]} CSL_BIBLIOGRAPHY </w:instrText>
      </w:r>
      <w:r>
        <w:rPr>
          <w:rFonts w:asciiTheme="majorBidi" w:hAnsiTheme="majorBidi" w:cstheme="majorBidi"/>
          <w:b/>
          <w:bCs/>
        </w:rPr>
        <w:fldChar w:fldCharType="separate"/>
      </w:r>
      <w:r w:rsidR="00F44CE9" w:rsidRPr="00F44CE9">
        <w:t>1.</w:t>
      </w:r>
      <w:r w:rsidR="00F44CE9" w:rsidRPr="00F44CE9">
        <w:tab/>
        <w:t>CDC. Epidemiology and Prevention of Vaccine-Preventable Diseases [Internet]. 2024 [cited 2026 Mar 21]. Chapter 13: Measles. Available from: https://www.cdc.gov/pinkbook/hcp/table-of-contents/chapter-13-measles.html</w:t>
      </w:r>
    </w:p>
    <w:p w14:paraId="61117699" w14:textId="77777777" w:rsidR="00F44CE9" w:rsidRPr="00F44CE9" w:rsidRDefault="00F44CE9" w:rsidP="00F44CE9">
      <w:pPr>
        <w:pStyle w:val="Bibliography"/>
      </w:pPr>
      <w:r w:rsidRPr="00F44CE9">
        <w:t>2.</w:t>
      </w:r>
      <w:r w:rsidRPr="00F44CE9">
        <w:tab/>
        <w:t>Minta AA, Ferrari M, Antoni S, Lambert B, Sayi TS, Hsu CH, et al. Progress Toward Measles Elimination — Worldwide, 2000–2023. MMWR Morb Mortal Wkly Rep. 2024 Nov 14;73(45):1036–42. doi:10.15585/mmwr.mm7345a4 PubMed PMID: 39541251; PubMed Central PMCID: PMC11576049.</w:t>
      </w:r>
    </w:p>
    <w:p w14:paraId="75FFA4E5" w14:textId="77777777" w:rsidR="00F44CE9" w:rsidRPr="00F44CE9" w:rsidRDefault="00F44CE9" w:rsidP="00F44CE9">
      <w:pPr>
        <w:pStyle w:val="Bibliography"/>
      </w:pPr>
      <w:r w:rsidRPr="00F44CE9">
        <w:t>3.</w:t>
      </w:r>
      <w:r w:rsidRPr="00F44CE9">
        <w:tab/>
        <w:t>Plans-Rubió P. Measles Vaccination Coverage and Anti-Measles Herd Immunity Levels in the World and WHO Regions Worsened from 2019 to 2023. Vaccines (Basel). 2025 Feb 5;13(2):157. doi:10.3390/vaccines13020157 PubMed PMID: 40006704; PubMed Central PMCID: PMC11860562.</w:t>
      </w:r>
    </w:p>
    <w:p w14:paraId="6B65D2CF" w14:textId="77777777" w:rsidR="00F44CE9" w:rsidRPr="00F44CE9" w:rsidRDefault="00F44CE9" w:rsidP="00F44CE9">
      <w:pPr>
        <w:pStyle w:val="Bibliography"/>
      </w:pPr>
      <w:r w:rsidRPr="00F44CE9">
        <w:lastRenderedPageBreak/>
        <w:t>4.</w:t>
      </w:r>
      <w:r w:rsidRPr="00F44CE9">
        <w:tab/>
        <w:t>Plans-Rubió P. Vaccination Coverage for Routine Vaccines and Herd Immunity Levels against Measles and Pertussis in the World in 2019. Vaccines. 2021 Mar;9(3):256. doi:10.3390/vaccines9030256</w:t>
      </w:r>
    </w:p>
    <w:p w14:paraId="3C554583" w14:textId="77777777" w:rsidR="00F44CE9" w:rsidRPr="00F44CE9" w:rsidRDefault="00F44CE9" w:rsidP="00F44CE9">
      <w:pPr>
        <w:pStyle w:val="Bibliography"/>
      </w:pPr>
      <w:r w:rsidRPr="00F44CE9">
        <w:t>5.</w:t>
      </w:r>
      <w:r w:rsidRPr="00F44CE9">
        <w:tab/>
        <w:t>Nearly 40 million children are dangerously susceptible to growing measles threat [Internet]. [cited 2026 Mar 21]. Available from: https://www.who.int/news/item/23-11-2022-nearly-40-million-children-are-dangerously-susceptible-to-growing-measles-threat</w:t>
      </w:r>
    </w:p>
    <w:p w14:paraId="2E58853D" w14:textId="77777777" w:rsidR="00F44CE9" w:rsidRPr="00F44CE9" w:rsidRDefault="00F44CE9" w:rsidP="00F44CE9">
      <w:pPr>
        <w:pStyle w:val="Bibliography"/>
      </w:pPr>
      <w:r w:rsidRPr="00F44CE9">
        <w:t>6.</w:t>
      </w:r>
      <w:r w:rsidRPr="00F44CE9">
        <w:tab/>
        <w:t>Guerra FM, Bolotin S, Lim G, Heffernan J, Deeks SL, Li Y, et al. The basic reproduction number (R0) of measles: a systematic review. Lancet Infect Dis. 2017 Dec;17(12):e420–8. doi:10.1016/S1473-3099(17)30307-9 PubMed PMID: 28757186.</w:t>
      </w:r>
    </w:p>
    <w:p w14:paraId="14FC360D" w14:textId="77777777" w:rsidR="00F44CE9" w:rsidRPr="00F44CE9" w:rsidRDefault="00F44CE9" w:rsidP="00F44CE9">
      <w:pPr>
        <w:pStyle w:val="Bibliography"/>
      </w:pPr>
      <w:r w:rsidRPr="00F44CE9">
        <w:t>7.</w:t>
      </w:r>
      <w:r w:rsidRPr="00F44CE9">
        <w:tab/>
        <w:t>Hübschen JM, Gouandjika-Vasilache I, Dina J. Measles. Lancet. 2022 Feb 12;399(10325):678–90. doi:10.1016/S0140-6736(21)02004-3 PubMed PMID: 35093206.</w:t>
      </w:r>
    </w:p>
    <w:p w14:paraId="2AB24FBD" w14:textId="77777777" w:rsidR="00F44CE9" w:rsidRPr="00F44CE9" w:rsidRDefault="00F44CE9" w:rsidP="00F44CE9">
      <w:pPr>
        <w:pStyle w:val="Bibliography"/>
      </w:pPr>
      <w:r w:rsidRPr="00F44CE9">
        <w:t>8.</w:t>
      </w:r>
      <w:r w:rsidRPr="00F44CE9">
        <w:tab/>
        <w:t>al-Mazrou YY, al-Jeffri M, Ahmed OM, Aziz KM, Mishkas AH. Measles immunization: early two-doses policy experience. J Trop Pediatr. 1999 Apr;45(2):98–104. doi:10.1093/tropej/45.2.98 PubMed PMID: 10341504.</w:t>
      </w:r>
    </w:p>
    <w:p w14:paraId="15A9D649" w14:textId="77777777" w:rsidR="00F44CE9" w:rsidRPr="00F44CE9" w:rsidRDefault="00F44CE9" w:rsidP="00F44CE9">
      <w:pPr>
        <w:pStyle w:val="Bibliography"/>
      </w:pPr>
      <w:r w:rsidRPr="00F44CE9">
        <w:t>9.</w:t>
      </w:r>
      <w:r w:rsidRPr="00F44CE9">
        <w:tab/>
        <w:t>Khalil MK, Al-Mazrou YY, Al-Jeffri M, Al-Ghamdy YS. Measles immunization in Saudi Arabia: the need for change. East Mediterr Health J. 2001;7(4–5):829–34. PubMed PMID: 15332786.</w:t>
      </w:r>
    </w:p>
    <w:p w14:paraId="2F8E7315" w14:textId="77777777" w:rsidR="00F44CE9" w:rsidRPr="00F44CE9" w:rsidRDefault="00F44CE9" w:rsidP="00F44CE9">
      <w:pPr>
        <w:pStyle w:val="Bibliography"/>
      </w:pPr>
      <w:r w:rsidRPr="00F44CE9">
        <w:t>10.</w:t>
      </w:r>
      <w:r w:rsidRPr="00F44CE9">
        <w:tab/>
        <w:t>Statistical Yearbook - Statistical Yearbook [Internet]. [cited 2025 Oct 9]. Available from: https://www.moh.gov.sa/en/Ministry/Statistics/book/Pages/default.aspx</w:t>
      </w:r>
    </w:p>
    <w:p w14:paraId="06E1A7D3" w14:textId="77777777" w:rsidR="00F44CE9" w:rsidRPr="00F44CE9" w:rsidRDefault="00F44CE9" w:rsidP="00F44CE9">
      <w:pPr>
        <w:pStyle w:val="Bibliography"/>
      </w:pPr>
      <w:r w:rsidRPr="00F44CE9">
        <w:t>11.</w:t>
      </w:r>
      <w:r w:rsidRPr="00F44CE9">
        <w:tab/>
        <w:t>World Population Prospects [Internet]. [cited 2026 Sep 6]. Available from: https://population.un.org/wpp/downloads?folder=Standard%20Projections&amp;group=Most%20used</w:t>
      </w:r>
    </w:p>
    <w:p w14:paraId="19F0102A" w14:textId="77777777" w:rsidR="00F44CE9" w:rsidRPr="00F44CE9" w:rsidRDefault="00F44CE9" w:rsidP="00F44CE9">
      <w:pPr>
        <w:pStyle w:val="Bibliography"/>
      </w:pPr>
      <w:r w:rsidRPr="00F44CE9">
        <w:t>12.</w:t>
      </w:r>
      <w:r w:rsidRPr="00F44CE9">
        <w:tab/>
        <w:t>Mishra A, Mishra S, Lahariya C, Jain P, Bhadoriya RS, Shrivastav D, et al. Practical Observations from an Epidemiological Investigation of a Measles Outbreak in a District of India. Indian J Community Med. 2009 Apr;34(2):117–21. doi:10.4103/0970-0218.51234 PubMed PMID: 19966957; PubMed Central PMCID: PMC2781117.</w:t>
      </w:r>
    </w:p>
    <w:p w14:paraId="29A8CBD0" w14:textId="77777777" w:rsidR="00F44CE9" w:rsidRPr="00F44CE9" w:rsidRDefault="00F44CE9" w:rsidP="00F44CE9">
      <w:pPr>
        <w:pStyle w:val="Bibliography"/>
      </w:pPr>
      <w:r w:rsidRPr="00F44CE9">
        <w:t>13.</w:t>
      </w:r>
      <w:r w:rsidRPr="00F44CE9">
        <w:tab/>
        <w:t>Measles cases rise in the Americas in 2025 - PAHO/WHO | Pan American Health Organization [Internet]. 2025 [cited 2026 Mar 21]. Available from: https://www.paho.org/en/news/3-7-2025-measles-cases-rise-americas-2025</w:t>
      </w:r>
    </w:p>
    <w:p w14:paraId="4B9FB903" w14:textId="77777777" w:rsidR="00F44CE9" w:rsidRPr="00F44CE9" w:rsidRDefault="00F44CE9" w:rsidP="00F44CE9">
      <w:pPr>
        <w:pStyle w:val="Bibliography"/>
      </w:pPr>
      <w:r w:rsidRPr="00F44CE9">
        <w:t>14.</w:t>
      </w:r>
      <w:r w:rsidRPr="00F44CE9">
        <w:tab/>
        <w:t>Measles [Internet]. [cited 2026 Mar 21]. Available from: https://www.who.int/news-room/fact-sheets/detail/measles</w:t>
      </w:r>
    </w:p>
    <w:p w14:paraId="498988BF" w14:textId="77777777" w:rsidR="00F44CE9" w:rsidRPr="00F44CE9" w:rsidRDefault="00F44CE9" w:rsidP="00F44CE9">
      <w:pPr>
        <w:pStyle w:val="Bibliography"/>
      </w:pPr>
      <w:r w:rsidRPr="00F44CE9">
        <w:t>15.</w:t>
      </w:r>
      <w:r w:rsidRPr="00F44CE9">
        <w:tab/>
        <w:t xml:space="preserve">Wang R, Jing W, Liu M, Liu J. Trends of the Global, Regional, and National Incidence of Measles, Vaccine Coverage, and Risk Factors in 204 Countries From 1990 to 2019. </w:t>
      </w:r>
      <w:r w:rsidRPr="00F44CE9">
        <w:lastRenderedPageBreak/>
        <w:t>Front Med (Lausanne). 2022 Jan 20;8:798031. doi:10.3389/fmed.2021.798031 PubMed PMID: 35127753; PubMed Central PMCID: PMC8810814.</w:t>
      </w:r>
    </w:p>
    <w:p w14:paraId="3C4FED5D" w14:textId="77777777" w:rsidR="00F44CE9" w:rsidRPr="00F44CE9" w:rsidRDefault="00F44CE9" w:rsidP="00F44CE9">
      <w:pPr>
        <w:pStyle w:val="Bibliography"/>
      </w:pPr>
      <w:r w:rsidRPr="00F44CE9">
        <w:t>16.</w:t>
      </w:r>
      <w:r w:rsidRPr="00F44CE9">
        <w:tab/>
        <w:t>Harris C, Bird C, Saavedra-Campos M, Chatt C, Booth E, Proto W, et al. Impact of a measles outbreak on a UK children’s emergency department and the public health response: a retrospective observational study. Journal of Hospital Infection. 2025 Nov 1;165:41–7. doi:10.1016/j.jhin.2025.07.020</w:t>
      </w:r>
    </w:p>
    <w:p w14:paraId="6151EACA" w14:textId="77777777" w:rsidR="00F44CE9" w:rsidRPr="00F44CE9" w:rsidRDefault="00F44CE9" w:rsidP="00F44CE9">
      <w:pPr>
        <w:pStyle w:val="Bibliography"/>
      </w:pPr>
      <w:r w:rsidRPr="00F44CE9">
        <w:t>17.</w:t>
      </w:r>
      <w:r w:rsidRPr="00F44CE9">
        <w:tab/>
        <w:t>GOV.UK [Internet]. [cited 2026 Mar 24]. Confirmed cases of measles in England by month, age, region and upper tier local authority: 2026. Available from: https://www.gov.uk/government/publications/measles-epidemiology-2023/confirmed-cases-of-measles-in-england-by-month-age-region-and-upper-tier-local-authority-2026</w:t>
      </w:r>
    </w:p>
    <w:p w14:paraId="0E4EAB67" w14:textId="6731CED3" w:rsidR="00AF6A97" w:rsidRDefault="0017225D" w:rsidP="00DD72A3">
      <w:pPr>
        <w:jc w:val="both"/>
        <w:rPr>
          <w:rFonts w:asciiTheme="majorBidi" w:hAnsiTheme="majorBidi" w:cstheme="majorBidi"/>
          <w:b/>
          <w:bCs/>
        </w:rPr>
      </w:pPr>
      <w:r>
        <w:rPr>
          <w:rFonts w:asciiTheme="majorBidi" w:hAnsiTheme="majorBidi" w:cstheme="majorBidi"/>
          <w:b/>
          <w:bCs/>
        </w:rPr>
        <w:fldChar w:fldCharType="end"/>
      </w:r>
      <w:r w:rsidR="00DF5583">
        <w:rPr>
          <w:rFonts w:asciiTheme="majorBidi" w:hAnsiTheme="majorBidi" w:cstheme="majorBidi"/>
          <w:b/>
          <w:bCs/>
        </w:rPr>
        <w:t xml:space="preserve">2025: 35.8 in 2024;9 in </w:t>
      </w:r>
      <w:r w:rsidR="005475B4">
        <w:rPr>
          <w:rFonts w:asciiTheme="majorBidi" w:hAnsiTheme="majorBidi" w:cstheme="majorBidi"/>
          <w:b/>
          <w:bCs/>
        </w:rPr>
        <w:t>2023/2024 6.7</w:t>
      </w:r>
    </w:p>
    <w:tbl>
      <w:tblPr>
        <w:tblStyle w:val="TableGrid"/>
        <w:tblpPr w:leftFromText="180" w:rightFromText="180" w:vertAnchor="text" w:horzAnchor="margin" w:tblpY="291"/>
        <w:tblW w:w="0" w:type="auto"/>
        <w:tblLook w:val="04A0" w:firstRow="1" w:lastRow="0" w:firstColumn="1" w:lastColumn="0" w:noHBand="0" w:noVBand="1"/>
      </w:tblPr>
      <w:tblGrid>
        <w:gridCol w:w="9350"/>
      </w:tblGrid>
      <w:tr w:rsidR="00AF6A97" w14:paraId="6C6A62D2" w14:textId="77777777" w:rsidTr="00AF6A97">
        <w:tc>
          <w:tcPr>
            <w:tcW w:w="9350" w:type="dxa"/>
          </w:tcPr>
          <w:p w14:paraId="6034765F" w14:textId="6F25A33D" w:rsidR="00AF6A97" w:rsidRPr="00AF6A97" w:rsidRDefault="00AF6A97" w:rsidP="00AF6A97">
            <w:pPr>
              <w:rPr>
                <w:rFonts w:ascii="Times New Roman" w:eastAsia="Times New Roman" w:hAnsi="Symbol" w:cs="Times New Roman"/>
                <w:color w:val="00B050"/>
                <w:kern w:val="0"/>
                <w14:ligatures w14:val="none"/>
              </w:rPr>
            </w:pPr>
            <w:r w:rsidRPr="00AF6A97">
              <w:rPr>
                <w:rFonts w:ascii="Times New Roman" w:eastAsia="Times New Roman" w:hAnsi="Symbol" w:cs="Times New Roman"/>
                <w:color w:val="00B050"/>
                <w:kern w:val="0"/>
                <w14:ligatures w14:val="none"/>
              </w:rPr>
              <w:t>References to be added to zetero list</w:t>
            </w:r>
          </w:p>
          <w:p w14:paraId="7B124410" w14:textId="6E76D774" w:rsidR="00AF6A97" w:rsidRPr="00AF6A97" w:rsidRDefault="00AF6A97" w:rsidP="00AF6A97">
            <w:pPr>
              <w:rPr>
                <w:rFonts w:ascii="Times New Roman" w:eastAsia="Times New Roman" w:hAnsi="Times New Roman" w:cs="Times New Roman"/>
                <w:kern w:val="0"/>
                <w14:ligatures w14:val="none"/>
              </w:rPr>
            </w:pPr>
            <w:r w:rsidRPr="00AF6A97">
              <w:rPr>
                <w:rFonts w:ascii="Times New Roman" w:eastAsia="Times New Roman" w:hAnsi="Symbol" w:cs="Times New Roman"/>
                <w:kern w:val="0"/>
                <w14:ligatures w14:val="none"/>
              </w:rPr>
              <w:t></w:t>
            </w:r>
            <w:r w:rsidRPr="00AF6A97">
              <w:rPr>
                <w:rFonts w:ascii="Times New Roman" w:eastAsia="Times New Roman" w:hAnsi="Times New Roman" w:cs="Times New Roman"/>
                <w:kern w:val="0"/>
                <w14:ligatures w14:val="none"/>
              </w:rPr>
              <w:t xml:space="preserve">  UKHSA epidemiology report 2024</w:t>
            </w:r>
            <w:r w:rsidRPr="00AF6A97">
              <w:rPr>
                <w:rFonts w:ascii="Times New Roman" w:eastAsia="Times New Roman" w:hAnsi="Times New Roman" w:cs="Times New Roman"/>
                <w:kern w:val="0"/>
                <w14:ligatures w14:val="none"/>
              </w:rPr>
              <w:br/>
            </w:r>
            <w:hyperlink r:id="rId11" w:tgtFrame="_new" w:history="1">
              <w:r w:rsidRPr="00AF6A97">
                <w:rPr>
                  <w:rFonts w:ascii="Times New Roman" w:eastAsia="Times New Roman" w:hAnsi="Times New Roman" w:cs="Times New Roman"/>
                  <w:color w:val="0000FF"/>
                  <w:kern w:val="0"/>
                  <w:u w:val="single"/>
                  <w14:ligatures w14:val="none"/>
                </w:rPr>
                <w:t>https://www.gov.uk/government/publications/measles-epidemiology-2023</w:t>
              </w:r>
            </w:hyperlink>
            <w:r w:rsidRPr="00AF6A97">
              <w:rPr>
                <w:rFonts w:ascii="Times New Roman" w:eastAsia="Times New Roman" w:hAnsi="Times New Roman" w:cs="Times New Roman"/>
                <w:kern w:val="0"/>
                <w14:ligatures w14:val="none"/>
              </w:rPr>
              <w:t xml:space="preserve"> </w:t>
            </w:r>
          </w:p>
          <w:p w14:paraId="06CA1C1E" w14:textId="77777777" w:rsidR="00AF6A97" w:rsidRPr="00AF6A97" w:rsidRDefault="00AF6A97" w:rsidP="00AF6A97">
            <w:pPr>
              <w:rPr>
                <w:rFonts w:ascii="Times New Roman" w:eastAsia="Times New Roman" w:hAnsi="Times New Roman" w:cs="Times New Roman"/>
                <w:kern w:val="0"/>
                <w14:ligatures w14:val="none"/>
              </w:rPr>
            </w:pPr>
            <w:r w:rsidRPr="00AF6A97">
              <w:rPr>
                <w:rFonts w:ascii="Times New Roman" w:eastAsia="Times New Roman" w:hAnsi="Symbol" w:cs="Times New Roman"/>
                <w:kern w:val="0"/>
                <w14:ligatures w14:val="none"/>
              </w:rPr>
              <w:t></w:t>
            </w:r>
            <w:r w:rsidRPr="00AF6A97">
              <w:rPr>
                <w:rFonts w:ascii="Times New Roman" w:eastAsia="Times New Roman" w:hAnsi="Times New Roman" w:cs="Times New Roman"/>
                <w:kern w:val="0"/>
                <w14:ligatures w14:val="none"/>
              </w:rPr>
              <w:t xml:space="preserve">  UKHSA dashboard (age distribution)</w:t>
            </w:r>
            <w:r w:rsidRPr="00AF6A97">
              <w:rPr>
                <w:rFonts w:ascii="Times New Roman" w:eastAsia="Times New Roman" w:hAnsi="Times New Roman" w:cs="Times New Roman"/>
                <w:kern w:val="0"/>
                <w14:ligatures w14:val="none"/>
              </w:rPr>
              <w:br/>
            </w:r>
            <w:hyperlink r:id="rId12" w:tgtFrame="_new" w:history="1">
              <w:r w:rsidRPr="00AF6A97">
                <w:rPr>
                  <w:rFonts w:ascii="Times New Roman" w:eastAsia="Times New Roman" w:hAnsi="Times New Roman" w:cs="Times New Roman"/>
                  <w:color w:val="0000FF"/>
                  <w:kern w:val="0"/>
                  <w:u w:val="single"/>
                  <w14:ligatures w14:val="none"/>
                </w:rPr>
                <w:t>https://ukhsa-dashboard.data.gov.uk</w:t>
              </w:r>
            </w:hyperlink>
            <w:r w:rsidRPr="00AF6A97">
              <w:rPr>
                <w:rFonts w:ascii="Times New Roman" w:eastAsia="Times New Roman" w:hAnsi="Times New Roman" w:cs="Times New Roman"/>
                <w:kern w:val="0"/>
                <w14:ligatures w14:val="none"/>
              </w:rPr>
              <w:t xml:space="preserve"> </w:t>
            </w:r>
          </w:p>
          <w:p w14:paraId="12A55995" w14:textId="77777777" w:rsidR="00AF6A97" w:rsidRDefault="00AF6A97" w:rsidP="00AF6A97">
            <w:pPr>
              <w:jc w:val="both"/>
              <w:rPr>
                <w:rFonts w:asciiTheme="majorBidi" w:hAnsiTheme="majorBidi" w:cstheme="majorBidi"/>
                <w:b/>
                <w:bCs/>
              </w:rPr>
            </w:pPr>
            <w:r w:rsidRPr="00AF6A97">
              <w:rPr>
                <w:rFonts w:ascii="Times New Roman" w:eastAsia="Times New Roman" w:hAnsi="Symbol" w:cs="Times New Roman"/>
                <w:kern w:val="0"/>
                <w14:ligatures w14:val="none"/>
              </w:rPr>
              <w:t></w:t>
            </w:r>
            <w:r w:rsidRPr="00AF6A97">
              <w:rPr>
                <w:rFonts w:ascii="Times New Roman" w:eastAsia="Times New Roman" w:hAnsi="Times New Roman" w:cs="Times New Roman"/>
                <w:kern w:val="0"/>
                <w14:ligatures w14:val="none"/>
              </w:rPr>
              <w:t xml:space="preserve">  BMJ / UK outbreak context</w:t>
            </w:r>
            <w:r w:rsidRPr="00AF6A97">
              <w:rPr>
                <w:rFonts w:ascii="Times New Roman" w:eastAsia="Times New Roman" w:hAnsi="Times New Roman" w:cs="Times New Roman"/>
                <w:kern w:val="0"/>
                <w14:ligatures w14:val="none"/>
              </w:rPr>
              <w:br/>
            </w:r>
            <w:hyperlink r:id="rId13" w:tgtFrame="_new" w:history="1">
              <w:r w:rsidRPr="00AF6A97">
                <w:rPr>
                  <w:rFonts w:ascii="Times New Roman" w:eastAsia="Times New Roman" w:hAnsi="Times New Roman" w:cs="Times New Roman"/>
                  <w:color w:val="0000FF"/>
                  <w:kern w:val="0"/>
                  <w:u w:val="single"/>
                  <w14:ligatures w14:val="none"/>
                </w:rPr>
                <w:t>https://www.bmj.com/content/385/bmj.q972</w:t>
              </w:r>
            </w:hyperlink>
          </w:p>
        </w:tc>
      </w:tr>
    </w:tbl>
    <w:p w14:paraId="0D5F602E" w14:textId="2030E1AF" w:rsidR="004D1607" w:rsidRDefault="004D1607" w:rsidP="00DD72A3">
      <w:pPr>
        <w:jc w:val="both"/>
        <w:rPr>
          <w:rFonts w:asciiTheme="majorBidi" w:hAnsiTheme="majorBidi" w:cstheme="majorBidi"/>
          <w:b/>
          <w:bCs/>
        </w:rPr>
      </w:pPr>
    </w:p>
    <w:p w14:paraId="64B54D66" w14:textId="77777777" w:rsidR="004D1607" w:rsidRDefault="004D1607" w:rsidP="00DD72A3">
      <w:pPr>
        <w:jc w:val="both"/>
        <w:rPr>
          <w:rFonts w:asciiTheme="majorBidi" w:hAnsiTheme="majorBidi" w:cstheme="majorBidi"/>
          <w:b/>
          <w:bCs/>
        </w:rPr>
      </w:pPr>
    </w:p>
    <w:p w14:paraId="27C1F220" w14:textId="77777777" w:rsidR="00190F41" w:rsidRDefault="00190F41" w:rsidP="00DD72A3">
      <w:pPr>
        <w:jc w:val="both"/>
        <w:rPr>
          <w:rFonts w:asciiTheme="majorBidi" w:hAnsiTheme="majorBidi" w:cstheme="majorBidi"/>
          <w:b/>
          <w:bCs/>
        </w:rPr>
      </w:pPr>
    </w:p>
    <w:bookmarkEnd w:id="6"/>
    <w:p w14:paraId="01B4D3E7" w14:textId="77777777" w:rsidR="00190F41" w:rsidRDefault="00190F41" w:rsidP="00DD72A3">
      <w:pPr>
        <w:jc w:val="both"/>
        <w:rPr>
          <w:rFonts w:asciiTheme="majorBidi" w:hAnsiTheme="majorBidi" w:cstheme="majorBidi"/>
          <w:b/>
          <w:bCs/>
        </w:rPr>
      </w:pPr>
    </w:p>
    <w:sectPr w:rsidR="00190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rriweather Sans">
    <w:charset w:val="00"/>
    <w:family w:val="auto"/>
    <w:pitch w:val="variable"/>
    <w:sig w:usb0="A00004FF" w:usb1="4000207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DejaVuSans-Bold">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DejaVuSans">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274"/>
    <w:multiLevelType w:val="multilevel"/>
    <w:tmpl w:val="22EE4F1C"/>
    <w:lvl w:ilvl="0">
      <w:start w:val="1"/>
      <w:numFmt w:val="decimal"/>
      <w:lvlText w:val="%1."/>
      <w:lvlJc w:val="left"/>
      <w:pPr>
        <w:ind w:left="720" w:hanging="360"/>
      </w:pPr>
      <w:rPr>
        <w:rFonts w:ascii="Merriweather Sans" w:hAnsi="Merriweather Sans" w:hint="default"/>
        <w:color w:val="0070C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01621E8"/>
    <w:multiLevelType w:val="multilevel"/>
    <w:tmpl w:val="EB967884"/>
    <w:lvl w:ilvl="0">
      <w:start w:val="1"/>
      <w:numFmt w:val="decimal"/>
      <w:lvlText w:val="%1."/>
      <w:lvlJc w:val="left"/>
      <w:pPr>
        <w:ind w:left="720" w:hanging="360"/>
      </w:pPr>
      <w:rPr>
        <w:rFonts w:asciiTheme="majorBidi" w:hAnsiTheme="majorBidi" w:cstheme="majorBidi" w:hint="default"/>
        <w:color w:val="000000" w:themeColor="text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63D7963"/>
    <w:multiLevelType w:val="multilevel"/>
    <w:tmpl w:val="303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328A6"/>
    <w:multiLevelType w:val="multilevel"/>
    <w:tmpl w:val="1F3A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710AE"/>
    <w:multiLevelType w:val="hybridMultilevel"/>
    <w:tmpl w:val="16F86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2887471">
    <w:abstractNumId w:val="3"/>
  </w:num>
  <w:num w:numId="2" w16cid:durableId="544751956">
    <w:abstractNumId w:val="2"/>
  </w:num>
  <w:num w:numId="3" w16cid:durableId="1801802258">
    <w:abstractNumId w:val="1"/>
  </w:num>
  <w:num w:numId="4" w16cid:durableId="239801991">
    <w:abstractNumId w:val="0"/>
  </w:num>
  <w:num w:numId="5" w16cid:durableId="795756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4E"/>
    <w:rsid w:val="00004504"/>
    <w:rsid w:val="0000622B"/>
    <w:rsid w:val="0001151B"/>
    <w:rsid w:val="00014CA1"/>
    <w:rsid w:val="00015742"/>
    <w:rsid w:val="00015DAE"/>
    <w:rsid w:val="00030928"/>
    <w:rsid w:val="00045174"/>
    <w:rsid w:val="00064908"/>
    <w:rsid w:val="00071DF7"/>
    <w:rsid w:val="000757C0"/>
    <w:rsid w:val="00093631"/>
    <w:rsid w:val="000947AE"/>
    <w:rsid w:val="000A3E4E"/>
    <w:rsid w:val="000D305A"/>
    <w:rsid w:val="000D4322"/>
    <w:rsid w:val="000D4D05"/>
    <w:rsid w:val="000E205E"/>
    <w:rsid w:val="000F0077"/>
    <w:rsid w:val="0011042B"/>
    <w:rsid w:val="0011078D"/>
    <w:rsid w:val="0011644E"/>
    <w:rsid w:val="001178AA"/>
    <w:rsid w:val="00120AE0"/>
    <w:rsid w:val="00132D0C"/>
    <w:rsid w:val="0013678D"/>
    <w:rsid w:val="001524EF"/>
    <w:rsid w:val="001549B7"/>
    <w:rsid w:val="001616A5"/>
    <w:rsid w:val="00161E36"/>
    <w:rsid w:val="0017225D"/>
    <w:rsid w:val="00190F41"/>
    <w:rsid w:val="00191D1D"/>
    <w:rsid w:val="00192438"/>
    <w:rsid w:val="0019356D"/>
    <w:rsid w:val="001A54DD"/>
    <w:rsid w:val="001A6727"/>
    <w:rsid w:val="001B54F2"/>
    <w:rsid w:val="001D0D52"/>
    <w:rsid w:val="001D33E2"/>
    <w:rsid w:val="001E678D"/>
    <w:rsid w:val="001E7196"/>
    <w:rsid w:val="001F65FB"/>
    <w:rsid w:val="002074D7"/>
    <w:rsid w:val="00217FCD"/>
    <w:rsid w:val="002259CE"/>
    <w:rsid w:val="0023172A"/>
    <w:rsid w:val="002336D5"/>
    <w:rsid w:val="0024428A"/>
    <w:rsid w:val="00244E34"/>
    <w:rsid w:val="00247DC1"/>
    <w:rsid w:val="0026634D"/>
    <w:rsid w:val="00294DDF"/>
    <w:rsid w:val="00296035"/>
    <w:rsid w:val="002A0EF9"/>
    <w:rsid w:val="002A1C6A"/>
    <w:rsid w:val="002A3B54"/>
    <w:rsid w:val="002A7161"/>
    <w:rsid w:val="002B02AF"/>
    <w:rsid w:val="003056A0"/>
    <w:rsid w:val="00321BCD"/>
    <w:rsid w:val="003225A0"/>
    <w:rsid w:val="003322A6"/>
    <w:rsid w:val="00335EEF"/>
    <w:rsid w:val="00337441"/>
    <w:rsid w:val="00337F00"/>
    <w:rsid w:val="00363D0B"/>
    <w:rsid w:val="003907A1"/>
    <w:rsid w:val="00394DC4"/>
    <w:rsid w:val="003A586D"/>
    <w:rsid w:val="003A73DB"/>
    <w:rsid w:val="003B1D96"/>
    <w:rsid w:val="003B2F9A"/>
    <w:rsid w:val="003B38C4"/>
    <w:rsid w:val="003C0DD5"/>
    <w:rsid w:val="003C2ABB"/>
    <w:rsid w:val="003C36B3"/>
    <w:rsid w:val="003C44F1"/>
    <w:rsid w:val="003D162C"/>
    <w:rsid w:val="003D4DD2"/>
    <w:rsid w:val="004011F2"/>
    <w:rsid w:val="0040256F"/>
    <w:rsid w:val="00406003"/>
    <w:rsid w:val="0041617B"/>
    <w:rsid w:val="00424C2F"/>
    <w:rsid w:val="00430776"/>
    <w:rsid w:val="00431291"/>
    <w:rsid w:val="00437F15"/>
    <w:rsid w:val="00455F66"/>
    <w:rsid w:val="0046436F"/>
    <w:rsid w:val="004704E4"/>
    <w:rsid w:val="00475E3B"/>
    <w:rsid w:val="004773ED"/>
    <w:rsid w:val="00492923"/>
    <w:rsid w:val="004A2FB5"/>
    <w:rsid w:val="004A32B4"/>
    <w:rsid w:val="004B331C"/>
    <w:rsid w:val="004B3A0A"/>
    <w:rsid w:val="004D1607"/>
    <w:rsid w:val="004E1D5B"/>
    <w:rsid w:val="004E32CB"/>
    <w:rsid w:val="004E73EB"/>
    <w:rsid w:val="004F509F"/>
    <w:rsid w:val="00501A8A"/>
    <w:rsid w:val="005163F3"/>
    <w:rsid w:val="00543198"/>
    <w:rsid w:val="005475B4"/>
    <w:rsid w:val="00552AC9"/>
    <w:rsid w:val="00552AE5"/>
    <w:rsid w:val="005556A6"/>
    <w:rsid w:val="00582173"/>
    <w:rsid w:val="005846B7"/>
    <w:rsid w:val="005A5375"/>
    <w:rsid w:val="005C32EA"/>
    <w:rsid w:val="005C51FF"/>
    <w:rsid w:val="005D59D0"/>
    <w:rsid w:val="005E59AB"/>
    <w:rsid w:val="005E60E4"/>
    <w:rsid w:val="005F6605"/>
    <w:rsid w:val="006071CC"/>
    <w:rsid w:val="00607D9B"/>
    <w:rsid w:val="006131A2"/>
    <w:rsid w:val="006155E4"/>
    <w:rsid w:val="00627EC0"/>
    <w:rsid w:val="00634AEC"/>
    <w:rsid w:val="006430FA"/>
    <w:rsid w:val="006731D4"/>
    <w:rsid w:val="00673954"/>
    <w:rsid w:val="00675E08"/>
    <w:rsid w:val="006813D0"/>
    <w:rsid w:val="00683EDD"/>
    <w:rsid w:val="00693E98"/>
    <w:rsid w:val="00696020"/>
    <w:rsid w:val="006B5131"/>
    <w:rsid w:val="006D079E"/>
    <w:rsid w:val="006E0404"/>
    <w:rsid w:val="006E369C"/>
    <w:rsid w:val="006E7DA2"/>
    <w:rsid w:val="006F377D"/>
    <w:rsid w:val="006F4088"/>
    <w:rsid w:val="006F6A83"/>
    <w:rsid w:val="00702E5B"/>
    <w:rsid w:val="0071307C"/>
    <w:rsid w:val="007169F2"/>
    <w:rsid w:val="00726B3A"/>
    <w:rsid w:val="0073389E"/>
    <w:rsid w:val="00770FF8"/>
    <w:rsid w:val="00774930"/>
    <w:rsid w:val="00775098"/>
    <w:rsid w:val="00794B75"/>
    <w:rsid w:val="0079679C"/>
    <w:rsid w:val="007A0E37"/>
    <w:rsid w:val="007A5A74"/>
    <w:rsid w:val="007B5239"/>
    <w:rsid w:val="007C07DF"/>
    <w:rsid w:val="007E1D0F"/>
    <w:rsid w:val="007F19E8"/>
    <w:rsid w:val="00810231"/>
    <w:rsid w:val="00820D76"/>
    <w:rsid w:val="008245BA"/>
    <w:rsid w:val="00825D13"/>
    <w:rsid w:val="00831F3F"/>
    <w:rsid w:val="00834E2D"/>
    <w:rsid w:val="008421C3"/>
    <w:rsid w:val="008520BB"/>
    <w:rsid w:val="008A37CE"/>
    <w:rsid w:val="008C63A5"/>
    <w:rsid w:val="008D2EEA"/>
    <w:rsid w:val="008D4244"/>
    <w:rsid w:val="008E0CB5"/>
    <w:rsid w:val="008E4328"/>
    <w:rsid w:val="008E7F5F"/>
    <w:rsid w:val="008F4ACF"/>
    <w:rsid w:val="00902AB5"/>
    <w:rsid w:val="009135C7"/>
    <w:rsid w:val="00922204"/>
    <w:rsid w:val="00924144"/>
    <w:rsid w:val="00925804"/>
    <w:rsid w:val="0093037C"/>
    <w:rsid w:val="00944E54"/>
    <w:rsid w:val="009552E3"/>
    <w:rsid w:val="00963E7E"/>
    <w:rsid w:val="00967996"/>
    <w:rsid w:val="00970A4C"/>
    <w:rsid w:val="00970A5E"/>
    <w:rsid w:val="00975265"/>
    <w:rsid w:val="009820CB"/>
    <w:rsid w:val="00993604"/>
    <w:rsid w:val="0099461C"/>
    <w:rsid w:val="009A0D30"/>
    <w:rsid w:val="009A1B2C"/>
    <w:rsid w:val="009A2315"/>
    <w:rsid w:val="009A562A"/>
    <w:rsid w:val="009A6C2D"/>
    <w:rsid w:val="009B3234"/>
    <w:rsid w:val="009B6AA6"/>
    <w:rsid w:val="009C453D"/>
    <w:rsid w:val="009C6CA9"/>
    <w:rsid w:val="009D39CF"/>
    <w:rsid w:val="009E1C27"/>
    <w:rsid w:val="009E4C1B"/>
    <w:rsid w:val="009E7AAE"/>
    <w:rsid w:val="00A0791F"/>
    <w:rsid w:val="00A442D5"/>
    <w:rsid w:val="00A568DE"/>
    <w:rsid w:val="00A76ADA"/>
    <w:rsid w:val="00A84F86"/>
    <w:rsid w:val="00A94D25"/>
    <w:rsid w:val="00AC13AE"/>
    <w:rsid w:val="00AD2816"/>
    <w:rsid w:val="00AE48F4"/>
    <w:rsid w:val="00AF6A97"/>
    <w:rsid w:val="00B02C0E"/>
    <w:rsid w:val="00B105AA"/>
    <w:rsid w:val="00B1257B"/>
    <w:rsid w:val="00B216BB"/>
    <w:rsid w:val="00B24AFA"/>
    <w:rsid w:val="00B44557"/>
    <w:rsid w:val="00B70B97"/>
    <w:rsid w:val="00B70E09"/>
    <w:rsid w:val="00B75AD6"/>
    <w:rsid w:val="00B80790"/>
    <w:rsid w:val="00B961AB"/>
    <w:rsid w:val="00BC6CA9"/>
    <w:rsid w:val="00BF6FB6"/>
    <w:rsid w:val="00C07BDC"/>
    <w:rsid w:val="00C34312"/>
    <w:rsid w:val="00C37033"/>
    <w:rsid w:val="00C411A7"/>
    <w:rsid w:val="00C463CF"/>
    <w:rsid w:val="00C6297D"/>
    <w:rsid w:val="00CB1F9F"/>
    <w:rsid w:val="00CB5B14"/>
    <w:rsid w:val="00CD4528"/>
    <w:rsid w:val="00CE1332"/>
    <w:rsid w:val="00CE513C"/>
    <w:rsid w:val="00CF01F7"/>
    <w:rsid w:val="00CF2D47"/>
    <w:rsid w:val="00D21B22"/>
    <w:rsid w:val="00D22343"/>
    <w:rsid w:val="00D22BF8"/>
    <w:rsid w:val="00D24CFD"/>
    <w:rsid w:val="00D27A40"/>
    <w:rsid w:val="00D31760"/>
    <w:rsid w:val="00D35525"/>
    <w:rsid w:val="00D61ED5"/>
    <w:rsid w:val="00D63C4B"/>
    <w:rsid w:val="00D64990"/>
    <w:rsid w:val="00D76646"/>
    <w:rsid w:val="00D80259"/>
    <w:rsid w:val="00D840A3"/>
    <w:rsid w:val="00D871A2"/>
    <w:rsid w:val="00D95496"/>
    <w:rsid w:val="00DA28F2"/>
    <w:rsid w:val="00DB0685"/>
    <w:rsid w:val="00DC5AF1"/>
    <w:rsid w:val="00DD0613"/>
    <w:rsid w:val="00DD0A1E"/>
    <w:rsid w:val="00DD72A3"/>
    <w:rsid w:val="00DF0C53"/>
    <w:rsid w:val="00DF0DA0"/>
    <w:rsid w:val="00DF364C"/>
    <w:rsid w:val="00DF4AEE"/>
    <w:rsid w:val="00DF5583"/>
    <w:rsid w:val="00DF7B67"/>
    <w:rsid w:val="00E01BE5"/>
    <w:rsid w:val="00E13C76"/>
    <w:rsid w:val="00E231DB"/>
    <w:rsid w:val="00E32425"/>
    <w:rsid w:val="00E36E11"/>
    <w:rsid w:val="00E419CA"/>
    <w:rsid w:val="00E45A81"/>
    <w:rsid w:val="00E47E57"/>
    <w:rsid w:val="00E51E34"/>
    <w:rsid w:val="00E56246"/>
    <w:rsid w:val="00E56E48"/>
    <w:rsid w:val="00E61B8D"/>
    <w:rsid w:val="00E7195B"/>
    <w:rsid w:val="00E71D8C"/>
    <w:rsid w:val="00E75F32"/>
    <w:rsid w:val="00E87EB4"/>
    <w:rsid w:val="00E92D15"/>
    <w:rsid w:val="00E94223"/>
    <w:rsid w:val="00EA08F6"/>
    <w:rsid w:val="00EB43E5"/>
    <w:rsid w:val="00ED5C92"/>
    <w:rsid w:val="00EE04EE"/>
    <w:rsid w:val="00EF074E"/>
    <w:rsid w:val="00EF2362"/>
    <w:rsid w:val="00EF2C95"/>
    <w:rsid w:val="00EF3CC2"/>
    <w:rsid w:val="00F24B9B"/>
    <w:rsid w:val="00F44CE9"/>
    <w:rsid w:val="00F457D2"/>
    <w:rsid w:val="00F525CE"/>
    <w:rsid w:val="00F552F0"/>
    <w:rsid w:val="00F66389"/>
    <w:rsid w:val="00F818A0"/>
    <w:rsid w:val="00F94711"/>
    <w:rsid w:val="00F97972"/>
    <w:rsid w:val="00FA1711"/>
    <w:rsid w:val="00FA431A"/>
    <w:rsid w:val="00FA7C28"/>
    <w:rsid w:val="00FB3731"/>
    <w:rsid w:val="00FC2428"/>
    <w:rsid w:val="00FC59B4"/>
    <w:rsid w:val="00FD3027"/>
    <w:rsid w:val="00FD6D1B"/>
    <w:rsid w:val="00FE6291"/>
    <w:rsid w:val="00FF12DA"/>
    <w:rsid w:val="00FF1BD2"/>
    <w:rsid w:val="00FF4E1C"/>
    <w:rsid w:val="00FF7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D5A0"/>
  <w15:chartTrackingRefBased/>
  <w15:docId w15:val="{97AF0E59-08D3-431B-BDF3-DFC145C6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74E"/>
    <w:rPr>
      <w:rFonts w:eastAsiaTheme="majorEastAsia" w:cstheme="majorBidi"/>
      <w:color w:val="272727" w:themeColor="text1" w:themeTint="D8"/>
    </w:rPr>
  </w:style>
  <w:style w:type="paragraph" w:styleId="Title">
    <w:name w:val="Title"/>
    <w:basedOn w:val="Normal"/>
    <w:next w:val="Normal"/>
    <w:link w:val="TitleChar"/>
    <w:uiPriority w:val="10"/>
    <w:qFormat/>
    <w:rsid w:val="00EF0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74E"/>
    <w:pPr>
      <w:spacing w:before="160"/>
      <w:jc w:val="center"/>
    </w:pPr>
    <w:rPr>
      <w:i/>
      <w:iCs/>
      <w:color w:val="404040" w:themeColor="text1" w:themeTint="BF"/>
    </w:rPr>
  </w:style>
  <w:style w:type="character" w:customStyle="1" w:styleId="QuoteChar">
    <w:name w:val="Quote Char"/>
    <w:basedOn w:val="DefaultParagraphFont"/>
    <w:link w:val="Quote"/>
    <w:uiPriority w:val="29"/>
    <w:rsid w:val="00EF074E"/>
    <w:rPr>
      <w:i/>
      <w:iCs/>
      <w:color w:val="404040" w:themeColor="text1" w:themeTint="BF"/>
    </w:rPr>
  </w:style>
  <w:style w:type="paragraph" w:styleId="ListParagraph">
    <w:name w:val="List Paragraph"/>
    <w:basedOn w:val="Normal"/>
    <w:uiPriority w:val="34"/>
    <w:qFormat/>
    <w:rsid w:val="00EF074E"/>
    <w:pPr>
      <w:ind w:left="720"/>
      <w:contextualSpacing/>
    </w:pPr>
  </w:style>
  <w:style w:type="character" w:styleId="IntenseEmphasis">
    <w:name w:val="Intense Emphasis"/>
    <w:basedOn w:val="DefaultParagraphFont"/>
    <w:uiPriority w:val="21"/>
    <w:qFormat/>
    <w:rsid w:val="00EF074E"/>
    <w:rPr>
      <w:i/>
      <w:iCs/>
      <w:color w:val="0F4761" w:themeColor="accent1" w:themeShade="BF"/>
    </w:rPr>
  </w:style>
  <w:style w:type="paragraph" w:styleId="IntenseQuote">
    <w:name w:val="Intense Quote"/>
    <w:basedOn w:val="Normal"/>
    <w:next w:val="Normal"/>
    <w:link w:val="IntenseQuoteChar"/>
    <w:uiPriority w:val="30"/>
    <w:qFormat/>
    <w:rsid w:val="00EF0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74E"/>
    <w:rPr>
      <w:i/>
      <w:iCs/>
      <w:color w:val="0F4761" w:themeColor="accent1" w:themeShade="BF"/>
    </w:rPr>
  </w:style>
  <w:style w:type="character" w:styleId="IntenseReference">
    <w:name w:val="Intense Reference"/>
    <w:basedOn w:val="DefaultParagraphFont"/>
    <w:uiPriority w:val="32"/>
    <w:qFormat/>
    <w:rsid w:val="00EF074E"/>
    <w:rPr>
      <w:b/>
      <w:bCs/>
      <w:smallCaps/>
      <w:color w:val="0F4761" w:themeColor="accent1" w:themeShade="BF"/>
      <w:spacing w:val="5"/>
    </w:rPr>
  </w:style>
  <w:style w:type="table" w:styleId="TableGrid">
    <w:name w:val="Table Grid"/>
    <w:basedOn w:val="TableNormal"/>
    <w:uiPriority w:val="39"/>
    <w:rsid w:val="00EF0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7F15"/>
    <w:rPr>
      <w:color w:val="467886" w:themeColor="hyperlink"/>
      <w:u w:val="single"/>
    </w:rPr>
  </w:style>
  <w:style w:type="character" w:styleId="Strong">
    <w:name w:val="Strong"/>
    <w:basedOn w:val="DefaultParagraphFont"/>
    <w:uiPriority w:val="22"/>
    <w:qFormat/>
    <w:rsid w:val="00294DDF"/>
    <w:rPr>
      <w:b/>
      <w:bCs/>
    </w:rPr>
  </w:style>
  <w:style w:type="paragraph" w:styleId="NormalWeb">
    <w:name w:val="Normal (Web)"/>
    <w:basedOn w:val="Normal"/>
    <w:uiPriority w:val="99"/>
    <w:unhideWhenUsed/>
    <w:rsid w:val="00A94D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ibliography">
    <w:name w:val="Bibliography"/>
    <w:basedOn w:val="Normal"/>
    <w:next w:val="Normal"/>
    <w:uiPriority w:val="37"/>
    <w:unhideWhenUsed/>
    <w:rsid w:val="0017225D"/>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9130">
      <w:bodyDiv w:val="1"/>
      <w:marLeft w:val="0"/>
      <w:marRight w:val="0"/>
      <w:marTop w:val="0"/>
      <w:marBottom w:val="0"/>
      <w:divBdr>
        <w:top w:val="none" w:sz="0" w:space="0" w:color="auto"/>
        <w:left w:val="none" w:sz="0" w:space="0" w:color="auto"/>
        <w:bottom w:val="none" w:sz="0" w:space="0" w:color="auto"/>
        <w:right w:val="none" w:sz="0" w:space="0" w:color="auto"/>
      </w:divBdr>
    </w:div>
    <w:div w:id="126625962">
      <w:bodyDiv w:val="1"/>
      <w:marLeft w:val="0"/>
      <w:marRight w:val="0"/>
      <w:marTop w:val="0"/>
      <w:marBottom w:val="0"/>
      <w:divBdr>
        <w:top w:val="none" w:sz="0" w:space="0" w:color="auto"/>
        <w:left w:val="none" w:sz="0" w:space="0" w:color="auto"/>
        <w:bottom w:val="none" w:sz="0" w:space="0" w:color="auto"/>
        <w:right w:val="none" w:sz="0" w:space="0" w:color="auto"/>
      </w:divBdr>
    </w:div>
    <w:div w:id="328874137">
      <w:bodyDiv w:val="1"/>
      <w:marLeft w:val="0"/>
      <w:marRight w:val="0"/>
      <w:marTop w:val="0"/>
      <w:marBottom w:val="0"/>
      <w:divBdr>
        <w:top w:val="none" w:sz="0" w:space="0" w:color="auto"/>
        <w:left w:val="none" w:sz="0" w:space="0" w:color="auto"/>
        <w:bottom w:val="none" w:sz="0" w:space="0" w:color="auto"/>
        <w:right w:val="none" w:sz="0" w:space="0" w:color="auto"/>
      </w:divBdr>
    </w:div>
    <w:div w:id="638999435">
      <w:bodyDiv w:val="1"/>
      <w:marLeft w:val="0"/>
      <w:marRight w:val="0"/>
      <w:marTop w:val="0"/>
      <w:marBottom w:val="0"/>
      <w:divBdr>
        <w:top w:val="none" w:sz="0" w:space="0" w:color="auto"/>
        <w:left w:val="none" w:sz="0" w:space="0" w:color="auto"/>
        <w:bottom w:val="none" w:sz="0" w:space="0" w:color="auto"/>
        <w:right w:val="none" w:sz="0" w:space="0" w:color="auto"/>
      </w:divBdr>
    </w:div>
    <w:div w:id="203564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hyperlink" Target="https://www.bmj.com/content/385/bmj.q972?utm_source=chatgpt.com" TargetMode="Externa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hyperlink" Target="https://ukhsa-dashboard.data.gov.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hyperlink" Target="https://www.gov.uk/government/publications/measles-epidemiology-202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chart" Target="charts/chart4.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5" Type="http://schemas.openxmlformats.org/officeDocument/2006/relationships/chartUserShapes" Target="../drawings/drawing1.xml"/><Relationship Id="rId4" Type="http://schemas.openxmlformats.org/officeDocument/2006/relationships/oleObject" Target="file:///C:\Users\96655\Documents\Raw%20dtata%20from%20statistical%20book07122024\Number%20of%20cases%20in%20various%20regions%20in%2010%20year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Sheet1!$L$48</c:f>
              <c:strCache>
                <c:ptCount val="1"/>
                <c:pt idx="0">
                  <c:v>Reported cases</c:v>
                </c:pt>
              </c:strCache>
            </c:strRef>
          </c:tx>
          <c:spPr>
            <a:ln w="28575" cap="rnd">
              <a:solidFill>
                <a:schemeClr val="accent1"/>
              </a:solidFill>
              <a:round/>
            </a:ln>
            <a:effectLst/>
          </c:spPr>
          <c:marker>
            <c:symbol val="none"/>
          </c:marker>
          <c:dLbls>
            <c:dLbl>
              <c:idx val="0"/>
              <c:layout>
                <c:manualLayout>
                  <c:x val="-3.7876543209876566E-2"/>
                  <c:y val="-8.29027811638504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B73-40E2-8D12-5AA8C082097B}"/>
                </c:ext>
              </c:extLst>
            </c:dLbl>
            <c:dLbl>
              <c:idx val="1"/>
              <c:layout>
                <c:manualLayout>
                  <c:x val="-3.7876543209876545E-2"/>
                  <c:y val="-8.71558373363410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B73-40E2-8D12-5AA8C082097B}"/>
                </c:ext>
              </c:extLst>
            </c:dLbl>
            <c:dLbl>
              <c:idx val="2"/>
              <c:layout>
                <c:manualLayout>
                  <c:x val="-4.0345679012345682E-2"/>
                  <c:y val="-8.715583733634113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B73-40E2-8D12-5AA8C082097B}"/>
                </c:ext>
              </c:extLst>
            </c:dLbl>
            <c:dLbl>
              <c:idx val="3"/>
              <c:layout>
                <c:manualLayout>
                  <c:x val="-3.7876543209876587E-2"/>
                  <c:y val="-7.864972499135992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B73-40E2-8D12-5AA8C082097B}"/>
                </c:ext>
              </c:extLst>
            </c:dLbl>
            <c:dLbl>
              <c:idx val="4"/>
              <c:layout>
                <c:manualLayout>
                  <c:x val="-4.6395061728395061E-2"/>
                  <c:y val="-7.01436126463788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B73-40E2-8D12-5AA8C082097B}"/>
                </c:ext>
              </c:extLst>
            </c:dLbl>
            <c:dLbl>
              <c:idx val="5"/>
              <c:layout>
                <c:manualLayout>
                  <c:x val="-4.6395061728395061E-2"/>
                  <c:y val="-7.439666881886937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B73-40E2-8D12-5AA8C082097B}"/>
                </c:ext>
              </c:extLst>
            </c:dLbl>
            <c:dLbl>
              <c:idx val="6"/>
              <c:layout>
                <c:manualLayout>
                  <c:x val="-3.2246913580246915E-2"/>
                  <c:y val="-7.86497249913600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B73-40E2-8D12-5AA8C082097B}"/>
                </c:ext>
              </c:extLst>
            </c:dLbl>
            <c:dLbl>
              <c:idx val="7"/>
              <c:layout>
                <c:manualLayout>
                  <c:x val="-4.2814814814814993E-2"/>
                  <c:y val="-7.86497249913600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B73-40E2-8D12-5AA8C082097B}"/>
                </c:ext>
              </c:extLst>
            </c:dLbl>
            <c:dLbl>
              <c:idx val="8"/>
              <c:layout>
                <c:manualLayout>
                  <c:x val="-5.5160493827160581E-2"/>
                  <c:y val="-9.99155996610589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B73-40E2-8D12-5AA8C082097B}"/>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2">
                          <a:lumMod val="50000"/>
                          <a:lumOff val="50000"/>
                        </a:schemeClr>
                      </a:solidFill>
                      <a:round/>
                    </a:ln>
                    <a:effectLst/>
                  </c:spPr>
                </c15:leaderLines>
              </c:ext>
            </c:extLst>
          </c:dLbls>
          <c:cat>
            <c:numRef>
              <c:f>Sheet1!$M$47:$V$47</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cat>
          <c:val>
            <c:numRef>
              <c:f>Sheet1!$M$48:$V$48</c:f>
              <c:numCache>
                <c:formatCode>General</c:formatCode>
                <c:ptCount val="10"/>
                <c:pt idx="0">
                  <c:v>154</c:v>
                </c:pt>
                <c:pt idx="1">
                  <c:v>219</c:v>
                </c:pt>
                <c:pt idx="2">
                  <c:v>125</c:v>
                </c:pt>
                <c:pt idx="3">
                  <c:v>457</c:v>
                </c:pt>
                <c:pt idx="4" formatCode="#,##0">
                  <c:v>1156</c:v>
                </c:pt>
                <c:pt idx="5" formatCode="#,##0">
                  <c:v>1024</c:v>
                </c:pt>
                <c:pt idx="6">
                  <c:v>34</c:v>
                </c:pt>
                <c:pt idx="7">
                  <c:v>327</c:v>
                </c:pt>
                <c:pt idx="8">
                  <c:v>247</c:v>
                </c:pt>
                <c:pt idx="9" formatCode="#,##0">
                  <c:v>2254</c:v>
                </c:pt>
              </c:numCache>
            </c:numRef>
          </c:val>
          <c:smooth val="0"/>
          <c:extLst>
            <c:ext xmlns:c16="http://schemas.microsoft.com/office/drawing/2014/chart" uri="{C3380CC4-5D6E-409C-BE32-E72D297353CC}">
              <c16:uniqueId val="{00000009-1B73-40E2-8D12-5AA8C082097B}"/>
            </c:ext>
          </c:extLst>
        </c:ser>
        <c:dLbls>
          <c:dLblPos val="t"/>
          <c:showLegendKey val="0"/>
          <c:showVal val="1"/>
          <c:showCatName val="0"/>
          <c:showSerName val="0"/>
          <c:showPercent val="0"/>
          <c:showBubbleSize val="0"/>
        </c:dLbls>
        <c:smooth val="0"/>
        <c:axId val="971409216"/>
        <c:axId val="849471728"/>
      </c:lineChart>
      <c:catAx>
        <c:axId val="971409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849471728"/>
        <c:crosses val="autoZero"/>
        <c:auto val="1"/>
        <c:lblAlgn val="ctr"/>
        <c:lblOffset val="100"/>
        <c:noMultiLvlLbl val="0"/>
      </c:catAx>
      <c:valAx>
        <c:axId val="8494717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Cases of measles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14092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baseline="0">
                <a:solidFill>
                  <a:srgbClr val="0E2841"/>
                </a:solidFill>
                <a:latin typeface="+mn-lt"/>
                <a:ea typeface="+mn-ea"/>
                <a:cs typeface="+mn-cs"/>
              </a:defRPr>
            </a:pPr>
            <a:r>
              <a:rPr lang="en-US" sz="1200">
                <a:effectLst/>
              </a:rPr>
              <a:t>Figure 1b: Crude Incidence Rate (CIR) of Measles Cases Over 10 Years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baseline="0">
              <a:solidFill>
                <a:srgbClr val="0E2841"/>
              </a:solidFill>
              <a:latin typeface="+mn-lt"/>
              <a:ea typeface="+mn-ea"/>
              <a:cs typeface="+mn-cs"/>
            </a:defRPr>
          </a:pPr>
          <a:endParaRPr lang="en-US"/>
        </a:p>
      </c:txPr>
    </c:title>
    <c:autoTitleDeleted val="0"/>
    <c:plotArea>
      <c:layout>
        <c:manualLayout>
          <c:layoutTarget val="inner"/>
          <c:xMode val="edge"/>
          <c:yMode val="edge"/>
          <c:x val="8.4358756626009987E-2"/>
          <c:y val="0.19486113505884758"/>
          <c:w val="0.84299178948785247"/>
          <c:h val="0.66298294880972042"/>
        </c:manualLayout>
      </c:layout>
      <c:lineChart>
        <c:grouping val="standard"/>
        <c:varyColors val="0"/>
        <c:ser>
          <c:idx val="0"/>
          <c:order val="0"/>
          <c:spPr>
            <a:ln w="31750" cap="rnd">
              <a:solidFill>
                <a:schemeClr val="accent1"/>
              </a:solidFill>
              <a:round/>
            </a:ln>
            <a:effectLst/>
          </c:spPr>
          <c:marker>
            <c:symbol val="none"/>
          </c:marker>
          <c:dLbls>
            <c:dLbl>
              <c:idx val="0"/>
              <c:layout>
                <c:manualLayout>
                  <c:x val="-3.4883252818035428E-2"/>
                  <c:y val="-8.824771029495438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7FF-4588-857E-9DA7B04567B4}"/>
                </c:ext>
              </c:extLst>
            </c:dLbl>
            <c:dLbl>
              <c:idx val="1"/>
              <c:layout>
                <c:manualLayout>
                  <c:x val="-3.6896135265700486E-2"/>
                  <c:y val="-7.659269863994273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7FF-4588-857E-9DA7B04567B4}"/>
                </c:ext>
              </c:extLst>
            </c:dLbl>
            <c:dLbl>
              <c:idx val="2"/>
              <c:layout>
                <c:manualLayout>
                  <c:x val="-3.1285265066504406E-2"/>
                  <c:y val="-7.659269863994273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7FF-4588-857E-9DA7B04567B4}"/>
                </c:ext>
              </c:extLst>
            </c:dLbl>
            <c:dLbl>
              <c:idx val="3"/>
              <c:layout>
                <c:manualLayout>
                  <c:x val="-6.5305555555555561E-2"/>
                  <c:y val="-8.561351706036744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7FF-4588-857E-9DA7B04567B4}"/>
                </c:ext>
              </c:extLst>
            </c:dLbl>
            <c:dLbl>
              <c:idx val="4"/>
              <c:layout>
                <c:manualLayout>
                  <c:x val="-3.8909017713365537E-2"/>
                  <c:y val="-6.105268309992726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7FF-4588-857E-9DA7B04567B4}"/>
                </c:ext>
              </c:extLst>
            </c:dLbl>
            <c:dLbl>
              <c:idx val="5"/>
              <c:layout>
                <c:manualLayout>
                  <c:x val="-3.6896135265700555E-2"/>
                  <c:y val="-6.88226908699349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7FF-4588-857E-9DA7B04567B4}"/>
                </c:ext>
              </c:extLst>
            </c:dLbl>
            <c:dLbl>
              <c:idx val="6"/>
              <c:layout>
                <c:manualLayout>
                  <c:x val="-0.10697222222222233"/>
                  <c:y val="-3.9317220764071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7FF-4588-857E-9DA7B04567B4}"/>
                </c:ext>
              </c:extLst>
            </c:dLbl>
            <c:dLbl>
              <c:idx val="7"/>
              <c:layout>
                <c:manualLayout>
                  <c:x val="-4.0921900161030596E-2"/>
                  <c:y val="-6.49376869849310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7FF-4588-857E-9DA7B04567B4}"/>
                </c:ext>
              </c:extLst>
            </c:dLbl>
            <c:dLbl>
              <c:idx val="8"/>
              <c:layout>
                <c:manualLayout>
                  <c:x val="8.1646949928358935E-3"/>
                  <c:y val="-6.9098006105880122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7FF-4588-857E-9DA7B04567B4}"/>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Sheet1!$F$13:$O$13</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cat>
          <c:val>
            <c:numRef>
              <c:f>Sheet1!$F$14:$O$14</c:f>
              <c:numCache>
                <c:formatCode>General</c:formatCode>
                <c:ptCount val="10"/>
                <c:pt idx="0">
                  <c:v>0.54</c:v>
                </c:pt>
                <c:pt idx="1">
                  <c:v>0.73</c:v>
                </c:pt>
                <c:pt idx="2">
                  <c:v>0.4</c:v>
                </c:pt>
                <c:pt idx="3">
                  <c:v>1.48</c:v>
                </c:pt>
                <c:pt idx="4">
                  <c:v>3.83</c:v>
                </c:pt>
                <c:pt idx="5">
                  <c:v>3.41</c:v>
                </c:pt>
                <c:pt idx="6">
                  <c:v>0.11</c:v>
                </c:pt>
                <c:pt idx="7">
                  <c:v>1.06</c:v>
                </c:pt>
                <c:pt idx="8">
                  <c:v>0.77</c:v>
                </c:pt>
                <c:pt idx="9">
                  <c:v>6.69</c:v>
                </c:pt>
              </c:numCache>
            </c:numRef>
          </c:val>
          <c:smooth val="0"/>
          <c:extLst>
            <c:ext xmlns:c16="http://schemas.microsoft.com/office/drawing/2014/chart" uri="{C3380CC4-5D6E-409C-BE32-E72D297353CC}">
              <c16:uniqueId val="{00000009-97FF-4588-857E-9DA7B04567B4}"/>
            </c:ext>
          </c:extLst>
        </c:ser>
        <c:dLbls>
          <c:showLegendKey val="0"/>
          <c:showVal val="0"/>
          <c:showCatName val="0"/>
          <c:showSerName val="0"/>
          <c:showPercent val="0"/>
          <c:showBubbleSize val="0"/>
        </c:dLbls>
        <c:smooth val="0"/>
        <c:axId val="962312144"/>
        <c:axId val="962315024"/>
      </c:lineChart>
      <c:catAx>
        <c:axId val="96231214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Years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2"/>
                </a:solidFill>
                <a:latin typeface="+mn-lt"/>
                <a:ea typeface="+mn-ea"/>
                <a:cs typeface="+mn-cs"/>
              </a:defRPr>
            </a:pPr>
            <a:endParaRPr lang="en-US"/>
          </a:p>
        </c:txPr>
        <c:crossAx val="962315024"/>
        <c:crosses val="autoZero"/>
        <c:auto val="1"/>
        <c:lblAlgn val="ctr"/>
        <c:lblOffset val="100"/>
        <c:noMultiLvlLbl val="0"/>
      </c:catAx>
      <c:valAx>
        <c:axId val="962315024"/>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AxiCrude Incidence Rate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2"/>
                </a:solidFill>
                <a:latin typeface="+mn-lt"/>
                <a:ea typeface="+mn-ea"/>
                <a:cs typeface="+mn-cs"/>
              </a:defRPr>
            </a:pPr>
            <a:endParaRPr lang="en-US"/>
          </a:p>
        </c:txPr>
        <c:crossAx val="962312144"/>
        <c:crosses val="autoZero"/>
        <c:crossBetween val="between"/>
      </c:valAx>
      <c:spPr>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a:t>AAIR per 100,000/Year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Sheet1!$H$149</c:f>
              <c:strCache>
                <c:ptCount val="1"/>
                <c:pt idx="0">
                  <c:v>AAIR per 100,000/year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Sheet1!$G$150:$G$154</c:f>
              <c:strCache>
                <c:ptCount val="5"/>
                <c:pt idx="0">
                  <c:v>&lt;1 year</c:v>
                </c:pt>
                <c:pt idx="1">
                  <c:v>1–&lt;5 years</c:v>
                </c:pt>
                <c:pt idx="2">
                  <c:v>5–&lt;15 years</c:v>
                </c:pt>
                <c:pt idx="3">
                  <c:v>15–&lt;45 years</c:v>
                </c:pt>
                <c:pt idx="4">
                  <c:v>≥45 years</c:v>
                </c:pt>
              </c:strCache>
            </c:strRef>
          </c:cat>
          <c:val>
            <c:numRef>
              <c:f>Sheet1!$H$150:$H$154</c:f>
              <c:numCache>
                <c:formatCode>General</c:formatCode>
                <c:ptCount val="5"/>
                <c:pt idx="0">
                  <c:v>31.78</c:v>
                </c:pt>
                <c:pt idx="1">
                  <c:v>10.3</c:v>
                </c:pt>
                <c:pt idx="2">
                  <c:v>2.14</c:v>
                </c:pt>
                <c:pt idx="3">
                  <c:v>0.46</c:v>
                </c:pt>
                <c:pt idx="4">
                  <c:v>0.14000000000000001</c:v>
                </c:pt>
              </c:numCache>
            </c:numRef>
          </c:val>
          <c:extLst>
            <c:ext xmlns:c16="http://schemas.microsoft.com/office/drawing/2014/chart" uri="{C3380CC4-5D6E-409C-BE32-E72D297353CC}">
              <c16:uniqueId val="{00000000-3131-4439-957B-7B1399B16811}"/>
            </c:ext>
          </c:extLst>
        </c:ser>
        <c:dLbls>
          <c:dLblPos val="outEnd"/>
          <c:showLegendKey val="0"/>
          <c:showVal val="1"/>
          <c:showCatName val="0"/>
          <c:showSerName val="0"/>
          <c:showPercent val="0"/>
          <c:showBubbleSize val="0"/>
        </c:dLbls>
        <c:gapWidth val="150"/>
        <c:axId val="2057439456"/>
        <c:axId val="2051432624"/>
      </c:barChart>
      <c:catAx>
        <c:axId val="20574394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Age  in 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051432624"/>
        <c:crosses val="autoZero"/>
        <c:auto val="1"/>
        <c:lblAlgn val="ctr"/>
        <c:lblOffset val="100"/>
        <c:noMultiLvlLbl val="0"/>
      </c:catAx>
      <c:valAx>
        <c:axId val="2051432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Cases / 100,000 population/Year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0574394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b="1">
              <a:solidFill>
                <a:schemeClr val="tx1"/>
              </a:solidFill>
            </a:endParaRPr>
          </a:p>
        </c:rich>
      </c:tx>
      <c:layout>
        <c:manualLayout>
          <c:xMode val="edge"/>
          <c:yMode val="edge"/>
          <c:x val="0.10560889023487446"/>
          <c:y val="1.987413050679032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367094411650524"/>
          <c:y val="0.15860678728461125"/>
          <c:w val="0.85460066420131597"/>
          <c:h val="0.72974652006598617"/>
        </c:manualLayout>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3.0301229854965726E-2"/>
                  <c:y val="-0.10866439142950615"/>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292-4AB4-A6D2-41C092979319}"/>
                </c:ext>
              </c:extLst>
            </c:dLbl>
            <c:dLbl>
              <c:idx val="1"/>
              <c:layout>
                <c:manualLayout>
                  <c:x val="-3.0301229854965708E-2"/>
                  <c:y val="-7.498663858660477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292-4AB4-A6D2-41C092979319}"/>
                </c:ext>
              </c:extLst>
            </c:dLbl>
            <c:dLbl>
              <c:idx val="2"/>
              <c:layout>
                <c:manualLayout>
                  <c:x val="-3.0301229854965708E-2"/>
                  <c:y val="-8.11098663762231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292-4AB4-A6D2-41C092979319}"/>
                </c:ext>
              </c:extLst>
            </c:dLbl>
            <c:dLbl>
              <c:idx val="3"/>
              <c:layout>
                <c:manualLayout>
                  <c:x val="-3.0301229854965708E-2"/>
                  <c:y val="-7.804825248141397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292-4AB4-A6D2-41C092979319}"/>
                </c:ext>
              </c:extLst>
            </c:dLbl>
            <c:dLbl>
              <c:idx val="4"/>
              <c:layout>
                <c:manualLayout>
                  <c:x val="-3.0301229854965781E-2"/>
                  <c:y val="-8.417148027103238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292-4AB4-A6D2-41C092979319}"/>
                </c:ext>
              </c:extLst>
            </c:dLbl>
            <c:dLbl>
              <c:idx val="5"/>
              <c:layout>
                <c:manualLayout>
                  <c:x val="-3.0301229854965708E-2"/>
                  <c:y val="-7.49866385866048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292-4AB4-A6D2-41C092979319}"/>
                </c:ext>
              </c:extLst>
            </c:dLbl>
            <c:dLbl>
              <c:idx val="6"/>
              <c:layout>
                <c:manualLayout>
                  <c:x val="-3.0301229854965708E-2"/>
                  <c:y val="-8.417148027103238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292-4AB4-A6D2-41C092979319}"/>
                </c:ext>
              </c:extLst>
            </c:dLbl>
            <c:dLbl>
              <c:idx val="7"/>
              <c:layout>
                <c:manualLayout>
                  <c:x val="-3.0301229854965851E-2"/>
                  <c:y val="-9.64179358502692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292-4AB4-A6D2-41C092979319}"/>
                </c:ext>
              </c:extLst>
            </c:dLbl>
            <c:dLbl>
              <c:idx val="8"/>
              <c:layout>
                <c:manualLayout>
                  <c:x val="-3.0301229854965708E-2"/>
                  <c:y val="-0.10560277753469688"/>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292-4AB4-A6D2-41C092979319}"/>
                </c:ext>
              </c:extLst>
            </c:dLbl>
            <c:dLbl>
              <c:idx val="9"/>
              <c:layout>
                <c:manualLayout>
                  <c:x val="-2.8325921520222182E-2"/>
                  <c:y val="-8.723309416584171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6292-4AB4-A6D2-41C092979319}"/>
                </c:ext>
              </c:extLst>
            </c:dLbl>
            <c:dLbl>
              <c:idx val="10"/>
              <c:layout>
                <c:manualLayout>
                  <c:x val="-3.0301229854965708E-2"/>
                  <c:y val="-8.11098663762231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6292-4AB4-A6D2-41C092979319}"/>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Sheet1!$A$71:$K$71</c:f>
              <c:strCache>
                <c:ptCount val="11"/>
                <c:pt idx="0">
                  <c:v>Jan</c:v>
                </c:pt>
                <c:pt idx="1">
                  <c:v>Feb.</c:v>
                </c:pt>
                <c:pt idx="2">
                  <c:v>Mar.</c:v>
                </c:pt>
                <c:pt idx="3">
                  <c:v>Apr.</c:v>
                </c:pt>
                <c:pt idx="4">
                  <c:v>May</c:v>
                </c:pt>
                <c:pt idx="5">
                  <c:v>June</c:v>
                </c:pt>
                <c:pt idx="6">
                  <c:v>July</c:v>
                </c:pt>
                <c:pt idx="7">
                  <c:v>Aug.</c:v>
                </c:pt>
                <c:pt idx="8">
                  <c:v>Sep.</c:v>
                </c:pt>
                <c:pt idx="9">
                  <c:v>Oct.</c:v>
                </c:pt>
                <c:pt idx="10">
                  <c:v>Nov.</c:v>
                </c:pt>
              </c:strCache>
            </c:strRef>
          </c:cat>
          <c:val>
            <c:numRef>
              <c:f>Sheet1!$A$72:$K$72</c:f>
              <c:numCache>
                <c:formatCode>General</c:formatCode>
                <c:ptCount val="11"/>
                <c:pt idx="0">
                  <c:v>621</c:v>
                </c:pt>
                <c:pt idx="1">
                  <c:v>821</c:v>
                </c:pt>
                <c:pt idx="2">
                  <c:v>830</c:v>
                </c:pt>
                <c:pt idx="3">
                  <c:v>758</c:v>
                </c:pt>
                <c:pt idx="4">
                  <c:v>668</c:v>
                </c:pt>
                <c:pt idx="5">
                  <c:v>453</c:v>
                </c:pt>
                <c:pt idx="6">
                  <c:v>347</c:v>
                </c:pt>
                <c:pt idx="7">
                  <c:v>297</c:v>
                </c:pt>
                <c:pt idx="8">
                  <c:v>287</c:v>
                </c:pt>
                <c:pt idx="9">
                  <c:v>326</c:v>
                </c:pt>
                <c:pt idx="10">
                  <c:v>312</c:v>
                </c:pt>
              </c:numCache>
            </c:numRef>
          </c:val>
          <c:smooth val="0"/>
          <c:extLst>
            <c:ext xmlns:c16="http://schemas.microsoft.com/office/drawing/2014/chart" uri="{C3380CC4-5D6E-409C-BE32-E72D297353CC}">
              <c16:uniqueId val="{0000000B-6292-4AB4-A6D2-41C092979319}"/>
            </c:ext>
          </c:extLst>
        </c:ser>
        <c:dLbls>
          <c:dLblPos val="t"/>
          <c:showLegendKey val="0"/>
          <c:showVal val="1"/>
          <c:showCatName val="0"/>
          <c:showSerName val="0"/>
          <c:showPercent val="0"/>
          <c:showBubbleSize val="0"/>
        </c:dLbls>
        <c:marker val="1"/>
        <c:smooth val="0"/>
        <c:axId val="357793584"/>
        <c:axId val="357788304"/>
      </c:lineChart>
      <c:catAx>
        <c:axId val="3577935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solidFill>
                      <a:schemeClr val="tx1"/>
                    </a:solidFill>
                  </a:rPr>
                  <a:t>Month</a:t>
                </a:r>
                <a:r>
                  <a:rPr lang="en-US" sz="1200" b="1" baseline="0">
                    <a:solidFill>
                      <a:schemeClr val="tx1"/>
                    </a:solidFill>
                  </a:rPr>
                  <a:t> of the year</a:t>
                </a:r>
                <a:endParaRPr lang="en-US" sz="1200" b="1">
                  <a:solidFill>
                    <a:schemeClr val="tx1"/>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solidFill>
                <a:latin typeface="+mn-lt"/>
                <a:ea typeface="+mn-ea"/>
                <a:cs typeface="+mn-cs"/>
              </a:defRPr>
            </a:pPr>
            <a:endParaRPr lang="en-US"/>
          </a:p>
        </c:txPr>
        <c:crossAx val="357788304"/>
        <c:crosses val="autoZero"/>
        <c:auto val="1"/>
        <c:lblAlgn val="ctr"/>
        <c:lblOffset val="100"/>
        <c:noMultiLvlLbl val="0"/>
      </c:catAx>
      <c:valAx>
        <c:axId val="3577883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solidFill>
                      <a:schemeClr val="tx1"/>
                    </a:solidFill>
                  </a:rPr>
                  <a:t>Number of measles cases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mn-lt"/>
                <a:ea typeface="+mn-ea"/>
                <a:cs typeface="+mn-cs"/>
              </a:defRPr>
            </a:pPr>
            <a:endParaRPr lang="en-US"/>
          </a:p>
        </c:txPr>
        <c:crossAx val="3577935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0.02737</cdr:x>
      <cdr:y>0.03658</cdr:y>
    </cdr:from>
    <cdr:to>
      <cdr:x>0.96555</cdr:x>
      <cdr:y>0.13753</cdr:y>
    </cdr:to>
    <cdr:sp macro="" textlink="">
      <cdr:nvSpPr>
        <cdr:cNvPr id="6" name="Text Box 5"/>
        <cdr:cNvSpPr txBox="1"/>
      </cdr:nvSpPr>
      <cdr:spPr>
        <a:xfrm xmlns:a="http://schemas.openxmlformats.org/drawingml/2006/main">
          <a:off x="162685" y="140245"/>
          <a:ext cx="5576157" cy="387078"/>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kern="12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Gastm</b:Tag>
    <b:SourceType>Book</b:SourceType>
    <b:Guid>{E55253FC-E8B7-4331-9EC3-36BCC00AFF21}</b:Guid>
    <b:Author>
      <b:Author>
        <b:NameList>
          <b:Person>
            <b:Last>Gastanaduy P</b:Last>
            <b:First>Haber</b:First>
            <b:Middle>P, Rota PA, Patel M.</b:Middle>
          </b:Person>
        </b:NameList>
      </b:Author>
    </b:Author>
    <b:Title> Epidemiology and Prevention of Vaccine-Preventable Diseases. Chapter 13: Measles. l</b:Title>
    <b:Year>2024;https://www.cdc.gov/pinkbook/hcp/table-of-contents/chapter-13-measles.htm</b:Year>
    <b:RefOrder>1</b:RefOrder>
  </b:Source>
</b:Sources>
</file>

<file path=customXml/itemProps1.xml><?xml version="1.0" encoding="utf-8"?>
<ds:datastoreItem xmlns:ds="http://schemas.openxmlformats.org/officeDocument/2006/customXml" ds:itemID="{FB599C49-B601-47B2-A409-01E0CA89B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TotalTime>
  <Pages>14</Pages>
  <Words>8106</Words>
  <Characters>46205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Talal Sallam</dc:creator>
  <cp:keywords/>
  <dc:description/>
  <cp:lastModifiedBy>أ.د. طلال عبدالملك سلام سلام</cp:lastModifiedBy>
  <cp:revision>10</cp:revision>
  <dcterms:created xsi:type="dcterms:W3CDTF">2026-10-10T11:10:00Z</dcterms:created>
  <dcterms:modified xsi:type="dcterms:W3CDTF">2026-10-13T12:07:00Z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id="YE6u5fiM"/&gt;&lt;style id="http://www.zotero.org/styles/nlm-citation-sequence" locale="en-US" hasBibliography="1" bibliographyStyleHasBeenSet="1"/&gt;&lt;prefs&gt;&lt;pref name="fieldType" value="Field"/&gt;&lt;/prefs&gt;</vt:lpwstr>
  </property>
  <property fmtid="{D5CDD505-2E9C-101B-9397-08002B2CF9AE}" pid="3" name="ZOTERO_PREF_2">
    <vt:lpwstr>&lt;/data&gt;</vt:lpwstr>
  </property>
</Properties>
</file>