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color w:val="16263F"/>
          <w:sz w:val="60"/>
        </w:rPr>
        <w:t>VMA GROUP</w:t>
      </w:r>
    </w:p>
    <w:p>
      <w:pPr>
        <w:spacing w:after="40"/>
        <w:jc w:val="center"/>
      </w:pPr>
      <w:r>
        <w:rPr>
          <w:b/>
          <w:i w:val="0"/>
          <w:color w:val="2A5CAA"/>
          <w:sz w:val="40"/>
        </w:rPr>
        <w:t>AI-Accelerated Business Development</w:t>
      </w:r>
    </w:p>
    <w:p>
      <w:pPr>
        <w:spacing w:after="600"/>
        <w:jc w:val="center"/>
      </w:pPr>
      <w:r>
        <w:rPr>
          <w:b w:val="0"/>
          <w:i w:val="0"/>
          <w:color w:val="555A63"/>
          <w:sz w:val="28"/>
        </w:rPr>
        <w:t>What We Have Built: The Live BD Intelligence Platform</w:t>
      </w:r>
    </w:p>
    <w:p>
      <w:pPr>
        <w:spacing w:after="1200"/>
        <w:jc w:val="center"/>
      </w:pPr>
      <w:r>
        <w:rPr>
          <w:b w:val="0"/>
          <w:i/>
          <w:color w:val="555A63"/>
          <w:sz w:val="22"/>
        </w:rPr>
        <w:t>A complete record of every business development capability built, shipped and currently live in production</w:t>
      </w:r>
    </w:p>
    <w:p>
      <w:pPr>
        <w:spacing w:after="40"/>
        <w:jc w:val="center"/>
      </w:pPr>
      <w:r>
        <w:rPr>
          <w:b w:val="0"/>
          <w:i w:val="0"/>
          <w:sz w:val="21"/>
        </w:rPr>
        <w:t>Prepared by Business Development for the Chief Executive</w:t>
      </w:r>
    </w:p>
    <w:p>
      <w:pPr>
        <w:spacing w:after="40"/>
        <w:jc w:val="center"/>
      </w:pPr>
      <w:r>
        <w:rPr>
          <w:b w:val="0"/>
          <w:i w:val="0"/>
          <w:sz w:val="21"/>
        </w:rPr>
        <w:t>June 2026</w:t>
      </w:r>
    </w:p>
    <w:p>
      <w:pPr>
        <w:jc w:val="center"/>
      </w:pPr>
      <w:r>
        <w:rPr>
          <w:b w:val="0"/>
          <w:i/>
          <w:color w:val="555A63"/>
          <w:sz w:val="19"/>
        </w:rPr>
        <w:t>Internal and confidential</w:t>
      </w:r>
    </w:p>
    <w:p>
      <w:r>
        <w:br w:type="page"/>
      </w:r>
    </w:p>
    <w:p>
      <w:pPr>
        <w:pStyle w:val="Heading1"/>
      </w:pPr>
      <w:r>
        <w:t>Contents</w:t>
      </w:r>
    </w:p>
    <w:p>
      <w:pPr>
        <w:spacing w:after="80"/>
      </w:pPr>
      <w:r>
        <w:rPr>
          <w:b w:val="0"/>
          <w:i w:val="0"/>
          <w:sz w:val="22"/>
        </w:rPr>
        <w:t>1.  Executive summary</w:t>
      </w:r>
    </w:p>
    <w:p>
      <w:pPr>
        <w:spacing w:after="80"/>
      </w:pPr>
      <w:r>
        <w:rPr>
          <w:b w:val="0"/>
          <w:i w:val="0"/>
          <w:sz w:val="22"/>
        </w:rPr>
        <w:t>2.  The build at a glance</w:t>
      </w:r>
    </w:p>
    <w:p>
      <w:pPr>
        <w:spacing w:after="80"/>
      </w:pPr>
      <w:r>
        <w:rPr>
          <w:b w:val="0"/>
          <w:i w:val="0"/>
          <w:sz w:val="22"/>
        </w:rPr>
        <w:t>3.  The Morning Brief: a ranked call list in the inbox every working day</w:t>
      </w:r>
    </w:p>
    <w:p>
      <w:pPr>
        <w:spacing w:after="80"/>
      </w:pPr>
      <w:r>
        <w:rPr>
          <w:b w:val="0"/>
          <w:i w:val="0"/>
          <w:sz w:val="22"/>
        </w:rPr>
        <w:t>4.  The live platform: vma-dashboard.onrender.com</w:t>
      </w:r>
    </w:p>
    <w:p>
      <w:pPr>
        <w:spacing w:after="80"/>
      </w:pPr>
      <w:r>
        <w:rPr>
          <w:b w:val="0"/>
          <w:i w:val="0"/>
          <w:sz w:val="22"/>
        </w:rPr>
        <w:t>5.  The signal engine: 40+ business development triggers across 11 families</w:t>
      </w:r>
    </w:p>
    <w:p>
      <w:pPr>
        <w:spacing w:after="80"/>
      </w:pPr>
      <w:r>
        <w:rPr>
          <w:b w:val="0"/>
          <w:i w:val="0"/>
          <w:sz w:val="22"/>
        </w:rPr>
        <w:t xml:space="preserve">      Spotlight: Water Special Administration Regime (SAR) companies</w:t>
      </w:r>
    </w:p>
    <w:p>
      <w:pPr>
        <w:spacing w:after="80"/>
      </w:pPr>
      <w:r>
        <w:rPr>
          <w:b w:val="0"/>
          <w:i w:val="0"/>
          <w:sz w:val="22"/>
        </w:rPr>
        <w:t xml:space="preserve">      Spotlight: Redundancy and layoffs as a first-class BD trigger</w:t>
      </w:r>
    </w:p>
    <w:p>
      <w:pPr>
        <w:spacing w:after="80"/>
      </w:pPr>
      <w:r>
        <w:rPr>
          <w:b w:val="0"/>
          <w:i w:val="0"/>
          <w:sz w:val="22"/>
        </w:rPr>
        <w:t>6.  The down-market engine (Build v2): creating demand where none is advertised</w:t>
      </w:r>
    </w:p>
    <w:p>
      <w:pPr>
        <w:spacing w:after="80"/>
      </w:pPr>
      <w:r>
        <w:rPr>
          <w:b w:val="0"/>
          <w:i w:val="0"/>
          <w:sz w:val="22"/>
        </w:rPr>
        <w:t>7.  Governance (Build v3): an Account Director is never shown noise</w:t>
      </w:r>
    </w:p>
    <w:p>
      <w:pPr>
        <w:spacing w:after="80"/>
      </w:pPr>
      <w:r>
        <w:rPr>
          <w:b w:val="0"/>
          <w:i w:val="0"/>
          <w:sz w:val="22"/>
        </w:rPr>
        <w:t>8.  One-click work products: pitch packs, proposals, briefs and memos</w:t>
      </w:r>
    </w:p>
    <w:p>
      <w:pPr>
        <w:spacing w:after="80"/>
      </w:pPr>
      <w:r>
        <w:rPr>
          <w:b w:val="0"/>
          <w:i w:val="0"/>
          <w:sz w:val="22"/>
        </w:rPr>
        <w:t>9.  Contact intelligence: who do we actually call?</w:t>
      </w:r>
    </w:p>
    <w:p>
      <w:pPr>
        <w:spacing w:after="80"/>
      </w:pPr>
      <w:r>
        <w:rPr>
          <w:b w:val="0"/>
          <w:i w:val="0"/>
          <w:sz w:val="22"/>
        </w:rPr>
        <w:t>10. Engineering quality, reliability and cost</w:t>
      </w:r>
    </w:p>
    <w:p>
      <w:pPr>
        <w:spacing w:after="80"/>
      </w:pPr>
      <w:r>
        <w:rPr>
          <w:b w:val="0"/>
          <w:i w:val="0"/>
          <w:sz w:val="22"/>
        </w:rPr>
        <w:t>11. Guardrails and compliance: what the platform deliberately does not do</w:t>
      </w:r>
    </w:p>
    <w:p>
      <w:pPr>
        <w:spacing w:after="80"/>
      </w:pPr>
      <w:r>
        <w:rPr>
          <w:b w:val="0"/>
          <w:i w:val="0"/>
          <w:sz w:val="22"/>
        </w:rPr>
        <w:t>12. What this adds up to</w:t>
      </w:r>
    </w:p>
    <w:p>
      <w:r>
        <w:br w:type="page"/>
      </w:r>
    </w:p>
    <w:p>
      <w:pPr>
        <w:pStyle w:val="Heading1"/>
      </w:pPr>
      <w:r>
        <w:t>1. Executive summary</w:t>
      </w:r>
    </w:p>
    <w:p>
      <w:r>
        <w:rPr>
          <w:b w:val="0"/>
          <w:i w:val="0"/>
        </w:rPr>
        <w:t>Recruitment business development has always been reactive: a role is advertised, and every agency in the market rings the same hiring manager on the same day. Over the past four weeks we have used AI to build, test and put live a platform that moves VMA Group in front of that moment, detecting the publicly observable events that statistically precede a senior communications or marketing hire by 4 to 26 weeks, and turning them into a governed, ranked, evidence-backed call list before the role is ever advertised.</w:t>
      </w:r>
    </w:p>
    <w:p>
      <w:r>
        <w:rPr>
          <w:b w:val="0"/>
          <w:i w:val="0"/>
        </w:rPr>
        <w:t>Everything described in this document is built, merged and live in the production build today. In summary, the platform now provides:</w:t>
      </w:r>
    </w:p>
    <w:p>
      <w:pPr>
        <w:pStyle w:val="ListBullet"/>
      </w:pPr>
      <w:r>
        <w:rPr>
          <w:b/>
        </w:rPr>
        <w:t xml:space="preserve">A daily Morning Brief. </w:t>
      </w:r>
      <w:r>
        <w:t>Every working day the system scours more than 35 free public sources (Companies House, the LSE regulatory news service, every major UK regulator, procurement portals, job boards, global news, trade press, charity registers, SEC filings and the licensed LinkedIn public surface) and emails Sara Tehrani a ranked top-5 call list with a suggested opening line for each, plus the full signal set beneath. Zero touch: the email arrives, she reads it, she dials.</w:t>
      </w:r>
    </w:p>
    <w:p>
      <w:pPr>
        <w:pStyle w:val="ListBullet"/>
      </w:pPr>
      <w:r>
        <w:rPr>
          <w:b/>
        </w:rPr>
        <w:t xml:space="preserve">A live intelligence dashboard. </w:t>
      </w:r>
      <w:r>
        <w:t>A branded web platform, live at vma-dashboard.onrender.com, serving two desks (Communications and Marketing) with a tiered lead board, lead strength scoring out of 100, a BD calendar of statutory placement windows, and one-click generation of pitch packs, reverse matches and pre-meeting briefs.</w:t>
      </w:r>
    </w:p>
    <w:p>
      <w:pPr>
        <w:pStyle w:val="ListBullet"/>
      </w:pPr>
      <w:r>
        <w:rPr>
          <w:b/>
        </w:rPr>
        <w:t xml:space="preserve">A predictive signal engine. </w:t>
      </w:r>
      <w:r>
        <w:t>More than 40 distinct BD triggers across 11 families, from CEO changes, M&amp;A, activist stakes and profit warnings through to specialist detectors such as the Water Special Administration Regime watch on the 17 regulated water companies, and redundancy programmes detected as immediate interim and change-communications demand.</w:t>
      </w:r>
    </w:p>
    <w:p>
      <w:pPr>
        <w:pStyle w:val="ListBullet"/>
      </w:pPr>
      <w:r>
        <w:rPr>
          <w:b/>
        </w:rPr>
        <w:t xml:space="preserve">A demand-creation toolkit for a quiet market. </w:t>
      </w:r>
      <w:r>
        <w:t>Detectors that find companies whose in-house search is visibly failing, whose hiring freeze has just thawed, or who have suffered a mis-hire, plus spec-marketing and CFO business-case tools that create fees where no role is advertised.</w:t>
      </w:r>
    </w:p>
    <w:p>
      <w:pPr>
        <w:pStyle w:val="ListBullet"/>
      </w:pPr>
      <w:r>
        <w:rPr>
          <w:b/>
        </w:rPr>
        <w:t xml:space="preserve">Hard governance. </w:t>
      </w:r>
      <w:r>
        <w:t>A presentation gate ensures no lead reaches the Account Director without sufficient independent evidence; every company accumulates a permanent dossier; and the system throttles itself if lead quality drops.</w:t>
      </w:r>
    </w:p>
    <w:p>
      <w:r>
        <w:rPr>
          <w:b w:val="0"/>
          <w:i w:val="0"/>
        </w:rPr>
        <w:t>The headline numbers: 382 merged releases in 28 days, roughly 40,000 lines of tested production code, more than 35 data sources, a 550-company curated watchlist plus full-market scanning, and a running cost of £0 per month for all data and automation. Built conventionally, this is a multi-person engineering team working for the better part of a year. Using AI as the engineering team, it was specified, built, audited and shipped in under a month by one business development employee.</w:t>
      </w:r>
    </w:p>
    <w:p>
      <w:r>
        <w:br w:type="page"/>
      </w:r>
    </w:p>
    <w:p>
      <w:pPr>
        <w:pStyle w:val="Heading1"/>
      </w:pPr>
      <w:r>
        <w:t>2. The build at a glance</w:t>
      </w:r>
    </w:p>
    <w:tbl>
      <w:tblPr>
        <w:tblStyle w:val="TableGrid"/>
        <w:tblW w:type="auto" w:w="0"/>
        <w:jc w:val="center"/>
        <w:tblLook w:firstColumn="1" w:firstRow="1" w:lastColumn="0" w:lastRow="0" w:noHBand="0" w:noVBand="1" w:val="04A0"/>
      </w:tblPr>
      <w:tblGrid>
        <w:gridCol w:w="4706"/>
        <w:gridCol w:w="4706"/>
      </w:tblGrid>
      <w:tr>
        <w:tc>
          <w:tcPr>
            <w:tcW w:type="dxa" w:w="3402"/>
            <w:shd w:val="clear" w:fill="16263F"/>
          </w:tcPr>
          <w:p>
            <w:r/>
            <w:r>
              <w:rPr>
                <w:b/>
                <w:color w:val="FFFFFF"/>
                <w:sz w:val="19"/>
              </w:rPr>
              <w:t>Measure</w:t>
            </w:r>
          </w:p>
        </w:tc>
        <w:tc>
          <w:tcPr>
            <w:tcW w:type="dxa" w:w="6009"/>
            <w:shd w:val="clear" w:fill="16263F"/>
          </w:tcPr>
          <w:p>
            <w:r/>
            <w:r>
              <w:rPr>
                <w:b/>
                <w:color w:val="FFFFFF"/>
                <w:sz w:val="19"/>
              </w:rPr>
              <w:t>Value</w:t>
            </w:r>
          </w:p>
        </w:tc>
      </w:tr>
      <w:tr>
        <w:tc>
          <w:tcPr>
            <w:tcW w:type="dxa" w:w="3402"/>
          </w:tcPr>
          <w:p>
            <w:r/>
            <w:r>
              <w:rPr>
                <w:sz w:val="19"/>
              </w:rPr>
              <w:t>Build period</w:t>
            </w:r>
          </w:p>
        </w:tc>
        <w:tc>
          <w:tcPr>
            <w:tcW w:type="dxa" w:w="6009"/>
          </w:tcPr>
          <w:p>
            <w:r/>
            <w:r>
              <w:rPr>
                <w:sz w:val="19"/>
              </w:rPr>
              <w:t>12 May to 9 June 2026 (28 days)</w:t>
            </w:r>
          </w:p>
        </w:tc>
      </w:tr>
      <w:tr>
        <w:tc>
          <w:tcPr>
            <w:tcW w:type="dxa" w:w="3402"/>
          </w:tcPr>
          <w:p>
            <w:r/>
            <w:r>
              <w:rPr>
                <w:sz w:val="19"/>
              </w:rPr>
              <w:t>Releases shipped to the live build</w:t>
            </w:r>
          </w:p>
        </w:tc>
        <w:tc>
          <w:tcPr>
            <w:tcW w:type="dxa" w:w="6009"/>
          </w:tcPr>
          <w:p>
            <w:r/>
            <w:r>
              <w:rPr>
                <w:sz w:val="19"/>
              </w:rPr>
              <w:t>382 merged pull requests</w:t>
            </w:r>
          </w:p>
        </w:tc>
      </w:tr>
      <w:tr>
        <w:tc>
          <w:tcPr>
            <w:tcW w:type="dxa" w:w="3402"/>
          </w:tcPr>
          <w:p>
            <w:r/>
            <w:r>
              <w:rPr>
                <w:sz w:val="19"/>
              </w:rPr>
              <w:t>Production code</w:t>
            </w:r>
          </w:p>
        </w:tc>
        <w:tc>
          <w:tcPr>
            <w:tcW w:type="dxa" w:w="6009"/>
          </w:tcPr>
          <w:p>
            <w:r/>
            <w:r>
              <w:rPr>
                <w:sz w:val="19"/>
              </w:rPr>
              <w:t>~40,000 lines of Python (incl. ~3,500 lines of automated tests, 19 test suites)</w:t>
            </w:r>
          </w:p>
        </w:tc>
      </w:tr>
      <w:tr>
        <w:tc>
          <w:tcPr>
            <w:tcW w:type="dxa" w:w="3402"/>
          </w:tcPr>
          <w:p>
            <w:r/>
            <w:r>
              <w:rPr>
                <w:sz w:val="19"/>
              </w:rPr>
              <w:t>BD trigger types detected</w:t>
            </w:r>
          </w:p>
        </w:tc>
        <w:tc>
          <w:tcPr>
            <w:tcW w:type="dxa" w:w="6009"/>
          </w:tcPr>
          <w:p>
            <w:r/>
            <w:r>
              <w:rPr>
                <w:sz w:val="19"/>
              </w:rPr>
              <w:t>40+ across 11 signal families</w:t>
            </w:r>
          </w:p>
        </w:tc>
      </w:tr>
      <w:tr>
        <w:tc>
          <w:tcPr>
            <w:tcW w:type="dxa" w:w="3402"/>
          </w:tcPr>
          <w:p>
            <w:r/>
            <w:r>
              <w:rPr>
                <w:sz w:val="19"/>
              </w:rPr>
              <w:t>Public data sources scoured daily</w:t>
            </w:r>
          </w:p>
        </w:tc>
        <w:tc>
          <w:tcPr>
            <w:tcW w:type="dxa" w:w="6009"/>
          </w:tcPr>
          <w:p>
            <w:r/>
            <w:r>
              <w:rPr>
                <w:sz w:val="19"/>
              </w:rPr>
              <w:t>35+ (all free or free-tier licensed)</w:t>
            </w:r>
          </w:p>
        </w:tc>
      </w:tr>
      <w:tr>
        <w:tc>
          <w:tcPr>
            <w:tcW w:type="dxa" w:w="3402"/>
          </w:tcPr>
          <w:p>
            <w:r/>
            <w:r>
              <w:rPr>
                <w:sz w:val="19"/>
              </w:rPr>
              <w:t>Curated account watchlist</w:t>
            </w:r>
          </w:p>
        </w:tc>
        <w:tc>
          <w:tcPr>
            <w:tcW w:type="dxa" w:w="6009"/>
          </w:tcPr>
          <w:p>
            <w:r/>
            <w:r>
              <w:rPr>
                <w:sz w:val="19"/>
              </w:rPr>
              <w:t>~550 UK companies (FTSE-listed and mid-cap), plus broader-market scanning</w:t>
            </w:r>
          </w:p>
        </w:tc>
      </w:tr>
      <w:tr>
        <w:tc>
          <w:tcPr>
            <w:tcW w:type="dxa" w:w="3402"/>
          </w:tcPr>
          <w:p>
            <w:r/>
            <w:r>
              <w:rPr>
                <w:sz w:val="19"/>
              </w:rPr>
              <w:t>Desks served</w:t>
            </w:r>
          </w:p>
        </w:tc>
        <w:tc>
          <w:tcPr>
            <w:tcW w:type="dxa" w:w="6009"/>
          </w:tcPr>
          <w:p>
            <w:r/>
            <w:r>
              <w:rPr>
                <w:sz w:val="19"/>
              </w:rPr>
              <w:t>Communications (fully live) and Marketing (dashboard live; daily email deliberately held back while the format is proven on the Communications desk)</w:t>
            </w:r>
          </w:p>
        </w:tc>
      </w:tr>
      <w:tr>
        <w:tc>
          <w:tcPr>
            <w:tcW w:type="dxa" w:w="3402"/>
          </w:tcPr>
          <w:p>
            <w:r/>
            <w:r>
              <w:rPr>
                <w:sz w:val="19"/>
              </w:rPr>
              <w:t>Daily output</w:t>
            </w:r>
          </w:p>
        </w:tc>
        <w:tc>
          <w:tcPr>
            <w:tcW w:type="dxa" w:w="6009"/>
          </w:tcPr>
          <w:p>
            <w:r/>
            <w:r>
              <w:rPr>
                <w:sz w:val="19"/>
              </w:rPr>
              <w:t>Ranked top-5 call list emailed every working day; live dashboard refreshed nightly per desk</w:t>
            </w:r>
          </w:p>
        </w:tc>
      </w:tr>
      <w:tr>
        <w:tc>
          <w:tcPr>
            <w:tcW w:type="dxa" w:w="3402"/>
          </w:tcPr>
          <w:p>
            <w:r/>
            <w:r>
              <w:rPr>
                <w:sz w:val="19"/>
              </w:rPr>
              <w:t>On-demand work products</w:t>
            </w:r>
          </w:p>
        </w:tc>
        <w:tc>
          <w:tcPr>
            <w:tcW w:type="dxa" w:w="6009"/>
          </w:tcPr>
          <w:p>
            <w:r/>
            <w:r>
              <w:rPr>
                <w:sz w:val="19"/>
              </w:rPr>
              <w:t>Pitch Pack, branded Search Proposal PDF, Reverse Match, Pre-Meeting Brief, 14-Day Catch-up Sweep, CFO Memo, MPC spec-memo pack</w:t>
            </w:r>
          </w:p>
        </w:tc>
      </w:tr>
      <w:tr>
        <w:tc>
          <w:tcPr>
            <w:tcW w:type="dxa" w:w="3402"/>
          </w:tcPr>
          <w:p>
            <w:r/>
            <w:r>
              <w:rPr>
                <w:sz w:val="19"/>
              </w:rPr>
              <w:t>Automation workflows</w:t>
            </w:r>
          </w:p>
        </w:tc>
        <w:tc>
          <w:tcPr>
            <w:tcW w:type="dxa" w:w="6009"/>
          </w:tcPr>
          <w:p>
            <w:r/>
            <w:r>
              <w:rPr>
                <w:sz w:val="19"/>
              </w:rPr>
              <w:t>8 scheduled and on-demand GitHub Actions workflows</w:t>
            </w:r>
          </w:p>
        </w:tc>
      </w:tr>
      <w:tr>
        <w:tc>
          <w:tcPr>
            <w:tcW w:type="dxa" w:w="3402"/>
          </w:tcPr>
          <w:p>
            <w:r/>
            <w:r>
              <w:rPr>
                <w:sz w:val="19"/>
              </w:rPr>
              <w:t>Running cost</w:t>
            </w:r>
          </w:p>
        </w:tc>
        <w:tc>
          <w:tcPr>
            <w:tcW w:type="dxa" w:w="6009"/>
          </w:tcPr>
          <w:p>
            <w:r/>
            <w:r>
              <w:rPr>
                <w:sz w:val="19"/>
              </w:rPr>
              <w:t>£0/month for data and automation; dashboard hosted on a free tier</w:t>
            </w:r>
          </w:p>
        </w:tc>
      </w:tr>
      <w:tr>
        <w:tc>
          <w:tcPr>
            <w:tcW w:type="dxa" w:w="3402"/>
          </w:tcPr>
          <w:p>
            <w:r/>
            <w:r>
              <w:rPr>
                <w:sz w:val="19"/>
              </w:rPr>
              <w:t>Team required to operate</w:t>
            </w:r>
          </w:p>
        </w:tc>
        <w:tc>
          <w:tcPr>
            <w:tcW w:type="dxa" w:w="6009"/>
          </w:tcPr>
          <w:p>
            <w:r/>
            <w:r>
              <w:rPr>
                <w:sz w:val="19"/>
              </w:rPr>
              <w:t>None beyond the Account Director reading the brief; the system is zero-touch</w:t>
            </w:r>
          </w:p>
        </w:tc>
      </w:tr>
    </w:tbl>
    <w:p>
      <w:pPr>
        <w:spacing w:after="40"/>
      </w:pPr>
    </w:p>
    <w:p>
      <w:pPr>
        <w:pStyle w:val="Heading1"/>
      </w:pPr>
      <w:r>
        <w:t>3. The Morning Brief: a ranked call list in the inbox every working day</w:t>
      </w:r>
    </w:p>
    <w:p>
      <w:r>
        <w:rPr>
          <w:b w:val="0"/>
          <w:i w:val="0"/>
        </w:rPr>
        <w:t>The Morning Brief is the daily heartbeat of the platform. Monday to Friday it runs automatically in the cloud, scours every wired source, filters to VMA's role taxonomy and salary floor (£40k+ permanent, £350 to £800/day interim), ranks UK-first, and emails a ranked call list to the Account Director before the working day starts. Monday's brief covers the weekend. If nothing new appears, no email is sent; the brief never pads.</w:t>
      </w:r>
    </w:p>
    <w:p>
      <w:pPr>
        <w:pStyle w:val="Heading2"/>
      </w:pPr>
      <w:r>
        <w:t>What the email contains</w:t>
      </w:r>
    </w:p>
    <w:p>
      <w:pPr>
        <w:pStyle w:val="ListBullet"/>
      </w:pPr>
      <w:r>
        <w:rPr>
          <w:b/>
        </w:rPr>
        <w:t xml:space="preserve">Call These 5 First. </w:t>
      </w:r>
      <w:r>
        <w:t>The five highest-value leads of the day, each with the company, the role or trigger, the source, the date, and a suggested opening angle written for that specific situation.</w:t>
      </w:r>
    </w:p>
    <w:p>
      <w:pPr>
        <w:pStyle w:val="ListBullet"/>
      </w:pPr>
      <w:r>
        <w:rPr>
          <w:b/>
        </w:rPr>
        <w:t xml:space="preserve">The full signal set. </w:t>
      </w:r>
      <w:r>
        <w:t>Everything else detected that day (typically 5 to 40 items) in condensed form with links to the original source.</w:t>
      </w:r>
    </w:p>
    <w:p>
      <w:pPr>
        <w:pStyle w:val="ListBullet"/>
      </w:pPr>
      <w:r>
        <w:rPr>
          <w:b/>
        </w:rPr>
        <w:t xml:space="preserve">Pre-advert predictors. </w:t>
      </w:r>
      <w:r>
        <w:t>Companies where a trigger event predicts a senior hire in a defined forward window, shown with the why-now narrative.</w:t>
      </w:r>
    </w:p>
    <w:p>
      <w:pPr>
        <w:pStyle w:val="ListBullet"/>
      </w:pPr>
      <w:r>
        <w:rPr>
          <w:b/>
        </w:rPr>
        <w:t xml:space="preserve">A source tally. </w:t>
      </w:r>
      <w:r>
        <w:t>An honest count of every source queried that morning, so coverage is always auditable.</w:t>
      </w:r>
    </w:p>
    <w:p>
      <w:pPr>
        <w:pStyle w:val="Heading2"/>
      </w:pPr>
      <w:r>
        <w:t>How leads are ranked</w:t>
      </w:r>
    </w:p>
    <w:p>
      <w:pPr>
        <w:pStyle w:val="ListBullet"/>
      </w:pPr>
      <w:r>
        <w:t>Titles must match the role taxonomy on a word boundary; agency, sales and client-service titles are hard-excluded.</w:t>
      </w:r>
    </w:p>
    <w:p>
      <w:pPr>
        <w:pStyle w:val="ListBullet"/>
      </w:pPr>
      <w:r>
        <w:t>Score = base weight x source-kind multiplier x geography weight (UK x1.0, international x0.6) x freshness x role-strength bonus.</w:t>
      </w:r>
    </w:p>
    <w:p>
      <w:pPr>
        <w:pStyle w:val="ListBullet"/>
      </w:pPr>
      <w:r>
        <w:t>Trade press is kept only when the headline contains a news verb (appoints, departs, restructures); thought-leadership noise is dropped.</w:t>
      </w:r>
    </w:p>
    <w:p>
      <w:pPr>
        <w:pStyle w:val="ListBullet"/>
      </w:pPr>
      <w:r>
        <w:t>Duplicates are removed against a rolling 14-day memory, so the same lead is never presented twice.</w:t>
      </w:r>
    </w:p>
    <w:p>
      <w:pPr>
        <w:pStyle w:val="Heading2"/>
      </w:pPr>
      <w:r>
        <w:t>Sources scoured (all free)</w:t>
      </w:r>
    </w:p>
    <w:tbl>
      <w:tblPr>
        <w:tblStyle w:val="TableGrid"/>
        <w:tblW w:type="auto" w:w="0"/>
        <w:jc w:val="center"/>
        <w:tblLook w:firstColumn="1" w:firstRow="1" w:lastColumn="0" w:lastRow="0" w:noHBand="0" w:noVBand="1" w:val="04A0"/>
      </w:tblPr>
      <w:tblGrid>
        <w:gridCol w:w="4706"/>
        <w:gridCol w:w="4706"/>
      </w:tblGrid>
      <w:tr>
        <w:tc>
          <w:tcPr>
            <w:tcW w:type="dxa" w:w="4876"/>
            <w:shd w:val="clear" w:fill="16263F"/>
          </w:tcPr>
          <w:p>
            <w:r/>
            <w:r>
              <w:rPr>
                <w:b/>
                <w:color w:val="FFFFFF"/>
                <w:sz w:val="19"/>
              </w:rPr>
              <w:t>Source family</w:t>
            </w:r>
          </w:p>
        </w:tc>
        <w:tc>
          <w:tcPr>
            <w:tcW w:type="dxa" w:w="4535"/>
            <w:shd w:val="clear" w:fill="16263F"/>
          </w:tcPr>
          <w:p>
            <w:r/>
            <w:r>
              <w:rPr>
                <w:b/>
                <w:color w:val="FFFFFF"/>
                <w:sz w:val="19"/>
              </w:rPr>
              <w:t>What it contributes</w:t>
            </w:r>
          </w:p>
        </w:tc>
      </w:tr>
      <w:tr>
        <w:tc>
          <w:tcPr>
            <w:tcW w:type="dxa" w:w="4876"/>
          </w:tcPr>
          <w:p>
            <w:r/>
            <w:r>
              <w:rPr>
                <w:sz w:val="19"/>
              </w:rPr>
              <w:t>Companies House (director changes, charges, PSC, filing history, officer tenure)</w:t>
            </w:r>
          </w:p>
        </w:tc>
        <w:tc>
          <w:tcPr>
            <w:tcW w:type="dxa" w:w="4535"/>
          </w:tcPr>
          <w:p>
            <w:r/>
            <w:r>
              <w:rPr>
                <w:sz w:val="19"/>
              </w:rPr>
              <w:t>Private-company leadership changes, ownership changes, secured financing; ~550 watchlist companies polled on a rotating daily cursor</w:t>
            </w:r>
          </w:p>
        </w:tc>
      </w:tr>
      <w:tr>
        <w:tc>
          <w:tcPr>
            <w:tcW w:type="dxa" w:w="4876"/>
          </w:tcPr>
          <w:p>
            <w:r/>
            <w:r>
              <w:rPr>
                <w:sz w:val="19"/>
              </w:rPr>
              <w:t>LSE RNS via Investegate</w:t>
            </w:r>
          </w:p>
        </w:tc>
        <w:tc>
          <w:tcPr>
            <w:tcW w:type="dxa" w:w="4535"/>
          </w:tcPr>
          <w:p>
            <w:r/>
            <w:r>
              <w:rPr>
                <w:sz w:val="19"/>
              </w:rPr>
              <w:t>Regulatory news: leadership changes, M&amp;A, profit warnings, restructures, activist stakes</w:t>
            </w:r>
          </w:p>
        </w:tc>
      </w:tr>
      <w:tr>
        <w:tc>
          <w:tcPr>
            <w:tcW w:type="dxa" w:w="4876"/>
          </w:tcPr>
          <w:p>
            <w:r/>
            <w:r>
              <w:rPr>
                <w:sz w:val="19"/>
              </w:rPr>
              <w:t>UK regulators: FCA, Ofcom, Ofgem, Ofwat, ICO, CMA</w:t>
            </w:r>
          </w:p>
        </w:tc>
        <w:tc>
          <w:tcPr>
            <w:tcW w:type="dxa" w:w="4535"/>
          </w:tcPr>
          <w:p>
            <w:r/>
            <w:r>
              <w:rPr>
                <w:sz w:val="19"/>
              </w:rPr>
              <w:t>Enforcement, fines, probes and sector notices that precede reputation hires</w:t>
            </w:r>
          </w:p>
        </w:tc>
      </w:tr>
      <w:tr>
        <w:tc>
          <w:tcPr>
            <w:tcW w:type="dxa" w:w="4876"/>
          </w:tcPr>
          <w:p>
            <w:r/>
            <w:r>
              <w:rPr>
                <w:sz w:val="19"/>
              </w:rPr>
              <w:t>UK procurement: Find a Tender, Contracts Scotland, Sell2Wales, eTendersNI</w:t>
            </w:r>
          </w:p>
        </w:tc>
        <w:tc>
          <w:tcPr>
            <w:tcW w:type="dxa" w:w="4535"/>
          </w:tcPr>
          <w:p>
            <w:r/>
            <w:r>
              <w:rPr>
                <w:sz w:val="19"/>
              </w:rPr>
              <w:t>Comms RFPs, framework awards and IC-platform procurement</w:t>
            </w:r>
          </w:p>
        </w:tc>
      </w:tr>
      <w:tr>
        <w:tc>
          <w:tcPr>
            <w:tcW w:type="dxa" w:w="4876"/>
          </w:tcPr>
          <w:p>
            <w:r/>
            <w:r>
              <w:rPr>
                <w:sz w:val="19"/>
              </w:rPr>
              <w:t>Charity Commission (England &amp; Wales; OSCR and CCNI wired)</w:t>
            </w:r>
          </w:p>
        </w:tc>
        <w:tc>
          <w:tcPr>
            <w:tcW w:type="dxa" w:w="4535"/>
          </w:tcPr>
          <w:p>
            <w:r/>
            <w:r>
              <w:rPr>
                <w:sz w:val="19"/>
              </w:rPr>
              <w:t>Trustee-board changes in the charity sector</w:t>
            </w:r>
          </w:p>
        </w:tc>
      </w:tr>
      <w:tr>
        <w:tc>
          <w:tcPr>
            <w:tcW w:type="dxa" w:w="4876"/>
          </w:tcPr>
          <w:p>
            <w:r/>
            <w:r>
              <w:rPr>
                <w:sz w:val="19"/>
              </w:rPr>
              <w:t>Job boards: Greenhouse, Lever, Ashby, Workable, Adzuna, LinkedIn public surface, Civil Service Jobs, NHS Jobs, Guardian Jobs, CIPR, PRCA, CharityComms, CharityJob, jobs.ac.uk</w:t>
            </w:r>
          </w:p>
        </w:tc>
        <w:tc>
          <w:tcPr>
            <w:tcW w:type="dxa" w:w="4535"/>
          </w:tcPr>
          <w:p>
            <w:r/>
            <w:r>
              <w:rPr>
                <w:sz w:val="19"/>
              </w:rPr>
              <w:t>Live advertised roles plus the structural job-board signals in Section 5</w:t>
            </w:r>
          </w:p>
        </w:tc>
      </w:tr>
      <w:tr>
        <w:tc>
          <w:tcPr>
            <w:tcW w:type="dxa" w:w="4876"/>
          </w:tcPr>
          <w:p>
            <w:r/>
            <w:r>
              <w:rPr>
                <w:sz w:val="19"/>
              </w:rPr>
              <w:t>Trade press: CorpComms, PRmoment, CIPR Influence, Ragan, Inside Housing, Utility Week, pharmaphorum and sector titles (Marketing Week, The Drum on the marketing desk)</w:t>
            </w:r>
          </w:p>
        </w:tc>
        <w:tc>
          <w:tcPr>
            <w:tcW w:type="dxa" w:w="4535"/>
          </w:tcPr>
          <w:p>
            <w:r/>
            <w:r>
              <w:rPr>
                <w:sz w:val="19"/>
              </w:rPr>
              <w:t>Named senior moves, agency account wins and losses, sector appointments</w:t>
            </w:r>
          </w:p>
        </w:tc>
      </w:tr>
      <w:tr>
        <w:tc>
          <w:tcPr>
            <w:tcW w:type="dxa" w:w="4876"/>
          </w:tcPr>
          <w:p>
            <w:r/>
            <w:r>
              <w:rPr>
                <w:sz w:val="19"/>
              </w:rPr>
              <w:t>GDELT global news graph plus Google News (redundant lane)</w:t>
            </w:r>
          </w:p>
        </w:tc>
        <w:tc>
          <w:tcPr>
            <w:tcW w:type="dxa" w:w="4535"/>
          </w:tcPr>
          <w:p>
            <w:r/>
            <w:r>
              <w:rPr>
                <w:sz w:val="19"/>
              </w:rPr>
              <w:t>Trigger events worldwide with a built-in backup path if one lane rate-limits</w:t>
            </w:r>
          </w:p>
        </w:tc>
      </w:tr>
      <w:tr>
        <w:tc>
          <w:tcPr>
            <w:tcW w:type="dxa" w:w="4876"/>
          </w:tcPr>
          <w:p>
            <w:r/>
            <w:r>
              <w:rPr>
                <w:sz w:val="19"/>
              </w:rPr>
              <w:t>SEC EDGAR 8-K filings</w:t>
            </w:r>
          </w:p>
        </w:tc>
        <w:tc>
          <w:tcPr>
            <w:tcW w:type="dxa" w:w="4535"/>
          </w:tcPr>
          <w:p>
            <w:r/>
            <w:r>
              <w:rPr>
                <w:sz w:val="19"/>
              </w:rPr>
              <w:t>US parent-company events affecting UK subsidiaries</w:t>
            </w:r>
          </w:p>
        </w:tc>
      </w:tr>
      <w:tr>
        <w:tc>
          <w:tcPr>
            <w:tcW w:type="dxa" w:w="4876"/>
          </w:tcPr>
          <w:p>
            <w:r/>
            <w:r>
              <w:rPr>
                <w:sz w:val="19"/>
              </w:rPr>
              <w:t>Wayback Machine page diffing</w:t>
            </w:r>
          </w:p>
        </w:tc>
        <w:tc>
          <w:tcPr>
            <w:tcW w:type="dxa" w:w="4535"/>
          </w:tcPr>
          <w:p>
            <w:r/>
            <w:r>
              <w:rPr>
                <w:sz w:val="19"/>
              </w:rPr>
              <w:t>Leadership and careers pages compared over time, catching departures before they are announced</w:t>
            </w:r>
          </w:p>
        </w:tc>
      </w:tr>
      <w:tr>
        <w:tc>
          <w:tcPr>
            <w:tcW w:type="dxa" w:w="4876"/>
          </w:tcPr>
          <w:p>
            <w:r/>
            <w:r>
              <w:rPr>
                <w:sz w:val="19"/>
              </w:rPr>
              <w:t>Bright Data licensed LinkedIn public surface (free tier)</w:t>
            </w:r>
          </w:p>
        </w:tc>
        <w:tc>
          <w:tcPr>
            <w:tcW w:type="dxa" w:w="4535"/>
          </w:tcPr>
          <w:p>
            <w:r/>
            <w:r>
              <w:rPr>
                <w:sz w:val="19"/>
              </w:rPr>
              <w:t>Public job cards and contact resolution, fully licensed, never touching the AD's own LinkedIn account</w:t>
            </w:r>
          </w:p>
        </w:tc>
      </w:tr>
      <w:tr>
        <w:tc>
          <w:tcPr>
            <w:tcW w:type="dxa" w:w="4876"/>
          </w:tcPr>
          <w:p>
            <w:r/>
            <w:r>
              <w:rPr>
                <w:sz w:val="19"/>
              </w:rPr>
              <w:t>Crunchbase (optional free tier)</w:t>
            </w:r>
          </w:p>
        </w:tc>
        <w:tc>
          <w:tcPr>
            <w:tcW w:type="dxa" w:w="4535"/>
          </w:tcPr>
          <w:p>
            <w:r/>
            <w:r>
              <w:rPr>
                <w:sz w:val="19"/>
              </w:rPr>
              <w:t>Proactive UK funding-round detection ahead of press coverage</w:t>
            </w:r>
          </w:p>
        </w:tc>
      </w:tr>
    </w:tbl>
    <w:p>
      <w:pPr>
        <w:spacing w:after="40"/>
      </w:pPr>
    </w:p>
    <w:p>
      <w:r>
        <w:rPr>
          <w:b w:val="0"/>
          <w:i w:val="0"/>
        </w:rPr>
        <w:t>Beyond the daily run, a 14-Day Catch-up Sweep can be fired on demand (after annual leave, for example) covering any window up to 60 days, and the Marketing desk runs its own nightly brief fifteen minutes after the Communications desk.</w:t>
      </w:r>
    </w:p>
    <w:p>
      <w:r>
        <w:br w:type="page"/>
      </w:r>
    </w:p>
    <w:p>
      <w:pPr>
        <w:pStyle w:val="Heading1"/>
      </w:pPr>
      <w:r>
        <w:t>4. The live platform: vma-dashboard.onrender.com</w:t>
      </w:r>
    </w:p>
    <w:p>
      <w:r>
        <w:rPr>
          <w:b w:val="0"/>
          <w:i w:val="0"/>
        </w:rPr>
        <w:t>The web platform is the working surface of the system. It is live, password-protected, redeploys automatically from every approved release, and is fully responsive down to mobile (including a hamburger navigation for phones).</w:t>
      </w:r>
    </w:p>
    <w:p>
      <w:pPr>
        <w:pStyle w:val="Heading2"/>
      </w:pPr>
      <w:r>
        <w:t>Landing page</w:t>
      </w:r>
    </w:p>
    <w:p>
      <w:r>
        <w:rPr>
          <w:b w:val="0"/>
          <w:i w:val="0"/>
        </w:rPr>
        <w:t>A branded landing page carries the VMA Group identity with a live radar animation: real signal chips from that day's database (job leads in blue, funding in green, leadership events in gold) rotate around the logo. Two launch pills, Communications and Marketing, route the user to their desk; the choice is remembered per browser.</w:t>
      </w:r>
    </w:p>
    <w:p>
      <w:pPr>
        <w:pStyle w:val="Heading2"/>
      </w:pPr>
      <w:r>
        <w:t>Page 1: Market Intelligence Radar</w:t>
      </w:r>
    </w:p>
    <w:p>
      <w:r>
        <w:rPr>
          <w:b w:val="0"/>
          <w:i w:val="0"/>
        </w:rPr>
        <w:t>The default view. Two tabs, BD Leads and Live Jobs, present everything the engine has found, with full triage built in.</w:t>
      </w:r>
    </w:p>
    <w:p>
      <w:pPr>
        <w:pStyle w:val="ListBullet"/>
      </w:pPr>
      <w:r>
        <w:rPr>
          <w:b/>
        </w:rPr>
        <w:t xml:space="preserve">Tiered board (Build v3.1). </w:t>
      </w:r>
      <w:r>
        <w:t>Every BD lead sits in one of four sections: Call-ready (cleared the evidence gate, capped at roughly seven per day), Developing (real triggers still earning corroboration), Early signals (collapsed by default) and Blocked (competing recruiter, administration or hiring freeze; never call). Nothing is hidden; the gate grades rather than gatekeeps.</w:t>
      </w:r>
    </w:p>
    <w:p>
      <w:pPr>
        <w:pStyle w:val="ListBullet"/>
      </w:pPr>
      <w:r>
        <w:rPr>
          <w:b/>
        </w:rPr>
        <w:t xml:space="preserve">Lead Strength score. </w:t>
      </w:r>
      <w:r>
        <w:t>Every lead carries a 0 to 100 score combining buyer fit, signal weight, evidence independence, signal stacking, and timing, with contradictions subtracting. The board sorts by strength, placement window or recency.</w:t>
      </w:r>
    </w:p>
    <w:p>
      <w:pPr>
        <w:pStyle w:val="ListBullet"/>
      </w:pPr>
      <w:r>
        <w:rPr>
          <w:b/>
        </w:rPr>
        <w:t xml:space="preserve">Full dossier per lead. </w:t>
      </w:r>
      <w:r>
        <w:t>Expanding a row reveals calibrated confidence (High or Moderate with the evidence count), the composed why-now narrative across the entire signal stack, the fee-driver chip, 'Why not call-ready' with a recheck date for gated leads, 'What kills this' (the live weakest link), a suggested first move, and a typed-out suggested opener.</w:t>
      </w:r>
    </w:p>
    <w:p>
      <w:pPr>
        <w:pStyle w:val="ListBullet"/>
      </w:pPr>
      <w:r>
        <w:rPr>
          <w:b/>
        </w:rPr>
        <w:t xml:space="preserve">Cross-desk awareness. </w:t>
      </w:r>
      <w:r>
        <w:t>A lead visible to both desks carries an 'Also on Marketing / Comms, liaise with team' pill, so two consultants never collide on the same account.</w:t>
      </w:r>
    </w:p>
    <w:p>
      <w:pPr>
        <w:pStyle w:val="ListBullet"/>
      </w:pPr>
      <w:r>
        <w:rPr>
          <w:b/>
        </w:rPr>
        <w:t xml:space="preserve">Triage that sticks. </w:t>
      </w:r>
      <w:r>
        <w:t>Followed-up, dismissed, undo and remove-entirely actions persist permanently. Remove-entirely writes a tombstone so a company the AD never wants to see again can never be re-listed by a fresh event.</w:t>
      </w:r>
    </w:p>
    <w:p>
      <w:pPr>
        <w:pStyle w:val="ListBullet"/>
      </w:pPr>
      <w:r>
        <w:rPr>
          <w:b/>
        </w:rPr>
        <w:t xml:space="preserve">Live Jobs tab. </w:t>
      </w:r>
      <w:r>
        <w:t>Every advertised role that passed the taxonomy and salary filters, with source and geography badges, a copy-to-clipboard outreach template, and links to the original posting.</w:t>
      </w:r>
    </w:p>
    <w:p>
      <w:pPr>
        <w:pStyle w:val="Heading2"/>
      </w:pPr>
      <w:r>
        <w:t>Page 2: Executive Assistant</w:t>
      </w:r>
    </w:p>
    <w:p>
      <w:r>
        <w:rPr>
          <w:b w:val="0"/>
          <w:i w:val="0"/>
        </w:rPr>
        <w:t>A composer panel that turns the dashboard into a document factory. Three one-click tools dispatch cloud workflows and return the finished report into a Recent Reports panel within minutes:</w:t>
      </w:r>
    </w:p>
    <w:p>
      <w:pPr>
        <w:pStyle w:val="ListBullet"/>
      </w:pPr>
      <w:r>
        <w:rPr>
          <w:b/>
        </w:rPr>
        <w:t xml:space="preserve">Pitch Pack </w:t>
      </w:r>
      <w:r>
        <w:t>(account plus role): the full retained-search business case described in Section 8, anchored to a live lead when fired from a lead card.</w:t>
      </w:r>
    </w:p>
    <w:p>
      <w:pPr>
        <w:pStyle w:val="ListBullet"/>
      </w:pPr>
      <w:r>
        <w:rPr>
          <w:b/>
        </w:rPr>
        <w:t xml:space="preserve">Reverse Match </w:t>
      </w:r>
      <w:r>
        <w:t>(candidate, company, title): one strong candidate turned into 10 to 15 ranked target companies with personalised openers.</w:t>
      </w:r>
    </w:p>
    <w:p>
      <w:pPr>
        <w:pStyle w:val="ListBullet"/>
      </w:pPr>
      <w:r>
        <w:rPr>
          <w:b/>
        </w:rPr>
        <w:t xml:space="preserve">14-Day Catch-up </w:t>
      </w:r>
      <w:r>
        <w:t>(window in days): the on-demand sweep of any missed period.</w:t>
      </w:r>
    </w:p>
    <w:p>
      <w:pPr>
        <w:pStyle w:val="Heading2"/>
      </w:pPr>
      <w:r>
        <w:t>Page 3: BD Calendar</w:t>
      </w:r>
    </w:p>
    <w:p>
      <w:pPr>
        <w:pStyle w:val="ListBullet"/>
      </w:pPr>
      <w:r>
        <w:rPr>
          <w:b/>
        </w:rPr>
        <w:t xml:space="preserve">Placement Windows. </w:t>
      </w:r>
      <w:r>
        <w:t>The statutory and regulatory hiring windows from Section 5 (Consumer Duty, gender pay gap reporting, AGM season, NHS planning and more), each with its in-scope cohort, target seat and commission angle.</w:t>
      </w:r>
    </w:p>
    <w:p>
      <w:pPr>
        <w:pStyle w:val="ListBullet"/>
      </w:pPr>
      <w:r>
        <w:rPr>
          <w:b/>
        </w:rPr>
        <w:t xml:space="preserve">Events and Networking. </w:t>
      </w:r>
      <w:r>
        <w:t>A verified calendar of UK comms industry awards and conferences (CIPR, IoIC, ICCO and others) with the 4 to 8 week pre-event outreach window flagged.</w:t>
      </w:r>
    </w:p>
    <w:p>
      <w:pPr>
        <w:pStyle w:val="ListBullet"/>
      </w:pPr>
      <w:r>
        <w:rPr>
          <w:b/>
        </w:rPr>
        <w:t xml:space="preserve">Framework Eligibility. </w:t>
      </w:r>
      <w:r>
        <w:t>Public-sector framework openings and awards relevant to the desk.</w:t>
      </w:r>
    </w:p>
    <w:p>
      <w:pPr>
        <w:pStyle w:val="Heading2"/>
      </w:pPr>
      <w:r>
        <w:t>Also on the platform</w:t>
      </w:r>
    </w:p>
    <w:p>
      <w:pPr>
        <w:pStyle w:val="ListBullet"/>
      </w:pPr>
      <w:r>
        <w:rPr>
          <w:b/>
        </w:rPr>
        <w:t xml:space="preserve">Hire Watch. </w:t>
      </w:r>
      <w:r>
        <w:t>A people-movement tracker (who joined where, who left where) feeding the vacated-seats lane, with its own triage.</w:t>
      </w:r>
    </w:p>
    <w:p>
      <w:pPr>
        <w:pStyle w:val="ListBullet"/>
      </w:pPr>
      <w:r>
        <w:rPr>
          <w:b/>
        </w:rPr>
        <w:t xml:space="preserve">Candidate watch list. </w:t>
      </w:r>
      <w:r>
        <w:t>Named candidates the desk is tracking, feeding the MPC spec-marketing play.</w:t>
      </w:r>
    </w:p>
    <w:p>
      <w:pPr>
        <w:pStyle w:val="ListBullet"/>
      </w:pPr>
      <w:r>
        <w:rPr>
          <w:b/>
        </w:rPr>
        <w:t xml:space="preserve">Specialist signal rows. </w:t>
      </w:r>
      <w:r>
        <w:t>Dedicated feeds for Water SAR events, public-sector contract-end re-tender windows, and stale competitor mandates (a competitor's aged, unfilled search is itself a BD opening).</w:t>
      </w:r>
    </w:p>
    <w:p>
      <w:pPr>
        <w:pStyle w:val="ListBullet"/>
      </w:pPr>
      <w:r>
        <w:rPr>
          <w:b/>
        </w:rPr>
        <w:t xml:space="preserve">Acceptance meter. </w:t>
      </w:r>
      <w:r>
        <w:t>A live readout of lead acceptance and the gate's daily cap, the basis of the self-throttling described in Section 7.</w:t>
      </w:r>
    </w:p>
    <w:p>
      <w:pPr>
        <w:pStyle w:val="ListBullet"/>
      </w:pPr>
      <w:r>
        <w:rPr>
          <w:b/>
        </w:rPr>
        <w:t xml:space="preserve">Daily Refresh. </w:t>
      </w:r>
      <w:r>
        <w:t>One button pulls the latest overnight brief into the dashboard on demand.</w:t>
      </w:r>
    </w:p>
    <w:p>
      <w:r>
        <w:br w:type="page"/>
      </w:r>
    </w:p>
    <w:p>
      <w:pPr>
        <w:pStyle w:val="Heading1"/>
      </w:pPr>
      <w:r>
        <w:t>5. The signal engine: 40+ BD triggers across 11 families</w:t>
      </w:r>
    </w:p>
    <w:p>
      <w:r>
        <w:rPr>
          <w:b w:val="0"/>
          <w:i w:val="0"/>
        </w:rPr>
        <w:t>This is the core intellectual property of the build: a catalogue of publicly observable events that statistically precede a senior communications or marketing hire within a defined window, each wired to live data and each carrying a business rationale for why it converts to a fee. The Account Director does not call blind; she calls on evidence. The full catalogue follows; the two detectors called out by the business (Water SAR and redundancy) are spotlighted in full.</w:t>
      </w:r>
    </w:p>
    <w:p>
      <w:pPr>
        <w:pStyle w:val="Heading2"/>
      </w:pPr>
      <w:r>
        <w:t>5.1 Leadership and governance changes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494"/>
            <w:shd w:val="clear" w:fill="16263F"/>
          </w:tcPr>
          <w:p>
            <w:r/>
            <w:r>
              <w:rPr>
                <w:b/>
                <w:color w:val="FFFFFF"/>
                <w:sz w:val="19"/>
              </w:rPr>
              <w:t>Trigger</w:t>
            </w:r>
          </w:p>
        </w:tc>
        <w:tc>
          <w:tcPr>
            <w:tcW w:type="dxa" w:w="2608"/>
            <w:shd w:val="clear" w:fill="16263F"/>
          </w:tcPr>
          <w:p>
            <w:r/>
            <w:r>
              <w:rPr>
                <w:b/>
                <w:color w:val="FFFFFF"/>
                <w:sz w:val="19"/>
              </w:rPr>
              <w:t>What it detects</w:t>
            </w:r>
          </w:p>
        </w:tc>
        <w:tc>
          <w:tcPr>
            <w:tcW w:type="dxa" w:w="964"/>
            <w:shd w:val="clear" w:fill="16263F"/>
          </w:tcPr>
          <w:p>
            <w:r/>
            <w:r>
              <w:rPr>
                <w:b/>
                <w:color w:val="FFFFFF"/>
                <w:sz w:val="19"/>
              </w:rPr>
              <w:t>Window</w:t>
            </w:r>
          </w:p>
        </w:tc>
        <w:tc>
          <w:tcPr>
            <w:tcW w:type="dxa" w:w="3345"/>
            <w:shd w:val="clear" w:fill="16263F"/>
          </w:tcPr>
          <w:p>
            <w:r/>
            <w:r>
              <w:rPr>
                <w:b/>
                <w:color w:val="FFFFFF"/>
                <w:sz w:val="19"/>
              </w:rPr>
              <w:t>Why it converts</w:t>
            </w:r>
          </w:p>
        </w:tc>
      </w:tr>
      <w:tr>
        <w:tc>
          <w:tcPr>
            <w:tcW w:type="dxa" w:w="2494"/>
          </w:tcPr>
          <w:p>
            <w:r/>
            <w:r>
              <w:rPr>
                <w:sz w:val="19"/>
              </w:rPr>
              <w:t>Senior comms leader departure (flagship signal, highest weight)</w:t>
            </w:r>
          </w:p>
        </w:tc>
        <w:tc>
          <w:tcPr>
            <w:tcW w:type="dxa" w:w="2608"/>
          </w:tcPr>
          <w:p>
            <w:r/>
            <w:r>
              <w:rPr>
                <w:sz w:val="19"/>
              </w:rPr>
              <w:t>A named CCO / Head of Comms departure in trade press</w:t>
            </w:r>
          </w:p>
        </w:tc>
        <w:tc>
          <w:tcPr>
            <w:tcW w:type="dxa" w:w="964"/>
          </w:tcPr>
          <w:p>
            <w:r/>
            <w:r>
              <w:rPr>
                <w:sz w:val="19"/>
              </w:rPr>
              <w:t>0–12 wks</w:t>
            </w:r>
          </w:p>
        </w:tc>
        <w:tc>
          <w:tcPr>
            <w:tcW w:type="dxa" w:w="3345"/>
          </w:tcPr>
          <w:p>
            <w:r/>
            <w:r>
              <w:rPr>
                <w:sz w:val="19"/>
              </w:rPr>
              <w:t>The seat is open now, often weeks before the ad. The closest thing to advance notice the market offers.</w:t>
            </w:r>
          </w:p>
        </w:tc>
      </w:tr>
      <w:tr>
        <w:tc>
          <w:tcPr>
            <w:tcW w:type="dxa" w:w="2494"/>
          </w:tcPr>
          <w:p>
            <w:r/>
            <w:r>
              <w:rPr>
                <w:sz w:val="19"/>
              </w:rPr>
              <w:t>CEO / MD change</w:t>
            </w:r>
          </w:p>
        </w:tc>
        <w:tc>
          <w:tcPr>
            <w:tcW w:type="dxa" w:w="2608"/>
          </w:tcPr>
          <w:p>
            <w:r/>
            <w:r>
              <w:rPr>
                <w:sz w:val="19"/>
              </w:rPr>
              <w:t>Appointment or departure via RNS, news, Companies House</w:t>
            </w:r>
          </w:p>
        </w:tc>
        <w:tc>
          <w:tcPr>
            <w:tcW w:type="dxa" w:w="964"/>
          </w:tcPr>
          <w:p>
            <w:r/>
            <w:r>
              <w:rPr>
                <w:sz w:val="19"/>
              </w:rPr>
              <w:t>6–12 wks</w:t>
            </w:r>
          </w:p>
        </w:tc>
        <w:tc>
          <w:tcPr>
            <w:tcW w:type="dxa" w:w="3345"/>
          </w:tcPr>
          <w:p>
            <w:r/>
            <w:r>
              <w:rPr>
                <w:sz w:val="19"/>
              </w:rPr>
              <w:t>Incoming CEOs reshape the comms function within six months; early calls influence the brief.</w:t>
            </w:r>
          </w:p>
        </w:tc>
      </w:tr>
      <w:tr>
        <w:tc>
          <w:tcPr>
            <w:tcW w:type="dxa" w:w="2494"/>
          </w:tcPr>
          <w:p>
            <w:r/>
            <w:r>
              <w:rPr>
                <w:sz w:val="19"/>
              </w:rPr>
              <w:t>Chair change</w:t>
            </w:r>
          </w:p>
        </w:tc>
        <w:tc>
          <w:tcPr>
            <w:tcW w:type="dxa" w:w="2608"/>
          </w:tcPr>
          <w:p>
            <w:r/>
            <w:r>
              <w:rPr>
                <w:sz w:val="19"/>
              </w:rPr>
              <w:t>Board chair appointment or departure</w:t>
            </w:r>
          </w:p>
        </w:tc>
        <w:tc>
          <w:tcPr>
            <w:tcW w:type="dxa" w:w="964"/>
          </w:tcPr>
          <w:p>
            <w:r/>
            <w:r>
              <w:rPr>
                <w:sz w:val="19"/>
              </w:rPr>
              <w:t>8–16 wks</w:t>
            </w:r>
          </w:p>
        </w:tc>
        <w:tc>
          <w:tcPr>
            <w:tcW w:type="dxa" w:w="3345"/>
          </w:tcPr>
          <w:p>
            <w:r/>
            <w:r>
              <w:rPr>
                <w:sz w:val="19"/>
              </w:rPr>
              <w:t>New chairs reset governance and shareholder messaging; corporate affairs hires follow.</w:t>
            </w:r>
          </w:p>
        </w:tc>
      </w:tr>
      <w:tr>
        <w:tc>
          <w:tcPr>
            <w:tcW w:type="dxa" w:w="2494"/>
          </w:tcPr>
          <w:p>
            <w:r/>
            <w:r>
              <w:rPr>
                <w:sz w:val="19"/>
              </w:rPr>
              <w:t>CFO change</w:t>
            </w:r>
          </w:p>
        </w:tc>
        <w:tc>
          <w:tcPr>
            <w:tcW w:type="dxa" w:w="2608"/>
          </w:tcPr>
          <w:p>
            <w:r/>
            <w:r>
              <w:rPr>
                <w:sz w:val="19"/>
              </w:rPr>
              <w:t>CFO appointment or departure</w:t>
            </w:r>
          </w:p>
        </w:tc>
        <w:tc>
          <w:tcPr>
            <w:tcW w:type="dxa" w:w="964"/>
          </w:tcPr>
          <w:p>
            <w:r/>
            <w:r>
              <w:rPr>
                <w:sz w:val="19"/>
              </w:rPr>
              <w:t>12–24 wks</w:t>
            </w:r>
          </w:p>
        </w:tc>
        <w:tc>
          <w:tcPr>
            <w:tcW w:type="dxa" w:w="3345"/>
          </w:tcPr>
          <w:p>
            <w:r/>
            <w:r>
              <w:rPr>
                <w:sz w:val="19"/>
              </w:rPr>
              <w:t>Investor-narrative refresh pairs comms and IR hires.</w:t>
            </w:r>
          </w:p>
        </w:tc>
      </w:tr>
      <w:tr>
        <w:tc>
          <w:tcPr>
            <w:tcW w:type="dxa" w:w="2494"/>
          </w:tcPr>
          <w:p>
            <w:r/>
            <w:r>
              <w:rPr>
                <w:sz w:val="19"/>
              </w:rPr>
              <w:t>CHRO / People Director change</w:t>
            </w:r>
          </w:p>
        </w:tc>
        <w:tc>
          <w:tcPr>
            <w:tcW w:type="dxa" w:w="2608"/>
          </w:tcPr>
          <w:p>
            <w:r/>
            <w:r>
              <w:rPr>
                <w:sz w:val="19"/>
              </w:rPr>
              <w:t>HR leadership change</w:t>
            </w:r>
          </w:p>
        </w:tc>
        <w:tc>
          <w:tcPr>
            <w:tcW w:type="dxa" w:w="964"/>
          </w:tcPr>
          <w:p>
            <w:r/>
            <w:r>
              <w:rPr>
                <w:sz w:val="19"/>
              </w:rPr>
              <w:t>8–16 wks</w:t>
            </w:r>
          </w:p>
        </w:tc>
        <w:tc>
          <w:tcPr>
            <w:tcW w:type="dxa" w:w="3345"/>
          </w:tcPr>
          <w:p>
            <w:r/>
            <w:r>
              <w:rPr>
                <w:sz w:val="19"/>
              </w:rPr>
              <w:t>Internal comms reports to HR at ~40% of UK mid-caps; new CHROs refresh the team.</w:t>
            </w:r>
          </w:p>
        </w:tc>
      </w:tr>
      <w:tr>
        <w:tc>
          <w:tcPr>
            <w:tcW w:type="dxa" w:w="2494"/>
          </w:tcPr>
          <w:p>
            <w:r/>
            <w:r>
              <w:rPr>
                <w:sz w:val="19"/>
              </w:rPr>
              <w:t>IR Director change</w:t>
            </w:r>
          </w:p>
        </w:tc>
        <w:tc>
          <w:tcPr>
            <w:tcW w:type="dxa" w:w="2608"/>
          </w:tcPr>
          <w:p>
            <w:r/>
            <w:r>
              <w:rPr>
                <w:sz w:val="19"/>
              </w:rPr>
              <w:t>Head of Investor Relations moves</w:t>
            </w:r>
          </w:p>
        </w:tc>
        <w:tc>
          <w:tcPr>
            <w:tcW w:type="dxa" w:w="964"/>
          </w:tcPr>
          <w:p>
            <w:r/>
            <w:r>
              <w:rPr>
                <w:sz w:val="19"/>
              </w:rPr>
              <w:t>6–16 wks</w:t>
            </w:r>
          </w:p>
        </w:tc>
        <w:tc>
          <w:tcPr>
            <w:tcW w:type="dxa" w:w="3345"/>
          </w:tcPr>
          <w:p>
            <w:r/>
            <w:r>
              <w:rPr>
                <w:sz w:val="19"/>
              </w:rPr>
              <w:t>IR and corporate affairs hires commonly pair after a change.</w:t>
            </w:r>
          </w:p>
        </w:tc>
      </w:tr>
    </w:tbl>
    <w:p>
      <w:pPr>
        <w:spacing w:after="40"/>
      </w:pPr>
    </w:p>
    <w:p>
      <w:pPr>
        <w:pStyle w:val="Heading2"/>
      </w:pPr>
      <w:r>
        <w:t>5.2 M&amp;A and ownership events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494"/>
            <w:shd w:val="clear" w:fill="16263F"/>
          </w:tcPr>
          <w:p>
            <w:r/>
            <w:r>
              <w:rPr>
                <w:b/>
                <w:color w:val="FFFFFF"/>
                <w:sz w:val="19"/>
              </w:rPr>
              <w:t>Trigger</w:t>
            </w:r>
          </w:p>
        </w:tc>
        <w:tc>
          <w:tcPr>
            <w:tcW w:type="dxa" w:w="2608"/>
            <w:shd w:val="clear" w:fill="16263F"/>
          </w:tcPr>
          <w:p>
            <w:r/>
            <w:r>
              <w:rPr>
                <w:b/>
                <w:color w:val="FFFFFF"/>
                <w:sz w:val="19"/>
              </w:rPr>
              <w:t>What it detects</w:t>
            </w:r>
          </w:p>
        </w:tc>
        <w:tc>
          <w:tcPr>
            <w:tcW w:type="dxa" w:w="964"/>
            <w:shd w:val="clear" w:fill="16263F"/>
          </w:tcPr>
          <w:p>
            <w:r/>
            <w:r>
              <w:rPr>
                <w:b/>
                <w:color w:val="FFFFFF"/>
                <w:sz w:val="19"/>
              </w:rPr>
              <w:t>Window</w:t>
            </w:r>
          </w:p>
        </w:tc>
        <w:tc>
          <w:tcPr>
            <w:tcW w:type="dxa" w:w="3345"/>
            <w:shd w:val="clear" w:fill="16263F"/>
          </w:tcPr>
          <w:p>
            <w:r/>
            <w:r>
              <w:rPr>
                <w:b/>
                <w:color w:val="FFFFFF"/>
                <w:sz w:val="19"/>
              </w:rPr>
              <w:t>Why it converts</w:t>
            </w:r>
          </w:p>
        </w:tc>
      </w:tr>
      <w:tr>
        <w:tc>
          <w:tcPr>
            <w:tcW w:type="dxa" w:w="2494"/>
          </w:tcPr>
          <w:p>
            <w:r/>
            <w:r>
              <w:rPr>
                <w:sz w:val="19"/>
              </w:rPr>
              <w:t>Agreed M&amp;A</w:t>
            </w:r>
          </w:p>
        </w:tc>
        <w:tc>
          <w:tcPr>
            <w:tcW w:type="dxa" w:w="2608"/>
          </w:tcPr>
          <w:p>
            <w:r/>
            <w:r>
              <w:rPr>
                <w:sz w:val="19"/>
              </w:rPr>
              <w:t>Mergers, takeovers, schemes of arrangement</w:t>
            </w:r>
          </w:p>
        </w:tc>
        <w:tc>
          <w:tcPr>
            <w:tcW w:type="dxa" w:w="964"/>
          </w:tcPr>
          <w:p>
            <w:r/>
            <w:r>
              <w:rPr>
                <w:sz w:val="19"/>
              </w:rPr>
              <w:t>26–52 wks</w:t>
            </w:r>
          </w:p>
        </w:tc>
        <w:tc>
          <w:tcPr>
            <w:tcW w:type="dxa" w:w="3345"/>
          </w:tcPr>
          <w:p>
            <w:r/>
            <w:r>
              <w:rPr>
                <w:sz w:val="19"/>
              </w:rPr>
              <w:t>Integration and rebrand comms on both sides; 6 to 12 months of senior hiring.</w:t>
            </w:r>
          </w:p>
        </w:tc>
      </w:tr>
      <w:tr>
        <w:tc>
          <w:tcPr>
            <w:tcW w:type="dxa" w:w="2494"/>
          </w:tcPr>
          <w:p>
            <w:r/>
            <w:r>
              <w:rPr>
                <w:sz w:val="19"/>
              </w:rPr>
              <w:t>Private equity take-private</w:t>
            </w:r>
          </w:p>
        </w:tc>
        <w:tc>
          <w:tcPr>
            <w:tcW w:type="dxa" w:w="2608"/>
          </w:tcPr>
          <w:p>
            <w:r/>
            <w:r>
              <w:rPr>
                <w:sz w:val="19"/>
              </w:rPr>
              <w:t>Completed PE buyouts</w:t>
            </w:r>
          </w:p>
        </w:tc>
        <w:tc>
          <w:tcPr>
            <w:tcW w:type="dxa" w:w="964"/>
          </w:tcPr>
          <w:p>
            <w:r/>
            <w:r>
              <w:rPr>
                <w:sz w:val="19"/>
              </w:rPr>
              <w:t>8–17 wks</w:t>
            </w:r>
          </w:p>
        </w:tc>
        <w:tc>
          <w:tcPr>
            <w:tcW w:type="dxa" w:w="3345"/>
          </w:tcPr>
          <w:p>
            <w:r/>
            <w:r>
              <w:rPr>
                <w:sz w:val="19"/>
              </w:rPr>
              <w:t>PE owners refresh the narrative and the comms team aggressively in the first 90 days; the fastest M&amp;A hiring window.</w:t>
            </w:r>
          </w:p>
        </w:tc>
      </w:tr>
      <w:tr>
        <w:tc>
          <w:tcPr>
            <w:tcW w:type="dxa" w:w="2494"/>
          </w:tcPr>
          <w:p>
            <w:r/>
            <w:r>
              <w:rPr>
                <w:sz w:val="19"/>
              </w:rPr>
              <w:t>Activist stake</w:t>
            </w:r>
          </w:p>
        </w:tc>
        <w:tc>
          <w:tcPr>
            <w:tcW w:type="dxa" w:w="2608"/>
          </w:tcPr>
          <w:p>
            <w:r/>
            <w:r>
              <w:rPr>
                <w:sz w:val="19"/>
              </w:rPr>
              <w:t>3%+ activist disclosures and campaigns</w:t>
            </w:r>
          </w:p>
        </w:tc>
        <w:tc>
          <w:tcPr>
            <w:tcW w:type="dxa" w:w="964"/>
          </w:tcPr>
          <w:p>
            <w:r/>
            <w:r>
              <w:rPr>
                <w:sz w:val="19"/>
              </w:rPr>
              <w:t>12–26 wks</w:t>
            </w:r>
          </w:p>
        </w:tc>
        <w:tc>
          <w:tcPr>
            <w:tcW w:type="dxa" w:w="3345"/>
          </w:tcPr>
          <w:p>
            <w:r/>
            <w:r>
              <w:rPr>
                <w:sz w:val="19"/>
              </w:rPr>
              <w:t>Reputation defence and shareholder messaging become urgent before any EGM.</w:t>
            </w:r>
          </w:p>
        </w:tc>
      </w:tr>
      <w:tr>
        <w:tc>
          <w:tcPr>
            <w:tcW w:type="dxa" w:w="2494"/>
          </w:tcPr>
          <w:p>
            <w:r/>
            <w:r>
              <w:rPr>
                <w:sz w:val="19"/>
              </w:rPr>
              <w:t>Ownership change (PSC)</w:t>
            </w:r>
          </w:p>
        </w:tc>
        <w:tc>
          <w:tcPr>
            <w:tcW w:type="dxa" w:w="2608"/>
          </w:tcPr>
          <w:p>
            <w:r/>
            <w:r>
              <w:rPr>
                <w:sz w:val="19"/>
              </w:rPr>
              <w:t>New person with significant control at Companies House</w:t>
            </w:r>
          </w:p>
        </w:tc>
        <w:tc>
          <w:tcPr>
            <w:tcW w:type="dxa" w:w="964"/>
          </w:tcPr>
          <w:p>
            <w:r/>
            <w:r>
              <w:rPr>
                <w:sz w:val="19"/>
              </w:rPr>
              <w:t>8–24 wks</w:t>
            </w:r>
          </w:p>
        </w:tc>
        <w:tc>
          <w:tcPr>
            <w:tcW w:type="dxa" w:w="3345"/>
          </w:tcPr>
          <w:p>
            <w:r/>
            <w:r>
              <w:rPr>
                <w:sz w:val="19"/>
              </w:rPr>
              <w:t>New controlling owners refresh leadership and narrative.</w:t>
            </w:r>
          </w:p>
        </w:tc>
      </w:tr>
      <w:tr>
        <w:tc>
          <w:tcPr>
            <w:tcW w:type="dxa" w:w="2494"/>
          </w:tcPr>
          <w:p>
            <w:r/>
            <w:r>
              <w:rPr>
                <w:sz w:val="19"/>
              </w:rPr>
              <w:t>Secured financing</w:t>
            </w:r>
          </w:p>
        </w:tc>
        <w:tc>
          <w:tcPr>
            <w:tcW w:type="dxa" w:w="2608"/>
          </w:tcPr>
          <w:p>
            <w:r/>
            <w:r>
              <w:rPr>
                <w:sz w:val="19"/>
              </w:rPr>
              <w:t>Charges registered and share allotments filed</w:t>
            </w:r>
          </w:p>
        </w:tc>
        <w:tc>
          <w:tcPr>
            <w:tcW w:type="dxa" w:w="964"/>
          </w:tcPr>
          <w:p>
            <w:r/>
            <w:r>
              <w:rPr>
                <w:sz w:val="19"/>
              </w:rPr>
              <w:t>8–26 wks</w:t>
            </w:r>
          </w:p>
        </w:tc>
        <w:tc>
          <w:tcPr>
            <w:tcW w:type="dxa" w:w="3345"/>
          </w:tcPr>
          <w:p>
            <w:r/>
            <w:r>
              <w:rPr>
                <w:sz w:val="19"/>
              </w:rPr>
              <w:t>Growth capital funds expansion comms and marketing build-outs 2 to 3 months later.</w:t>
            </w:r>
          </w:p>
        </w:tc>
      </w:tr>
    </w:tbl>
    <w:p>
      <w:pPr>
        <w:spacing w:after="40"/>
      </w:pPr>
    </w:p>
    <w:p>
      <w:pPr>
        <w:pStyle w:val="Heading2"/>
      </w:pPr>
      <w:r>
        <w:t>5.3 Regulatory and crisis events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494"/>
            <w:shd w:val="clear" w:fill="16263F"/>
          </w:tcPr>
          <w:p>
            <w:r/>
            <w:r>
              <w:rPr>
                <w:b/>
                <w:color w:val="FFFFFF"/>
                <w:sz w:val="19"/>
              </w:rPr>
              <w:t>Trigger</w:t>
            </w:r>
          </w:p>
        </w:tc>
        <w:tc>
          <w:tcPr>
            <w:tcW w:type="dxa" w:w="2608"/>
            <w:shd w:val="clear" w:fill="16263F"/>
          </w:tcPr>
          <w:p>
            <w:r/>
            <w:r>
              <w:rPr>
                <w:b/>
                <w:color w:val="FFFFFF"/>
                <w:sz w:val="19"/>
              </w:rPr>
              <w:t>What it detects</w:t>
            </w:r>
          </w:p>
        </w:tc>
        <w:tc>
          <w:tcPr>
            <w:tcW w:type="dxa" w:w="964"/>
            <w:shd w:val="clear" w:fill="16263F"/>
          </w:tcPr>
          <w:p>
            <w:r/>
            <w:r>
              <w:rPr>
                <w:b/>
                <w:color w:val="FFFFFF"/>
                <w:sz w:val="19"/>
              </w:rPr>
              <w:t>Window</w:t>
            </w:r>
          </w:p>
        </w:tc>
        <w:tc>
          <w:tcPr>
            <w:tcW w:type="dxa" w:w="3345"/>
            <w:shd w:val="clear" w:fill="16263F"/>
          </w:tcPr>
          <w:p>
            <w:r/>
            <w:r>
              <w:rPr>
                <w:b/>
                <w:color w:val="FFFFFF"/>
                <w:sz w:val="19"/>
              </w:rPr>
              <w:t>Why it converts</w:t>
            </w:r>
          </w:p>
        </w:tc>
      </w:tr>
      <w:tr>
        <w:tc>
          <w:tcPr>
            <w:tcW w:type="dxa" w:w="2494"/>
          </w:tcPr>
          <w:p>
            <w:r/>
            <w:r>
              <w:rPr>
                <w:sz w:val="19"/>
              </w:rPr>
              <w:t>Material regulator fine (gated at £5m+)</w:t>
            </w:r>
          </w:p>
        </w:tc>
        <w:tc>
          <w:tcPr>
            <w:tcW w:type="dxa" w:w="2608"/>
          </w:tcPr>
          <w:p>
            <w:r/>
            <w:r>
              <w:rPr>
                <w:sz w:val="19"/>
              </w:rPr>
              <w:t>FCA / Ofcom / Ofgem / CMA enforcement</w:t>
            </w:r>
          </w:p>
        </w:tc>
        <w:tc>
          <w:tcPr>
            <w:tcW w:type="dxa" w:w="964"/>
          </w:tcPr>
          <w:p>
            <w:r/>
            <w:r>
              <w:rPr>
                <w:sz w:val="19"/>
              </w:rPr>
              <w:t>2–12 wks</w:t>
            </w:r>
          </w:p>
        </w:tc>
        <w:tc>
          <w:tcPr>
            <w:tcW w:type="dxa" w:w="3345"/>
          </w:tcPr>
          <w:p>
            <w:r/>
            <w:r>
              <w:rPr>
                <w:sz w:val="19"/>
              </w:rPr>
              <w:t>Material fines trigger permanent reputation-repair hires; the pitch window is the first week.</w:t>
            </w:r>
          </w:p>
        </w:tc>
      </w:tr>
      <w:tr>
        <w:tc>
          <w:tcPr>
            <w:tcW w:type="dxa" w:w="2494"/>
          </w:tcPr>
          <w:p>
            <w:r/>
            <w:r>
              <w:rPr>
                <w:sz w:val="19"/>
              </w:rPr>
              <w:t>Early-stage regulator probe</w:t>
            </w:r>
          </w:p>
        </w:tc>
        <w:tc>
          <w:tcPr>
            <w:tcW w:type="dxa" w:w="2608"/>
          </w:tcPr>
          <w:p>
            <w:r/>
            <w:r>
              <w:rPr>
                <w:sz w:val="19"/>
              </w:rPr>
              <w:t>Investigations opened, before any fine</w:t>
            </w:r>
          </w:p>
        </w:tc>
        <w:tc>
          <w:tcPr>
            <w:tcW w:type="dxa" w:w="964"/>
          </w:tcPr>
          <w:p>
            <w:r/>
            <w:r>
              <w:rPr>
                <w:sz w:val="19"/>
              </w:rPr>
              <w:t>6–26 wks</w:t>
            </w:r>
          </w:p>
        </w:tc>
        <w:tc>
          <w:tcPr>
            <w:tcW w:type="dxa" w:w="3345"/>
          </w:tcPr>
          <w:p>
            <w:r/>
            <w:r>
              <w:rPr>
                <w:sz w:val="19"/>
              </w:rPr>
              <w:t>Probes run 6 to 12 months before penalties; the earlier, higher-probability window.</w:t>
            </w:r>
          </w:p>
        </w:tc>
      </w:tr>
      <w:tr>
        <w:tc>
          <w:tcPr>
            <w:tcW w:type="dxa" w:w="2494"/>
          </w:tcPr>
          <w:p>
            <w:r/>
            <w:r>
              <w:rPr>
                <w:sz w:val="19"/>
              </w:rPr>
              <w:t>Crisis events</w:t>
            </w:r>
          </w:p>
        </w:tc>
        <w:tc>
          <w:tcPr>
            <w:tcW w:type="dxa" w:w="2608"/>
          </w:tcPr>
          <w:p>
            <w:r/>
            <w:r>
              <w:rPr>
                <w:sz w:val="19"/>
              </w:rPr>
              <w:t>Data breaches, cyber attacks, litigation, trading suspensions</w:t>
            </w:r>
          </w:p>
        </w:tc>
        <w:tc>
          <w:tcPr>
            <w:tcW w:type="dxa" w:w="964"/>
          </w:tcPr>
          <w:p>
            <w:r/>
            <w:r>
              <w:rPr>
                <w:sz w:val="19"/>
              </w:rPr>
              <w:t>2–16 wks</w:t>
            </w:r>
          </w:p>
        </w:tc>
        <w:tc>
          <w:tcPr>
            <w:tcW w:type="dxa" w:w="3345"/>
          </w:tcPr>
          <w:p>
            <w:r/>
            <w:r>
              <w:rPr>
                <w:sz w:val="19"/>
              </w:rPr>
              <w:t>Being there on day one wins the retained mandate; crisis comms almost always goes external.</w:t>
            </w:r>
          </w:p>
        </w:tc>
      </w:tr>
      <w:tr>
        <w:tc>
          <w:tcPr>
            <w:tcW w:type="dxa" w:w="2494"/>
          </w:tcPr>
          <w:p>
            <w:r/>
            <w:r>
              <w:rPr>
                <w:sz w:val="19"/>
              </w:rPr>
              <w:t>Water SAR (see spotlight below)</w:t>
            </w:r>
          </w:p>
        </w:tc>
        <w:tc>
          <w:tcPr>
            <w:tcW w:type="dxa" w:w="2608"/>
          </w:tcPr>
          <w:p>
            <w:r/>
            <w:r>
              <w:rPr>
                <w:sz w:val="19"/>
              </w:rPr>
              <w:t>Special Administration Regime steps and financial-resilience risk at regulated water companies</w:t>
            </w:r>
          </w:p>
        </w:tc>
        <w:tc>
          <w:tcPr>
            <w:tcW w:type="dxa" w:w="964"/>
          </w:tcPr>
          <w:p>
            <w:r/>
            <w:r>
              <w:rPr>
                <w:sz w:val="19"/>
              </w:rPr>
              <w:t>two-stage</w:t>
            </w:r>
          </w:p>
        </w:tc>
        <w:tc>
          <w:tcPr>
            <w:tcW w:type="dxa" w:w="3345"/>
          </w:tcPr>
          <w:p>
            <w:r/>
            <w:r>
              <w:rPr>
                <w:sz w:val="19"/>
              </w:rPr>
              <w:t>The single highest-value comms event in UK utilities.</w:t>
            </w:r>
          </w:p>
        </w:tc>
      </w:tr>
    </w:tbl>
    <w:p>
      <w:pPr>
        <w:spacing w:after="40"/>
      </w:pPr>
    </w:p>
    <w:tbl>
      <w:tblPr>
        <w:tblStyle w:val="TableGrid"/>
        <w:tblW w:type="auto" w:w="0"/>
        <w:tblLook w:firstColumn="1" w:firstRow="1" w:lastColumn="0" w:lastRow="0" w:noHBand="0" w:noVBand="1" w:val="04A0"/>
      </w:tblPr>
      <w:tblGrid>
        <w:gridCol w:w="9412"/>
      </w:tblGrid>
      <w:tr>
        <w:tc>
          <w:tcPr>
            <w:tcW w:type="dxa" w:w="9412"/>
            <w:shd w:val="clear" w:fill="EEF3FA"/>
          </w:tcPr>
          <w:p>
            <w:r/>
            <w:r>
              <w:rPr>
                <w:b/>
                <w:color w:val="16263F"/>
                <w:sz w:val="21"/>
              </w:rPr>
              <w:t>SPOTLIGHT: Water Special Administration Regime (SAR) companies</w:t>
            </w:r>
          </w:p>
          <w:p>
            <w:r>
              <w:rPr>
                <w:b/>
                <w:sz w:val="19"/>
              </w:rPr>
              <w:t xml:space="preserve">What it is. </w:t>
            </w:r>
            <w:r>
              <w:rPr>
                <w:sz w:val="19"/>
              </w:rPr>
              <w:t>A dedicated detector watching the roughly 17 regulated water and sewerage monopolies of England and Wales (Thames Water, Anglian Water and peers) for any step toward Special Administration under the Water Industry Act 1991, the regime under which a failing water company is placed into government-supervised administration.</w:t>
            </w:r>
          </w:p>
          <w:p>
            <w:r>
              <w:rPr>
                <w:b/>
                <w:sz w:val="19"/>
              </w:rPr>
              <w:t xml:space="preserve">How it works. </w:t>
            </w:r>
            <w:r>
              <w:rPr>
                <w:sz w:val="19"/>
              </w:rPr>
              <w:t>Two-stage detection across Ofwat notices, RNS, Companies House filings and Defra / Secretary of State statements. Stage 1, 'SAR live or imminent', fires on a formal step: an order applied for or made, or a special administrator appointed. Stage 2, 'financial-resilience watch', fires weeks earlier on the warning signs: cash lock-up, going-concern doubt, a sub-investment-grade downgrade or a failed equity raise.</w:t>
            </w:r>
          </w:p>
          <w:p>
            <w:r>
              <w:rPr>
                <w:b/>
                <w:sz w:val="19"/>
              </w:rPr>
              <w:t xml:space="preserve">Why it matters commercially. </w:t>
            </w:r>
            <w:r>
              <w:rPr>
                <w:sz w:val="19"/>
              </w:rPr>
              <w:t>A SAR event is the single highest-value communications trigger in UK utilities. The Thames Water crisis of 2024 to 2026 generated retained-search mandates at the company, the special administrator and the advisers simultaneously: crisis comms, regulatory and stakeholder messaging, and restructuring and change communications. Stage 2 puts VMA in the conversation before the formal announcement, when the retained brief is still winnable; Stage 1 confirms the immediate mandate.</w:t>
            </w:r>
          </w:p>
          <w:p>
            <w:r>
              <w:rPr>
                <w:b/>
                <w:sz w:val="19"/>
              </w:rPr>
              <w:t xml:space="preserve">Where it lives. </w:t>
            </w:r>
            <w:r>
              <w:rPr>
                <w:sz w:val="19"/>
              </w:rPr>
              <w:t>Water SAR events flow into the daily brief, have their own feed on the dashboard, and surface as specialist rows on the BD board.</w:t>
            </w:r>
          </w:p>
        </w:tc>
      </w:tr>
    </w:tbl>
    <w:p>
      <w:pPr>
        <w:spacing w:after="40"/>
      </w:pPr>
    </w:p>
    <w:p>
      <w:pPr>
        <w:pStyle w:val="Heading2"/>
      </w:pPr>
      <w:r>
        <w:t>5.4 Financial distress and workforce events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494"/>
            <w:shd w:val="clear" w:fill="16263F"/>
          </w:tcPr>
          <w:p>
            <w:r/>
            <w:r>
              <w:rPr>
                <w:b/>
                <w:color w:val="FFFFFF"/>
                <w:sz w:val="19"/>
              </w:rPr>
              <w:t>Trigger</w:t>
            </w:r>
          </w:p>
        </w:tc>
        <w:tc>
          <w:tcPr>
            <w:tcW w:type="dxa" w:w="2608"/>
            <w:shd w:val="clear" w:fill="16263F"/>
          </w:tcPr>
          <w:p>
            <w:r/>
            <w:r>
              <w:rPr>
                <w:b/>
                <w:color w:val="FFFFFF"/>
                <w:sz w:val="19"/>
              </w:rPr>
              <w:t>What it detects</w:t>
            </w:r>
          </w:p>
        </w:tc>
        <w:tc>
          <w:tcPr>
            <w:tcW w:type="dxa" w:w="964"/>
            <w:shd w:val="clear" w:fill="16263F"/>
          </w:tcPr>
          <w:p>
            <w:r/>
            <w:r>
              <w:rPr>
                <w:b/>
                <w:color w:val="FFFFFF"/>
                <w:sz w:val="19"/>
              </w:rPr>
              <w:t>Window</w:t>
            </w:r>
          </w:p>
        </w:tc>
        <w:tc>
          <w:tcPr>
            <w:tcW w:type="dxa" w:w="3345"/>
            <w:shd w:val="clear" w:fill="16263F"/>
          </w:tcPr>
          <w:p>
            <w:r/>
            <w:r>
              <w:rPr>
                <w:b/>
                <w:color w:val="FFFFFF"/>
                <w:sz w:val="19"/>
              </w:rPr>
              <w:t>Why it converts</w:t>
            </w:r>
          </w:p>
        </w:tc>
      </w:tr>
      <w:tr>
        <w:tc>
          <w:tcPr>
            <w:tcW w:type="dxa" w:w="2494"/>
          </w:tcPr>
          <w:p>
            <w:r/>
            <w:r>
              <w:rPr>
                <w:sz w:val="19"/>
              </w:rPr>
              <w:t>Profit warning</w:t>
            </w:r>
          </w:p>
        </w:tc>
        <w:tc>
          <w:tcPr>
            <w:tcW w:type="dxa" w:w="2608"/>
          </w:tcPr>
          <w:p>
            <w:r/>
            <w:r>
              <w:rPr>
                <w:sz w:val="19"/>
              </w:rPr>
              <w:t>Formal warnings and negative trading updates on RNS</w:t>
            </w:r>
          </w:p>
        </w:tc>
        <w:tc>
          <w:tcPr>
            <w:tcW w:type="dxa" w:w="964"/>
          </w:tcPr>
          <w:p>
            <w:r/>
            <w:r>
              <w:rPr>
                <w:sz w:val="19"/>
              </w:rPr>
              <w:t>2–26 wks</w:t>
            </w:r>
          </w:p>
        </w:tc>
        <w:tc>
          <w:tcPr>
            <w:tcW w:type="dxa" w:w="3345"/>
          </w:tcPr>
          <w:p>
            <w:r/>
            <w:r>
              <w:rPr>
                <w:sz w:val="19"/>
              </w:rPr>
              <w:t>The densest free signal in the UK market; statistically followed by corporate affairs / IR hires within 6 to 12 months.</w:t>
            </w:r>
          </w:p>
        </w:tc>
      </w:tr>
      <w:tr>
        <w:tc>
          <w:tcPr>
            <w:tcW w:type="dxa" w:w="2494"/>
          </w:tcPr>
          <w:p>
            <w:r/>
            <w:r>
              <w:rPr>
                <w:sz w:val="19"/>
              </w:rPr>
              <w:t>Material contract loss (RNS-sourced or £5m+)</w:t>
            </w:r>
          </w:p>
        </w:tc>
        <w:tc>
          <w:tcPr>
            <w:tcW w:type="dxa" w:w="2608"/>
          </w:tcPr>
          <w:p>
            <w:r/>
            <w:r>
              <w:rPr>
                <w:sz w:val="19"/>
              </w:rPr>
              <w:t>Loss of a major customer or contract</w:t>
            </w:r>
          </w:p>
        </w:tc>
        <w:tc>
          <w:tcPr>
            <w:tcW w:type="dxa" w:w="964"/>
          </w:tcPr>
          <w:p>
            <w:r/>
            <w:r>
              <w:rPr>
                <w:sz w:val="19"/>
              </w:rPr>
              <w:t>4–16 wks</w:t>
            </w:r>
          </w:p>
        </w:tc>
        <w:tc>
          <w:tcPr>
            <w:tcW w:type="dxa" w:w="3345"/>
          </w:tcPr>
          <w:p>
            <w:r/>
            <w:r>
              <w:rPr>
                <w:sz w:val="19"/>
              </w:rPr>
              <w:t>Defensive comms hires to reposition the story and calm customers and staff.</w:t>
            </w:r>
          </w:p>
        </w:tc>
      </w:tr>
      <w:tr>
        <w:tc>
          <w:tcPr>
            <w:tcW w:type="dxa" w:w="2494"/>
          </w:tcPr>
          <w:p>
            <w:r/>
            <w:r>
              <w:rPr>
                <w:sz w:val="19"/>
              </w:rPr>
              <w:t>Restructure / transformation</w:t>
            </w:r>
          </w:p>
        </w:tc>
        <w:tc>
          <w:tcPr>
            <w:tcW w:type="dxa" w:w="2608"/>
          </w:tcPr>
          <w:p>
            <w:r/>
            <w:r>
              <w:rPr>
                <w:sz w:val="19"/>
              </w:rPr>
              <w:t>Strategic reviews and transformation programmes</w:t>
            </w:r>
          </w:p>
        </w:tc>
        <w:tc>
          <w:tcPr>
            <w:tcW w:type="dxa" w:w="964"/>
          </w:tcPr>
          <w:p>
            <w:r/>
            <w:r>
              <w:rPr>
                <w:sz w:val="19"/>
              </w:rPr>
              <w:t>8–24 wks</w:t>
            </w:r>
          </w:p>
        </w:tc>
        <w:tc>
          <w:tcPr>
            <w:tcW w:type="dxa" w:w="3345"/>
          </w:tcPr>
          <w:p>
            <w:r/>
            <w:r>
              <w:rPr>
                <w:sz w:val="19"/>
              </w:rPr>
              <w:t>The comms function is commonly reorganised 2 to 6 months after a restructure; change comms runs 6 to 9 months.</w:t>
            </w:r>
          </w:p>
        </w:tc>
      </w:tr>
      <w:tr>
        <w:tc>
          <w:tcPr>
            <w:tcW w:type="dxa" w:w="2494"/>
          </w:tcPr>
          <w:p>
            <w:r/>
            <w:r>
              <w:rPr>
                <w:sz w:val="19"/>
              </w:rPr>
              <w:t>Redundancy / layoffs (see spotlight below)</w:t>
            </w:r>
          </w:p>
        </w:tc>
        <w:tc>
          <w:tcPr>
            <w:tcW w:type="dxa" w:w="2608"/>
          </w:tcPr>
          <w:p>
            <w:r/>
            <w:r>
              <w:rPr>
                <w:sz w:val="19"/>
              </w:rPr>
              <w:t>Announced job cuts, Section 188 notices, collective consultation</w:t>
            </w:r>
          </w:p>
        </w:tc>
        <w:tc>
          <w:tcPr>
            <w:tcW w:type="dxa" w:w="964"/>
          </w:tcPr>
          <w:p>
            <w:r/>
            <w:r>
              <w:rPr>
                <w:sz w:val="19"/>
              </w:rPr>
              <w:t>1–12 wks</w:t>
            </w:r>
          </w:p>
        </w:tc>
        <w:tc>
          <w:tcPr>
            <w:tcW w:type="dxa" w:w="3345"/>
          </w:tcPr>
          <w:p>
            <w:r/>
            <w:r>
              <w:rPr>
                <w:sz w:val="19"/>
              </w:rPr>
              <w:t>Immediate, almost always external communications demand.</w:t>
            </w:r>
          </w:p>
        </w:tc>
      </w:tr>
    </w:tbl>
    <w:p>
      <w:pPr>
        <w:spacing w:after="40"/>
      </w:pPr>
    </w:p>
    <w:tbl>
      <w:tblPr>
        <w:tblStyle w:val="TableGrid"/>
        <w:tblW w:type="auto" w:w="0"/>
        <w:tblLook w:firstColumn="1" w:firstRow="1" w:lastColumn="0" w:lastRow="0" w:noHBand="0" w:noVBand="1" w:val="04A0"/>
      </w:tblPr>
      <w:tblGrid>
        <w:gridCol w:w="9412"/>
      </w:tblGrid>
      <w:tr>
        <w:tc>
          <w:tcPr>
            <w:tcW w:type="dxa" w:w="9412"/>
            <w:shd w:val="clear" w:fill="EEF3FA"/>
          </w:tcPr>
          <w:p>
            <w:r/>
            <w:r>
              <w:rPr>
                <w:b/>
                <w:color w:val="16263F"/>
                <w:sz w:val="21"/>
              </w:rPr>
              <w:t>SPOTLIGHT: Redundancy and layoffs as a first-class BD trigger</w:t>
            </w:r>
          </w:p>
          <w:p>
            <w:r>
              <w:rPr>
                <w:b/>
                <w:sz w:val="19"/>
              </w:rPr>
              <w:t xml:space="preserve">The rethink. </w:t>
            </w:r>
            <w:r>
              <w:rPr>
                <w:sz w:val="19"/>
              </w:rPr>
              <w:t>Redundancy announcements were originally treated as an anti-trigger: a company cutting jobs was assumed not to be buying. We inverted that. Redundancy programmes almost always need external communications support, and they need it immediately: legally compliant internal messaging, consultation-period support (trade union relations, FAQs, staff forums), interim internal-comms cover while the in-house team is consumed by the process, and stabilisation messaging for the people who stay.</w:t>
            </w:r>
          </w:p>
          <w:p>
            <w:r>
              <w:rPr>
                <w:b/>
                <w:sz w:val="19"/>
              </w:rPr>
              <w:t xml:space="preserve">How it works. </w:t>
            </w:r>
            <w:r>
              <w:rPr>
                <w:sz w:val="19"/>
              </w:rPr>
              <w:t>The detector picks up redundancy, layoff, job-cut, headcount-reduction and collective-consultation language (including Section 188 notices) across RNS, the global news graph and HR trade press, and promotes the company onto the BD board the day the programme is announced.</w:t>
            </w:r>
          </w:p>
          <w:p>
            <w:r>
              <w:rPr>
                <w:b/>
                <w:sz w:val="19"/>
              </w:rPr>
              <w:t xml:space="preserve">The window. </w:t>
            </w:r>
            <w:r>
              <w:rPr>
                <w:sz w:val="19"/>
              </w:rPr>
              <w:t>Days 0 to 7 are the pitch window, the announcement week when the comms team's capacity is most visibly strained, with the full programme running 1 to 12 weeks. Typical outcomes are an interim retained brief or full change-communications coverage.</w:t>
            </w:r>
          </w:p>
        </w:tc>
      </w:tr>
    </w:tbl>
    <w:p>
      <w:pPr>
        <w:spacing w:after="40"/>
      </w:pPr>
    </w:p>
    <w:p>
      <w:pPr>
        <w:pStyle w:val="Heading2"/>
      </w:pPr>
      <w:r>
        <w:t>5.5 Capital markets and investor events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494"/>
            <w:shd w:val="clear" w:fill="16263F"/>
          </w:tcPr>
          <w:p>
            <w:r/>
            <w:r>
              <w:rPr>
                <w:b/>
                <w:color w:val="FFFFFF"/>
                <w:sz w:val="19"/>
              </w:rPr>
              <w:t>Trigger</w:t>
            </w:r>
          </w:p>
        </w:tc>
        <w:tc>
          <w:tcPr>
            <w:tcW w:type="dxa" w:w="2608"/>
            <w:shd w:val="clear" w:fill="16263F"/>
          </w:tcPr>
          <w:p>
            <w:r/>
            <w:r>
              <w:rPr>
                <w:b/>
                <w:color w:val="FFFFFF"/>
                <w:sz w:val="19"/>
              </w:rPr>
              <w:t>What it detects</w:t>
            </w:r>
          </w:p>
        </w:tc>
        <w:tc>
          <w:tcPr>
            <w:tcW w:type="dxa" w:w="964"/>
            <w:shd w:val="clear" w:fill="16263F"/>
          </w:tcPr>
          <w:p>
            <w:r/>
            <w:r>
              <w:rPr>
                <w:b/>
                <w:color w:val="FFFFFF"/>
                <w:sz w:val="19"/>
              </w:rPr>
              <w:t>Window</w:t>
            </w:r>
          </w:p>
        </w:tc>
        <w:tc>
          <w:tcPr>
            <w:tcW w:type="dxa" w:w="3345"/>
            <w:shd w:val="clear" w:fill="16263F"/>
          </w:tcPr>
          <w:p>
            <w:r/>
            <w:r>
              <w:rPr>
                <w:b/>
                <w:color w:val="FFFFFF"/>
                <w:sz w:val="19"/>
              </w:rPr>
              <w:t>Why it converts</w:t>
            </w:r>
          </w:p>
        </w:tc>
      </w:tr>
      <w:tr>
        <w:tc>
          <w:tcPr>
            <w:tcW w:type="dxa" w:w="2494"/>
          </w:tcPr>
          <w:p>
            <w:r/>
            <w:r>
              <w:rPr>
                <w:sz w:val="19"/>
              </w:rPr>
              <w:t>IPO / listing activity</w:t>
            </w:r>
          </w:p>
        </w:tc>
        <w:tc>
          <w:tcPr>
            <w:tcW w:type="dxa" w:w="2608"/>
          </w:tcPr>
          <w:p>
            <w:r/>
            <w:r>
              <w:rPr>
                <w:sz w:val="19"/>
              </w:rPr>
              <w:t>Intention to float, prospectus, admission</w:t>
            </w:r>
          </w:p>
        </w:tc>
        <w:tc>
          <w:tcPr>
            <w:tcW w:type="dxa" w:w="964"/>
          </w:tcPr>
          <w:p>
            <w:r/>
            <w:r>
              <w:rPr>
                <w:sz w:val="19"/>
              </w:rPr>
              <w:t>4–16 wks</w:t>
            </w:r>
          </w:p>
        </w:tc>
        <w:tc>
          <w:tcPr>
            <w:tcW w:type="dxa" w:w="3345"/>
          </w:tcPr>
          <w:p>
            <w:r/>
            <w:r>
              <w:rPr>
                <w:sz w:val="19"/>
              </w:rPr>
              <w:t>Listing companies build corporate affairs and IR teams aggressively pre-admission; typically two senior hires.</w:t>
            </w:r>
          </w:p>
        </w:tc>
      </w:tr>
      <w:tr>
        <w:tc>
          <w:tcPr>
            <w:tcW w:type="dxa" w:w="2494"/>
          </w:tcPr>
          <w:p>
            <w:r/>
            <w:r>
              <w:rPr>
                <w:sz w:val="19"/>
              </w:rPr>
              <w:t>Press-velocity spike</w:t>
            </w:r>
          </w:p>
        </w:tc>
        <w:tc>
          <w:tcPr>
            <w:tcW w:type="dxa" w:w="2608"/>
          </w:tcPr>
          <w:p>
            <w:r/>
            <w:r>
              <w:rPr>
                <w:sz w:val="19"/>
              </w:rPr>
              <w:t>A company's announcement output tripling against its own 90-day baseline</w:t>
            </w:r>
          </w:p>
        </w:tc>
        <w:tc>
          <w:tcPr>
            <w:tcW w:type="dxa" w:w="964"/>
          </w:tcPr>
          <w:p>
            <w:r/>
            <w:r>
              <w:rPr>
                <w:sz w:val="19"/>
              </w:rPr>
              <w:t>8–24 wks</w:t>
            </w:r>
          </w:p>
        </w:tc>
        <w:tc>
          <w:tcPr>
            <w:tcW w:type="dxa" w:w="3345"/>
          </w:tcPr>
          <w:p>
            <w:r/>
            <w:r>
              <w:rPr>
                <w:sz w:val="19"/>
              </w:rPr>
              <w:t>Stretched comms teams precede senior hires; a measurable early-warning of workload.</w:t>
            </w:r>
          </w:p>
        </w:tc>
      </w:tr>
      <w:tr>
        <w:tc>
          <w:tcPr>
            <w:tcW w:type="dxa" w:w="2494"/>
          </w:tcPr>
          <w:p>
            <w:r/>
            <w:r>
              <w:rPr>
                <w:sz w:val="19"/>
              </w:rPr>
              <w:t>Funding round (£20m+, Series B and beyond)</w:t>
            </w:r>
          </w:p>
        </w:tc>
        <w:tc>
          <w:tcPr>
            <w:tcW w:type="dxa" w:w="2608"/>
          </w:tcPr>
          <w:p>
            <w:r/>
            <w:r>
              <w:rPr>
                <w:sz w:val="19"/>
              </w:rPr>
              <w:t>Private growth rounds, precision-gated to UK relevance</w:t>
            </w:r>
          </w:p>
        </w:tc>
        <w:tc>
          <w:tcPr>
            <w:tcW w:type="dxa" w:w="964"/>
          </w:tcPr>
          <w:p>
            <w:r/>
            <w:r>
              <w:rPr>
                <w:sz w:val="19"/>
              </w:rPr>
              <w:t>~6 months</w:t>
            </w:r>
          </w:p>
        </w:tc>
        <w:tc>
          <w:tcPr>
            <w:tcW w:type="dxa" w:w="3345"/>
          </w:tcPr>
          <w:p>
            <w:r/>
            <w:r>
              <w:rPr>
                <w:sz w:val="19"/>
              </w:rPr>
              <w:t>Funded scale-ups professionalise communications about six months after the round; often the company's first senior comms hire.</w:t>
            </w:r>
          </w:p>
        </w:tc>
      </w:tr>
    </w:tbl>
    <w:p>
      <w:pPr>
        <w:spacing w:after="40"/>
      </w:pPr>
    </w:p>
    <w:p>
      <w:pPr>
        <w:pStyle w:val="Heading2"/>
      </w:pPr>
      <w:r>
        <w:t>5.6 Technology, brand and agency signals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494"/>
            <w:shd w:val="clear" w:fill="16263F"/>
          </w:tcPr>
          <w:p>
            <w:r/>
            <w:r>
              <w:rPr>
                <w:b/>
                <w:color w:val="FFFFFF"/>
                <w:sz w:val="19"/>
              </w:rPr>
              <w:t>Trigger</w:t>
            </w:r>
          </w:p>
        </w:tc>
        <w:tc>
          <w:tcPr>
            <w:tcW w:type="dxa" w:w="2608"/>
            <w:shd w:val="clear" w:fill="16263F"/>
          </w:tcPr>
          <w:p>
            <w:r/>
            <w:r>
              <w:rPr>
                <w:b/>
                <w:color w:val="FFFFFF"/>
                <w:sz w:val="19"/>
              </w:rPr>
              <w:t>What it detects</w:t>
            </w:r>
          </w:p>
        </w:tc>
        <w:tc>
          <w:tcPr>
            <w:tcW w:type="dxa" w:w="964"/>
            <w:shd w:val="clear" w:fill="16263F"/>
          </w:tcPr>
          <w:p>
            <w:r/>
            <w:r>
              <w:rPr>
                <w:b/>
                <w:color w:val="FFFFFF"/>
                <w:sz w:val="19"/>
              </w:rPr>
              <w:t>Window</w:t>
            </w:r>
          </w:p>
        </w:tc>
        <w:tc>
          <w:tcPr>
            <w:tcW w:type="dxa" w:w="3345"/>
            <w:shd w:val="clear" w:fill="16263F"/>
          </w:tcPr>
          <w:p>
            <w:r/>
            <w:r>
              <w:rPr>
                <w:b/>
                <w:color w:val="FFFFFF"/>
                <w:sz w:val="19"/>
              </w:rPr>
              <w:t>Why it converts</w:t>
            </w:r>
          </w:p>
        </w:tc>
      </w:tr>
      <w:tr>
        <w:tc>
          <w:tcPr>
            <w:tcW w:type="dxa" w:w="2494"/>
          </w:tcPr>
          <w:p>
            <w:r/>
            <w:r>
              <w:rPr>
                <w:sz w:val="19"/>
              </w:rPr>
              <w:t>IC platform procurement</w:t>
            </w:r>
          </w:p>
        </w:tc>
        <w:tc>
          <w:tcPr>
            <w:tcW w:type="dxa" w:w="2608"/>
          </w:tcPr>
          <w:p>
            <w:r/>
            <w:r>
              <w:rPr>
                <w:sz w:val="19"/>
              </w:rPr>
              <w:t>RFPs and adoption of Staffbase, Poppulo, Workvivo and peers, including 'platform experience required' job ads</w:t>
            </w:r>
          </w:p>
        </w:tc>
        <w:tc>
          <w:tcPr>
            <w:tcW w:type="dxa" w:w="964"/>
          </w:tcPr>
          <w:p>
            <w:r/>
            <w:r>
              <w:rPr>
                <w:sz w:val="19"/>
              </w:rPr>
              <w:t>6–12 wks</w:t>
            </w:r>
          </w:p>
        </w:tc>
        <w:tc>
          <w:tcPr>
            <w:tcW w:type="dxa" w:w="3345"/>
          </w:tcPr>
          <w:p>
            <w:r/>
            <w:r>
              <w:rPr>
                <w:sz w:val="19"/>
              </w:rPr>
              <w:t>Platform purchase and a senior IC hire are two sides of one decision.</w:t>
            </w:r>
          </w:p>
        </w:tc>
      </w:tr>
      <w:tr>
        <w:tc>
          <w:tcPr>
            <w:tcW w:type="dxa" w:w="2494"/>
          </w:tcPr>
          <w:p>
            <w:r/>
            <w:r>
              <w:rPr>
                <w:sz w:val="19"/>
              </w:rPr>
              <w:t>Martech adoption</w:t>
            </w:r>
          </w:p>
        </w:tc>
        <w:tc>
          <w:tcPr>
            <w:tcW w:type="dxa" w:w="2608"/>
          </w:tcPr>
          <w:p>
            <w:r/>
            <w:r>
              <w:rPr>
                <w:sz w:val="19"/>
              </w:rPr>
              <w:t>Marketing automation / CDP deployments</w:t>
            </w:r>
          </w:p>
        </w:tc>
        <w:tc>
          <w:tcPr>
            <w:tcW w:type="dxa" w:w="964"/>
          </w:tcPr>
          <w:p>
            <w:r/>
            <w:r>
              <w:rPr>
                <w:sz w:val="19"/>
              </w:rPr>
              <w:t>6–16 wks</w:t>
            </w:r>
          </w:p>
        </w:tc>
        <w:tc>
          <w:tcPr>
            <w:tcW w:type="dxa" w:w="3345"/>
          </w:tcPr>
          <w:p>
            <w:r/>
            <w:r>
              <w:rPr>
                <w:sz w:val="19"/>
              </w:rPr>
              <w:t>Senior marketing-operations hires follow implementation.</w:t>
            </w:r>
          </w:p>
        </w:tc>
      </w:tr>
      <w:tr>
        <w:tc>
          <w:tcPr>
            <w:tcW w:type="dxa" w:w="2494"/>
          </w:tcPr>
          <w:p>
            <w:r/>
            <w:r>
              <w:rPr>
                <w:sz w:val="19"/>
              </w:rPr>
              <w:t>Rebrand / brand refresh</w:t>
            </w:r>
          </w:p>
        </w:tc>
        <w:tc>
          <w:tcPr>
            <w:tcW w:type="dxa" w:w="2608"/>
          </w:tcPr>
          <w:p>
            <w:r/>
            <w:r>
              <w:rPr>
                <w:sz w:val="19"/>
              </w:rPr>
              <w:t>New identity announcements</w:t>
            </w:r>
          </w:p>
        </w:tc>
        <w:tc>
          <w:tcPr>
            <w:tcW w:type="dxa" w:w="964"/>
          </w:tcPr>
          <w:p>
            <w:r/>
            <w:r>
              <w:rPr>
                <w:sz w:val="19"/>
              </w:rPr>
              <w:t>4–16 wks</w:t>
            </w:r>
          </w:p>
        </w:tc>
        <w:tc>
          <w:tcPr>
            <w:tcW w:type="dxa" w:w="3345"/>
          </w:tcPr>
          <w:p>
            <w:r/>
            <w:r>
              <w:rPr>
                <w:sz w:val="19"/>
              </w:rPr>
              <w:t>Pulls through senior brand and corporate affairs hires together.</w:t>
            </w:r>
          </w:p>
        </w:tc>
      </w:tr>
      <w:tr>
        <w:tc>
          <w:tcPr>
            <w:tcW w:type="dxa" w:w="2494"/>
          </w:tcPr>
          <w:p>
            <w:r/>
            <w:r>
              <w:rPr>
                <w:sz w:val="19"/>
              </w:rPr>
              <w:t>Agency account moves</w:t>
            </w:r>
          </w:p>
        </w:tc>
        <w:tc>
          <w:tcPr>
            <w:tcW w:type="dxa" w:w="2608"/>
          </w:tcPr>
          <w:p>
            <w:r/>
            <w:r>
              <w:rPr>
                <w:sz w:val="19"/>
              </w:rPr>
              <w:t>PR / creative / media accounts won and lost</w:t>
            </w:r>
          </w:p>
        </w:tc>
        <w:tc>
          <w:tcPr>
            <w:tcW w:type="dxa" w:w="964"/>
          </w:tcPr>
          <w:p>
            <w:r/>
            <w:r>
              <w:rPr>
                <w:sz w:val="19"/>
              </w:rPr>
              <w:t>0–16 wks</w:t>
            </w:r>
          </w:p>
        </w:tc>
        <w:tc>
          <w:tcPr>
            <w:tcW w:type="dxa" w:w="3345"/>
          </w:tcPr>
          <w:p>
            <w:r/>
            <w:r>
              <w:rPr>
                <w:sz w:val="19"/>
              </w:rPr>
              <w:t>Client-side reshuffles and agency-side delivery scaling both hire.</w:t>
            </w:r>
          </w:p>
        </w:tc>
      </w:tr>
      <w:tr>
        <w:tc>
          <w:tcPr>
            <w:tcW w:type="dxa" w:w="2494"/>
          </w:tcPr>
          <w:p>
            <w:r/>
            <w:r>
              <w:rPr>
                <w:sz w:val="19"/>
              </w:rPr>
              <w:t>ESG / B-Corp commitments</w:t>
            </w:r>
          </w:p>
        </w:tc>
        <w:tc>
          <w:tcPr>
            <w:tcW w:type="dxa" w:w="2608"/>
          </w:tcPr>
          <w:p>
            <w:r/>
            <w:r>
              <w:rPr>
                <w:sz w:val="19"/>
              </w:rPr>
              <w:t>Certifications, net-zero targets, CSRD obligations</w:t>
            </w:r>
          </w:p>
        </w:tc>
        <w:tc>
          <w:tcPr>
            <w:tcW w:type="dxa" w:w="964"/>
          </w:tcPr>
          <w:p>
            <w:r/>
            <w:r>
              <w:rPr>
                <w:sz w:val="19"/>
              </w:rPr>
              <w:t>8–26 wks</w:t>
            </w:r>
          </w:p>
        </w:tc>
        <w:tc>
          <w:tcPr>
            <w:tcW w:type="dxa" w:w="3345"/>
          </w:tcPr>
          <w:p>
            <w:r/>
            <w:r>
              <w:rPr>
                <w:sz w:val="19"/>
              </w:rPr>
              <w:t>Certification creates a communications obligation with legal exposure; sustainability-comms hires follow.</w:t>
            </w:r>
          </w:p>
        </w:tc>
      </w:tr>
    </w:tbl>
    <w:p>
      <w:pPr>
        <w:spacing w:after="40"/>
      </w:pPr>
    </w:p>
    <w:p>
      <w:pPr>
        <w:pStyle w:val="Heading2"/>
      </w:pPr>
      <w:r>
        <w:t>5.7 Deals, frameworks and competitor disruption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494"/>
            <w:shd w:val="clear" w:fill="16263F"/>
          </w:tcPr>
          <w:p>
            <w:r/>
            <w:r>
              <w:rPr>
                <w:b/>
                <w:color w:val="FFFFFF"/>
                <w:sz w:val="19"/>
              </w:rPr>
              <w:t>Trigger</w:t>
            </w:r>
          </w:p>
        </w:tc>
        <w:tc>
          <w:tcPr>
            <w:tcW w:type="dxa" w:w="2608"/>
            <w:shd w:val="clear" w:fill="16263F"/>
          </w:tcPr>
          <w:p>
            <w:r/>
            <w:r>
              <w:rPr>
                <w:b/>
                <w:color w:val="FFFFFF"/>
                <w:sz w:val="19"/>
              </w:rPr>
              <w:t>What it detects</w:t>
            </w:r>
          </w:p>
        </w:tc>
        <w:tc>
          <w:tcPr>
            <w:tcW w:type="dxa" w:w="964"/>
            <w:shd w:val="clear" w:fill="16263F"/>
          </w:tcPr>
          <w:p>
            <w:r/>
            <w:r>
              <w:rPr>
                <w:b/>
                <w:color w:val="FFFFFF"/>
                <w:sz w:val="19"/>
              </w:rPr>
              <w:t>Window</w:t>
            </w:r>
          </w:p>
        </w:tc>
        <w:tc>
          <w:tcPr>
            <w:tcW w:type="dxa" w:w="3345"/>
            <w:shd w:val="clear" w:fill="16263F"/>
          </w:tcPr>
          <w:p>
            <w:r/>
            <w:r>
              <w:rPr>
                <w:b/>
                <w:color w:val="FFFFFF"/>
                <w:sz w:val="19"/>
              </w:rPr>
              <w:t>Why it converts</w:t>
            </w:r>
          </w:p>
        </w:tc>
      </w:tr>
      <w:tr>
        <w:tc>
          <w:tcPr>
            <w:tcW w:type="dxa" w:w="2494"/>
          </w:tcPr>
          <w:p>
            <w:r/>
            <w:r>
              <w:rPr>
                <w:sz w:val="19"/>
              </w:rPr>
              <w:t>Public-sector framework award</w:t>
            </w:r>
          </w:p>
        </w:tc>
        <w:tc>
          <w:tcPr>
            <w:tcW w:type="dxa" w:w="2608"/>
          </w:tcPr>
          <w:p>
            <w:r/>
            <w:r>
              <w:rPr>
                <w:sz w:val="19"/>
              </w:rPr>
              <w:t>Agencies winning government framework slots</w:t>
            </w:r>
          </w:p>
        </w:tc>
        <w:tc>
          <w:tcPr>
            <w:tcW w:type="dxa" w:w="964"/>
          </w:tcPr>
          <w:p>
            <w:r/>
            <w:r>
              <w:rPr>
                <w:sz w:val="19"/>
              </w:rPr>
              <w:t>1–8 wks</w:t>
            </w:r>
          </w:p>
        </w:tc>
        <w:tc>
          <w:tcPr>
            <w:tcW w:type="dxa" w:w="3345"/>
          </w:tcPr>
          <w:p>
            <w:r/>
            <w:r>
              <w:rPr>
                <w:sz w:val="19"/>
              </w:rPr>
              <w:t>Winning agencies must scale delivery teams immediately; an agency-facing lead.</w:t>
            </w:r>
          </w:p>
        </w:tc>
      </w:tr>
      <w:tr>
        <w:tc>
          <w:tcPr>
            <w:tcW w:type="dxa" w:w="2494"/>
          </w:tcPr>
          <w:p>
            <w:r/>
            <w:r>
              <w:rPr>
                <w:sz w:val="19"/>
              </w:rPr>
              <w:t>Framework displacement</w:t>
            </w:r>
          </w:p>
        </w:tc>
        <w:tc>
          <w:tcPr>
            <w:tcW w:type="dxa" w:w="2608"/>
          </w:tcPr>
          <w:p>
            <w:r/>
            <w:r>
              <w:rPr>
                <w:sz w:val="19"/>
              </w:rPr>
              <w:t>An incumbent supplier disrupted by breach, turnover, regulatory action or liquidation</w:t>
            </w:r>
          </w:p>
        </w:tc>
        <w:tc>
          <w:tcPr>
            <w:tcW w:type="dxa" w:w="964"/>
          </w:tcPr>
          <w:p>
            <w:r/>
            <w:r>
              <w:rPr>
                <w:sz w:val="19"/>
              </w:rPr>
              <w:t>immediate</w:t>
            </w:r>
          </w:p>
        </w:tc>
        <w:tc>
          <w:tcPr>
            <w:tcW w:type="dxa" w:w="3345"/>
          </w:tcPr>
          <w:p>
            <w:r/>
            <w:r>
              <w:rPr>
                <w:sz w:val="19"/>
              </w:rPr>
              <w:t>The client still has hiring volume but its supply vehicle has stalled; the window to approach procurement.</w:t>
            </w:r>
          </w:p>
        </w:tc>
      </w:tr>
      <w:tr>
        <w:tc>
          <w:tcPr>
            <w:tcW w:type="dxa" w:w="2494"/>
          </w:tcPr>
          <w:p>
            <w:r/>
            <w:r>
              <w:rPr>
                <w:sz w:val="19"/>
              </w:rPr>
              <w:t>Competitor mandates</w:t>
            </w:r>
          </w:p>
        </w:tc>
        <w:tc>
          <w:tcPr>
            <w:tcW w:type="dxa" w:w="2608"/>
          </w:tcPr>
          <w:p>
            <w:r/>
            <w:r>
              <w:rPr>
                <w:sz w:val="19"/>
              </w:rPr>
              <w:t>Stale, aged competitor searches still unfilled</w:t>
            </w:r>
          </w:p>
        </w:tc>
        <w:tc>
          <w:tcPr>
            <w:tcW w:type="dxa" w:w="964"/>
          </w:tcPr>
          <w:p>
            <w:r/>
            <w:r>
              <w:rPr>
                <w:sz w:val="19"/>
              </w:rPr>
              <w:t>immediate</w:t>
            </w:r>
          </w:p>
        </w:tc>
        <w:tc>
          <w:tcPr>
            <w:tcW w:type="dxa" w:w="3345"/>
          </w:tcPr>
          <w:p>
            <w:r/>
            <w:r>
              <w:rPr>
                <w:sz w:val="19"/>
              </w:rPr>
              <w:t>A competitor's failing search is a direct opening for VMA.</w:t>
            </w:r>
          </w:p>
        </w:tc>
      </w:tr>
      <w:tr>
        <w:tc>
          <w:tcPr>
            <w:tcW w:type="dxa" w:w="2494"/>
          </w:tcPr>
          <w:p>
            <w:r/>
            <w:r>
              <w:rPr>
                <w:sz w:val="19"/>
              </w:rPr>
              <w:t>Contract-end windows</w:t>
            </w:r>
          </w:p>
        </w:tc>
        <w:tc>
          <w:tcPr>
            <w:tcW w:type="dxa" w:w="2608"/>
          </w:tcPr>
          <w:p>
            <w:r/>
            <w:r>
              <w:rPr>
                <w:sz w:val="19"/>
              </w:rPr>
              <w:t>Public-sector contracts approaching re-tender</w:t>
            </w:r>
          </w:p>
        </w:tc>
        <w:tc>
          <w:tcPr>
            <w:tcW w:type="dxa" w:w="964"/>
          </w:tcPr>
          <w:p>
            <w:r/>
            <w:r>
              <w:rPr>
                <w:sz w:val="19"/>
              </w:rPr>
              <w:t>scheduled</w:t>
            </w:r>
          </w:p>
        </w:tc>
        <w:tc>
          <w:tcPr>
            <w:tcW w:type="dxa" w:w="3345"/>
          </w:tcPr>
          <w:p>
            <w:r/>
            <w:r>
              <w:rPr>
                <w:sz w:val="19"/>
              </w:rPr>
              <w:t>Re-tender periods concentrate comms and bid-team hiring.</w:t>
            </w:r>
          </w:p>
        </w:tc>
      </w:tr>
    </w:tbl>
    <w:p>
      <w:pPr>
        <w:spacing w:after="40"/>
      </w:pPr>
    </w:p>
    <w:p>
      <w:pPr>
        <w:pStyle w:val="Heading2"/>
      </w:pPr>
      <w:r>
        <w:t>5.8 Structural job-board signals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494"/>
            <w:shd w:val="clear" w:fill="16263F"/>
          </w:tcPr>
          <w:p>
            <w:r/>
            <w:r>
              <w:rPr>
                <w:b/>
                <w:color w:val="FFFFFF"/>
                <w:sz w:val="19"/>
              </w:rPr>
              <w:t>Trigger</w:t>
            </w:r>
          </w:p>
        </w:tc>
        <w:tc>
          <w:tcPr>
            <w:tcW w:type="dxa" w:w="2608"/>
            <w:shd w:val="clear" w:fill="16263F"/>
          </w:tcPr>
          <w:p>
            <w:r/>
            <w:r>
              <w:rPr>
                <w:b/>
                <w:color w:val="FFFFFF"/>
                <w:sz w:val="19"/>
              </w:rPr>
              <w:t>What it detects</w:t>
            </w:r>
          </w:p>
        </w:tc>
        <w:tc>
          <w:tcPr>
            <w:tcW w:type="dxa" w:w="964"/>
            <w:shd w:val="clear" w:fill="16263F"/>
          </w:tcPr>
          <w:p>
            <w:r/>
            <w:r>
              <w:rPr>
                <w:b/>
                <w:color w:val="FFFFFF"/>
                <w:sz w:val="19"/>
              </w:rPr>
              <w:t>Window</w:t>
            </w:r>
          </w:p>
        </w:tc>
        <w:tc>
          <w:tcPr>
            <w:tcW w:type="dxa" w:w="3345"/>
            <w:shd w:val="clear" w:fill="16263F"/>
          </w:tcPr>
          <w:p>
            <w:r/>
            <w:r>
              <w:rPr>
                <w:b/>
                <w:color w:val="FFFFFF"/>
                <w:sz w:val="19"/>
              </w:rPr>
              <w:t>Why it converts</w:t>
            </w:r>
          </w:p>
        </w:tc>
      </w:tr>
      <w:tr>
        <w:tc>
          <w:tcPr>
            <w:tcW w:type="dxa" w:w="2494"/>
          </w:tcPr>
          <w:p>
            <w:r/>
            <w:r>
              <w:rPr>
                <w:sz w:val="19"/>
              </w:rPr>
              <w:t>Job-ad cluster (the 'Thames Water mechanic')</w:t>
            </w:r>
          </w:p>
        </w:tc>
        <w:tc>
          <w:tcPr>
            <w:tcW w:type="dxa" w:w="2608"/>
          </w:tcPr>
          <w:p>
            <w:r/>
            <w:r>
              <w:rPr>
                <w:sz w:val="19"/>
              </w:rPr>
              <w:t>Two or more mid-level comms roles at one employer inside 30 days with no senior role advertised</w:t>
            </w:r>
          </w:p>
        </w:tc>
        <w:tc>
          <w:tcPr>
            <w:tcW w:type="dxa" w:w="964"/>
          </w:tcPr>
          <w:p>
            <w:r/>
            <w:r>
              <w:rPr>
                <w:sz w:val="19"/>
              </w:rPr>
              <w:t>4–12 wks</w:t>
            </w:r>
          </w:p>
        </w:tc>
        <w:tc>
          <w:tcPr>
            <w:tcW w:type="dxa" w:w="3345"/>
          </w:tcPr>
          <w:p>
            <w:r/>
            <w:r>
              <w:rPr>
                <w:sz w:val="19"/>
              </w:rPr>
              <w:t>Roughly a 60% base rate of a senior comms hire within 90 days; the team is being built before the leader.</w:t>
            </w:r>
          </w:p>
        </w:tc>
      </w:tr>
      <w:tr>
        <w:tc>
          <w:tcPr>
            <w:tcW w:type="dxa" w:w="2494"/>
          </w:tcPr>
          <w:p>
            <w:r/>
            <w:r>
              <w:rPr>
                <w:sz w:val="19"/>
              </w:rPr>
              <w:t>Hiring gap</w:t>
            </w:r>
          </w:p>
        </w:tc>
        <w:tc>
          <w:tcPr>
            <w:tcW w:type="dxa" w:w="2608"/>
          </w:tcPr>
          <w:p>
            <w:r/>
            <w:r>
              <w:rPr>
                <w:sz w:val="19"/>
              </w:rPr>
              <w:t>Ten or more open roles with zero comms roles</w:t>
            </w:r>
          </w:p>
        </w:tc>
        <w:tc>
          <w:tcPr>
            <w:tcW w:type="dxa" w:w="964"/>
          </w:tcPr>
          <w:p>
            <w:r/>
            <w:r>
              <w:rPr>
                <w:sz w:val="19"/>
              </w:rPr>
              <w:t>immediate</w:t>
            </w:r>
          </w:p>
        </w:tc>
        <w:tc>
          <w:tcPr>
            <w:tcW w:type="dxa" w:w="3345"/>
          </w:tcPr>
          <w:p>
            <w:r/>
            <w:r>
              <w:rPr>
                <w:sz w:val="19"/>
              </w:rPr>
              <w:t>A company scaling fast with nobody managing its public profile is a prime pitch.</w:t>
            </w:r>
          </w:p>
        </w:tc>
      </w:tr>
      <w:tr>
        <w:tc>
          <w:tcPr>
            <w:tcW w:type="dxa" w:w="2494"/>
          </w:tcPr>
          <w:p>
            <w:r/>
            <w:r>
              <w:rPr>
                <w:sz w:val="19"/>
              </w:rPr>
              <w:t>Seniority gap</w:t>
            </w:r>
          </w:p>
        </w:tc>
        <w:tc>
          <w:tcPr>
            <w:tcW w:type="dxa" w:w="2608"/>
          </w:tcPr>
          <w:p>
            <w:r/>
            <w:r>
              <w:rPr>
                <w:sz w:val="19"/>
              </w:rPr>
              <w:t>A new senior arrival with a junior-only team beneath</w:t>
            </w:r>
          </w:p>
        </w:tc>
        <w:tc>
          <w:tcPr>
            <w:tcW w:type="dxa" w:w="964"/>
          </w:tcPr>
          <w:p>
            <w:r/>
            <w:r>
              <w:rPr>
                <w:sz w:val="19"/>
              </w:rPr>
              <w:t>8–16 wks</w:t>
            </w:r>
          </w:p>
        </w:tc>
        <w:tc>
          <w:tcPr>
            <w:tcW w:type="dxa" w:w="3345"/>
          </w:tcPr>
          <w:p>
            <w:r/>
            <w:r>
              <w:rPr>
                <w:sz w:val="19"/>
              </w:rPr>
              <w:t>The new leader needs a management layer; a follow-on wave of placements.</w:t>
            </w:r>
          </w:p>
        </w:tc>
      </w:tr>
    </w:tbl>
    <w:p>
      <w:pPr>
        <w:spacing w:after="40"/>
      </w:pPr>
    </w:p>
    <w:p>
      <w:pPr>
        <w:pStyle w:val="Heading2"/>
      </w:pPr>
      <w:r>
        <w:t>5.9 Leadership succession and restlessness signals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494"/>
            <w:shd w:val="clear" w:fill="16263F"/>
          </w:tcPr>
          <w:p>
            <w:r/>
            <w:r>
              <w:rPr>
                <w:b/>
                <w:color w:val="FFFFFF"/>
                <w:sz w:val="19"/>
              </w:rPr>
              <w:t>Trigger</w:t>
            </w:r>
          </w:p>
        </w:tc>
        <w:tc>
          <w:tcPr>
            <w:tcW w:type="dxa" w:w="2608"/>
            <w:shd w:val="clear" w:fill="16263F"/>
          </w:tcPr>
          <w:p>
            <w:r/>
            <w:r>
              <w:rPr>
                <w:b/>
                <w:color w:val="FFFFFF"/>
                <w:sz w:val="19"/>
              </w:rPr>
              <w:t>What it detects</w:t>
            </w:r>
          </w:p>
        </w:tc>
        <w:tc>
          <w:tcPr>
            <w:tcW w:type="dxa" w:w="964"/>
            <w:shd w:val="clear" w:fill="16263F"/>
          </w:tcPr>
          <w:p>
            <w:r/>
            <w:r>
              <w:rPr>
                <w:b/>
                <w:color w:val="FFFFFF"/>
                <w:sz w:val="19"/>
              </w:rPr>
              <w:t>Window</w:t>
            </w:r>
          </w:p>
        </w:tc>
        <w:tc>
          <w:tcPr>
            <w:tcW w:type="dxa" w:w="3345"/>
            <w:shd w:val="clear" w:fill="16263F"/>
          </w:tcPr>
          <w:p>
            <w:r/>
            <w:r>
              <w:rPr>
                <w:b/>
                <w:color w:val="FFFFFF"/>
                <w:sz w:val="19"/>
              </w:rPr>
              <w:t>Why it converts</w:t>
            </w:r>
          </w:p>
        </w:tc>
      </w:tr>
      <w:tr>
        <w:tc>
          <w:tcPr>
            <w:tcW w:type="dxa" w:w="2494"/>
          </w:tcPr>
          <w:p>
            <w:r/>
            <w:r>
              <w:rPr>
                <w:sz w:val="19"/>
              </w:rPr>
              <w:t>NED / trustee appointment</w:t>
            </w:r>
          </w:p>
        </w:tc>
        <w:tc>
          <w:tcPr>
            <w:tcW w:type="dxa" w:w="2608"/>
          </w:tcPr>
          <w:p>
            <w:r/>
            <w:r>
              <w:rPr>
                <w:sz w:val="19"/>
              </w:rPr>
              <w:t>A sitting comms leader taking an external board seat</w:t>
            </w:r>
          </w:p>
        </w:tc>
        <w:tc>
          <w:tcPr>
            <w:tcW w:type="dxa" w:w="964"/>
          </w:tcPr>
          <w:p>
            <w:r/>
            <w:r>
              <w:rPr>
                <w:sz w:val="19"/>
              </w:rPr>
              <w:t>12–18 mths</w:t>
            </w:r>
          </w:p>
        </w:tc>
        <w:tc>
          <w:tcPr>
            <w:tcW w:type="dxa" w:w="3345"/>
          </w:tcPr>
          <w:p>
            <w:r/>
            <w:r>
              <w:rPr>
                <w:sz w:val="19"/>
              </w:rPr>
              <w:t>The strongest soft signal of an exit; opens both the backfill brief and the candidate relationship.</w:t>
            </w:r>
          </w:p>
        </w:tc>
      </w:tr>
      <w:tr>
        <w:tc>
          <w:tcPr>
            <w:tcW w:type="dxa" w:w="2494"/>
          </w:tcPr>
          <w:p>
            <w:r/>
            <w:r>
              <w:rPr>
                <w:sz w:val="19"/>
              </w:rPr>
              <w:t>Personal-brand velocity</w:t>
            </w:r>
          </w:p>
        </w:tc>
        <w:tc>
          <w:tcPr>
            <w:tcW w:type="dxa" w:w="2608"/>
          </w:tcPr>
          <w:p>
            <w:r/>
            <w:r>
              <w:rPr>
                <w:sz w:val="19"/>
              </w:rPr>
              <w:t>Conference speaking, awards and committee seats accelerating</w:t>
            </w:r>
          </w:p>
        </w:tc>
        <w:tc>
          <w:tcPr>
            <w:tcW w:type="dxa" w:w="964"/>
          </w:tcPr>
          <w:p>
            <w:r/>
            <w:r>
              <w:rPr>
                <w:sz w:val="19"/>
              </w:rPr>
              <w:t>6–12 mths</w:t>
            </w:r>
          </w:p>
        </w:tc>
        <w:tc>
          <w:tcPr>
            <w:tcW w:type="dxa" w:w="3345"/>
          </w:tcPr>
          <w:p>
            <w:r/>
            <w:r>
              <w:rPr>
                <w:sz w:val="19"/>
              </w:rPr>
              <w:t>Rising external visibility precedes a move; flags flight risk at the employer.</w:t>
            </w:r>
          </w:p>
        </w:tc>
      </w:tr>
      <w:tr>
        <w:tc>
          <w:tcPr>
            <w:tcW w:type="dxa" w:w="2494"/>
          </w:tcPr>
          <w:p>
            <w:r/>
            <w:r>
              <w:rPr>
                <w:sz w:val="19"/>
              </w:rPr>
              <w:t>Leadership tenure clock</w:t>
            </w:r>
          </w:p>
        </w:tc>
        <w:tc>
          <w:tcPr>
            <w:tcW w:type="dxa" w:w="2608"/>
          </w:tcPr>
          <w:p>
            <w:r/>
            <w:r>
              <w:rPr>
                <w:sz w:val="19"/>
              </w:rPr>
              <w:t>Comms / marketing leaders passing the 24, 30, 36 and 48 month marks (from Companies House records)</w:t>
            </w:r>
          </w:p>
        </w:tc>
        <w:tc>
          <w:tcPr>
            <w:tcW w:type="dxa" w:w="964"/>
          </w:tcPr>
          <w:p>
            <w:r/>
            <w:r>
              <w:rPr>
                <w:sz w:val="19"/>
              </w:rPr>
              <w:t>6–12 mths</w:t>
            </w:r>
          </w:p>
        </w:tc>
        <w:tc>
          <w:tcPr>
            <w:tcW w:type="dxa" w:w="3345"/>
          </w:tcPr>
          <w:p>
            <w:r/>
            <w:r>
              <w:rPr>
                <w:sz w:val="19"/>
              </w:rPr>
              <w:t>CCO and CMO tenures are among the shortest in the C-suite; long tenure is a statistical flight risk.</w:t>
            </w:r>
          </w:p>
        </w:tc>
      </w:tr>
      <w:tr>
        <w:tc>
          <w:tcPr>
            <w:tcW w:type="dxa" w:w="2494"/>
          </w:tcPr>
          <w:p>
            <w:r/>
            <w:r>
              <w:rPr>
                <w:sz w:val="19"/>
              </w:rPr>
              <w:t>Vacated seats (Hire Watch)</w:t>
            </w:r>
          </w:p>
        </w:tc>
        <w:tc>
          <w:tcPr>
            <w:tcW w:type="dxa" w:w="2608"/>
          </w:tcPr>
          <w:p>
            <w:r/>
            <w:r>
              <w:rPr>
                <w:sz w:val="19"/>
              </w:rPr>
              <w:t>A senior person announced as moving; the previous employer's seat is now open</w:t>
            </w:r>
          </w:p>
        </w:tc>
        <w:tc>
          <w:tcPr>
            <w:tcW w:type="dxa" w:w="964"/>
          </w:tcPr>
          <w:p>
            <w:r/>
            <w:r>
              <w:rPr>
                <w:sz w:val="19"/>
              </w:rPr>
              <w:t>0–8 wks</w:t>
            </w:r>
          </w:p>
        </w:tc>
        <w:tc>
          <w:tcPr>
            <w:tcW w:type="dxa" w:w="3345"/>
          </w:tcPr>
          <w:p>
            <w:r/>
            <w:r>
              <w:rPr>
                <w:sz w:val="19"/>
              </w:rPr>
              <w:t>Often surfaces before the previous employer advertises the replacement.</w:t>
            </w:r>
          </w:p>
        </w:tc>
      </w:tr>
    </w:tbl>
    <w:p>
      <w:pPr>
        <w:spacing w:after="40"/>
      </w:pPr>
    </w:p>
    <w:p>
      <w:pPr>
        <w:pStyle w:val="Heading2"/>
      </w:pPr>
      <w:r>
        <w:t>5.10 Statutory calendar pulses (date-driven, knowable in advance)</w:t>
      </w:r>
    </w:p>
    <w:p>
      <w:r>
        <w:rPr>
          <w:b w:val="0"/>
          <w:i w:val="0"/>
        </w:rPr>
        <w:t>These windows are forced by statute or the regulatory calendar, which means the timing is knowable before any role is advertised. Each pulse names the in-scope cohort, the target seat and the commission angle.</w:t>
      </w:r>
    </w:p>
    <w:tbl>
      <w:tblPr>
        <w:tblStyle w:val="TableGrid"/>
        <w:tblW w:type="auto" w:w="0"/>
        <w:jc w:val="center"/>
        <w:tblLook w:firstColumn="1" w:firstRow="1" w:lastColumn="0" w:lastRow="0" w:noHBand="0" w:noVBand="1" w:val="04A0"/>
      </w:tblPr>
      <w:tblGrid>
        <w:gridCol w:w="3137"/>
        <w:gridCol w:w="3137"/>
        <w:gridCol w:w="3137"/>
      </w:tblGrid>
      <w:tr>
        <w:tc>
          <w:tcPr>
            <w:tcW w:type="dxa" w:w="4082"/>
            <w:shd w:val="clear" w:fill="16263F"/>
          </w:tcPr>
          <w:p>
            <w:r/>
            <w:r>
              <w:rPr>
                <w:b/>
                <w:color w:val="FFFFFF"/>
                <w:sz w:val="19"/>
              </w:rPr>
              <w:t>Pulse</w:t>
            </w:r>
          </w:p>
        </w:tc>
        <w:tc>
          <w:tcPr>
            <w:tcW w:type="dxa" w:w="1361"/>
            <w:shd w:val="clear" w:fill="16263F"/>
          </w:tcPr>
          <w:p>
            <w:r/>
            <w:r>
              <w:rPr>
                <w:b/>
                <w:color w:val="FFFFFF"/>
                <w:sz w:val="19"/>
              </w:rPr>
              <w:t>Window</w:t>
            </w:r>
          </w:p>
        </w:tc>
        <w:tc>
          <w:tcPr>
            <w:tcW w:type="dxa" w:w="3969"/>
            <w:shd w:val="clear" w:fill="16263F"/>
          </w:tcPr>
          <w:p>
            <w:r/>
            <w:r>
              <w:rPr>
                <w:b/>
                <w:color w:val="FFFFFF"/>
                <w:sz w:val="19"/>
              </w:rPr>
              <w:t>Seat in demand</w:t>
            </w:r>
          </w:p>
        </w:tc>
      </w:tr>
      <w:tr>
        <w:tc>
          <w:tcPr>
            <w:tcW w:type="dxa" w:w="4082"/>
          </w:tcPr>
          <w:p>
            <w:r/>
            <w:r>
              <w:rPr>
                <w:sz w:val="19"/>
              </w:rPr>
              <w:t>FCA Consumer Duty annual report (31 July deadline)</w:t>
            </w:r>
          </w:p>
        </w:tc>
        <w:tc>
          <w:tcPr>
            <w:tcW w:type="dxa" w:w="1361"/>
          </w:tcPr>
          <w:p>
            <w:r/>
            <w:r>
              <w:rPr>
                <w:sz w:val="19"/>
              </w:rPr>
              <w:t>Apr–Jul</w:t>
            </w:r>
          </w:p>
        </w:tc>
        <w:tc>
          <w:tcPr>
            <w:tcW w:type="dxa" w:w="3969"/>
          </w:tcPr>
          <w:p>
            <w:r/>
            <w:r>
              <w:rPr>
                <w:sz w:val="19"/>
              </w:rPr>
              <w:t>Head of Regulatory / Customer Communications</w:t>
            </w:r>
          </w:p>
        </w:tc>
      </w:tr>
      <w:tr>
        <w:tc>
          <w:tcPr>
            <w:tcW w:type="dxa" w:w="4082"/>
          </w:tcPr>
          <w:p>
            <w:r/>
            <w:r>
              <w:rPr>
                <w:sz w:val="19"/>
              </w:rPr>
              <w:t>Gender pay gap reporting (30 Mar / 4 Apr deadlines)</w:t>
            </w:r>
          </w:p>
        </w:tc>
        <w:tc>
          <w:tcPr>
            <w:tcW w:type="dxa" w:w="1361"/>
          </w:tcPr>
          <w:p>
            <w:r/>
            <w:r>
              <w:rPr>
                <w:sz w:val="19"/>
              </w:rPr>
              <w:t>Mar–Jun</w:t>
            </w:r>
          </w:p>
        </w:tc>
        <w:tc>
          <w:tcPr>
            <w:tcW w:type="dxa" w:w="3969"/>
          </w:tcPr>
          <w:p>
            <w:r/>
            <w:r>
              <w:rPr>
                <w:sz w:val="19"/>
              </w:rPr>
              <w:t>Head of Internal / DEI Communications</w:t>
            </w:r>
          </w:p>
        </w:tc>
      </w:tr>
      <w:tr>
        <w:tc>
          <w:tcPr>
            <w:tcW w:type="dxa" w:w="4082"/>
          </w:tcPr>
          <w:p>
            <w:r/>
            <w:r>
              <w:rPr>
                <w:sz w:val="19"/>
              </w:rPr>
              <w:t>AGM season for December year-end issuers</w:t>
            </w:r>
          </w:p>
        </w:tc>
        <w:tc>
          <w:tcPr>
            <w:tcW w:type="dxa" w:w="1361"/>
          </w:tcPr>
          <w:p>
            <w:r/>
            <w:r>
              <w:rPr>
                <w:sz w:val="19"/>
              </w:rPr>
              <w:t>Feb–Jun</w:t>
            </w:r>
          </w:p>
        </w:tc>
        <w:tc>
          <w:tcPr>
            <w:tcW w:type="dxa" w:w="3969"/>
          </w:tcPr>
          <w:p>
            <w:r/>
            <w:r>
              <w:rPr>
                <w:sz w:val="19"/>
              </w:rPr>
              <w:t>Head of Investor Relations / Corporate Reporting Comms</w:t>
            </w:r>
          </w:p>
        </w:tc>
      </w:tr>
      <w:tr>
        <w:tc>
          <w:tcPr>
            <w:tcW w:type="dxa" w:w="4082"/>
          </w:tcPr>
          <w:p>
            <w:r/>
            <w:r>
              <w:rPr>
                <w:sz w:val="19"/>
              </w:rPr>
              <w:t>NHS operational planning (April financial year)</w:t>
            </w:r>
          </w:p>
        </w:tc>
        <w:tc>
          <w:tcPr>
            <w:tcW w:type="dxa" w:w="1361"/>
          </w:tcPr>
          <w:p>
            <w:r/>
            <w:r>
              <w:rPr>
                <w:sz w:val="19"/>
              </w:rPr>
              <w:t>Jan–May</w:t>
            </w:r>
          </w:p>
        </w:tc>
        <w:tc>
          <w:tcPr>
            <w:tcW w:type="dxa" w:w="3969"/>
          </w:tcPr>
          <w:p>
            <w:r/>
            <w:r>
              <w:rPr>
                <w:sz w:val="19"/>
              </w:rPr>
              <w:t>Director of Communications (transition comms)</w:t>
            </w:r>
          </w:p>
        </w:tc>
      </w:tr>
      <w:tr>
        <w:tc>
          <w:tcPr>
            <w:tcW w:type="dxa" w:w="4082"/>
          </w:tcPr>
          <w:p>
            <w:r/>
            <w:r>
              <w:rPr>
                <w:sz w:val="19"/>
              </w:rPr>
              <w:t>UK Sustainability Reporting Standards adoption (2026)</w:t>
            </w:r>
          </w:p>
        </w:tc>
        <w:tc>
          <w:tcPr>
            <w:tcW w:type="dxa" w:w="1361"/>
          </w:tcPr>
          <w:p>
            <w:r/>
            <w:r>
              <w:rPr>
                <w:sz w:val="19"/>
              </w:rPr>
              <w:t>Jan–Dec</w:t>
            </w:r>
          </w:p>
        </w:tc>
        <w:tc>
          <w:tcPr>
            <w:tcW w:type="dxa" w:w="3969"/>
          </w:tcPr>
          <w:p>
            <w:r/>
            <w:r>
              <w:rPr>
                <w:sz w:val="19"/>
              </w:rPr>
              <w:t>Head of Sustainability / ESG Communications</w:t>
            </w:r>
          </w:p>
        </w:tc>
      </w:tr>
      <w:tr>
        <w:tc>
          <w:tcPr>
            <w:tcW w:type="dxa" w:w="4082"/>
          </w:tcPr>
          <w:p>
            <w:r/>
            <w:r>
              <w:rPr>
                <w:sz w:val="19"/>
              </w:rPr>
              <w:t>Spending Review reorganisation cycle (2026–27)</w:t>
            </w:r>
          </w:p>
        </w:tc>
        <w:tc>
          <w:tcPr>
            <w:tcW w:type="dxa" w:w="1361"/>
          </w:tcPr>
          <w:p>
            <w:r/>
            <w:r>
              <w:rPr>
                <w:sz w:val="19"/>
              </w:rPr>
              <w:t>Apr–Dec</w:t>
            </w:r>
          </w:p>
        </w:tc>
        <w:tc>
          <w:tcPr>
            <w:tcW w:type="dxa" w:w="3969"/>
          </w:tcPr>
          <w:p>
            <w:r/>
            <w:r>
              <w:rPr>
                <w:sz w:val="19"/>
              </w:rPr>
              <w:t>Government comms leadership and transition briefs</w:t>
            </w:r>
          </w:p>
        </w:tc>
      </w:tr>
      <w:tr>
        <w:tc>
          <w:tcPr>
            <w:tcW w:type="dxa" w:w="4082"/>
          </w:tcPr>
          <w:p>
            <w:r/>
            <w:r>
              <w:rPr>
                <w:sz w:val="19"/>
              </w:rPr>
              <w:t>Higher education clearing and intake (UCAS)</w:t>
            </w:r>
          </w:p>
        </w:tc>
        <w:tc>
          <w:tcPr>
            <w:tcW w:type="dxa" w:w="1361"/>
          </w:tcPr>
          <w:p>
            <w:r/>
            <w:r>
              <w:rPr>
                <w:sz w:val="19"/>
              </w:rPr>
              <w:t>Jun–Sep</w:t>
            </w:r>
          </w:p>
        </w:tc>
        <w:tc>
          <w:tcPr>
            <w:tcW w:type="dxa" w:w="3969"/>
          </w:tcPr>
          <w:p>
            <w:r/>
            <w:r>
              <w:rPr>
                <w:sz w:val="19"/>
              </w:rPr>
              <w:t>Head of Communications / Student Recruitment</w:t>
            </w:r>
          </w:p>
        </w:tc>
      </w:tr>
      <w:tr>
        <w:tc>
          <w:tcPr>
            <w:tcW w:type="dxa" w:w="4082"/>
          </w:tcPr>
          <w:p>
            <w:r/>
            <w:r>
              <w:rPr>
                <w:sz w:val="19"/>
              </w:rPr>
              <w:t>Industry awards and conferences (CIPR, IoIC, ICCO and others)</w:t>
            </w:r>
          </w:p>
        </w:tc>
        <w:tc>
          <w:tcPr>
            <w:tcW w:type="dxa" w:w="1361"/>
          </w:tcPr>
          <w:p>
            <w:r/>
            <w:r>
              <w:rPr>
                <w:sz w:val="19"/>
              </w:rPr>
              <w:t>4–8 wks pre-event</w:t>
            </w:r>
          </w:p>
        </w:tc>
        <w:tc>
          <w:tcPr>
            <w:tcW w:type="dxa" w:w="3969"/>
          </w:tcPr>
          <w:p>
            <w:r/>
            <w:r>
              <w:rPr>
                <w:sz w:val="19"/>
              </w:rPr>
              <w:t>Finalist and shortlist outreach hooks</w:t>
            </w:r>
          </w:p>
        </w:tc>
      </w:tr>
    </w:tbl>
    <w:p>
      <w:pPr>
        <w:spacing w:after="40"/>
      </w:pPr>
    </w:p>
    <w:p>
      <w:pPr>
        <w:pStyle w:val="Heading2"/>
      </w:pPr>
      <w:r>
        <w:t>5.11 How signals combine</w:t>
      </w:r>
    </w:p>
    <w:p>
      <w:pPr>
        <w:pStyle w:val="ListBullet"/>
      </w:pPr>
      <w:r>
        <w:rPr>
          <w:b/>
        </w:rPr>
        <w:t xml:space="preserve">Stacking. </w:t>
      </w:r>
      <w:r>
        <w:t>Two triggers at the same company inside 30 days multiply the score by 1.6x; three or more by 2.2x. A CEO change plus a restructure is worth far more than either alone.</w:t>
      </w:r>
    </w:p>
    <w:p>
      <w:pPr>
        <w:pStyle w:val="ListBullet"/>
      </w:pPr>
      <w:r>
        <w:rPr>
          <w:b/>
        </w:rPr>
        <w:t xml:space="preserve">Freshness decay. </w:t>
      </w:r>
      <w:r>
        <w:t>Full weight for the first week, reduced to three weeks, then the event leaves the pipeline; per-family hold periods stop a brand-new event being called too early (leadership changes present in the 4 to 12 week window), and a fresh event no longer re-freezes an already mature stack.</w:t>
      </w:r>
    </w:p>
    <w:p>
      <w:pPr>
        <w:pStyle w:val="ListBullet"/>
      </w:pPr>
      <w:r>
        <w:rPr>
          <w:b/>
        </w:rPr>
        <w:t xml:space="preserve">Watchlist weighting. </w:t>
      </w:r>
      <w:r>
        <w:t>Curated strategic accounts outrank broader-market matches of equal signal, so noise never crowds out the accounts that matter.</w:t>
      </w:r>
    </w:p>
    <w:p>
      <w:pPr>
        <w:pStyle w:val="ListBullet"/>
      </w:pPr>
      <w:r>
        <w:rPr>
          <w:b/>
        </w:rPr>
        <w:t xml:space="preserve">Retention. </w:t>
      </w:r>
      <w:r>
        <w:t>Active leads live for 30 days, followed-up leads for 90, and long-window events (funding rounds, SAR) persist through their natural windows.</w:t>
      </w:r>
    </w:p>
    <w:p>
      <w:r>
        <w:br w:type="page"/>
      </w:r>
    </w:p>
    <w:p>
      <w:pPr>
        <w:pStyle w:val="Heading1"/>
      </w:pPr>
      <w:r>
        <w:t>6. The down-market engine (Build v2): creating demand where none is advertised</w:t>
      </w:r>
    </w:p>
    <w:p>
      <w:r>
        <w:rPr>
          <w:b w:val="0"/>
          <w:i w:val="0"/>
        </w:rPr>
        <w:t>Version 1 answered 'who is hiring?'. In a quiet market that is the wrong question: fewer companies hire, and those that do try to do it in-house. Build v2 retargeted the engine at willingness to pay a fee, and added tools that create demand rather than waiting for it. These detectors require no new data fetches; they mine the ledgers the platform already keeps.</w:t>
      </w:r>
    </w:p>
    <w:p>
      <w:pPr>
        <w:pStyle w:val="Heading2"/>
      </w:pPr>
      <w:r>
        <w:t>Three counter-cyclical detectors</w:t>
      </w:r>
    </w:p>
    <w:tbl>
      <w:tblPr>
        <w:tblStyle w:val="TableGrid"/>
        <w:tblW w:type="auto" w:w="0"/>
        <w:jc w:val="center"/>
        <w:tblLook w:firstColumn="1" w:firstRow="1" w:lastColumn="0" w:lastRow="0" w:noHBand="0" w:noVBand="1" w:val="04A0"/>
      </w:tblPr>
      <w:tblGrid>
        <w:gridCol w:w="3137"/>
        <w:gridCol w:w="3137"/>
        <w:gridCol w:w="3137"/>
      </w:tblGrid>
      <w:tr>
        <w:tc>
          <w:tcPr>
            <w:tcW w:type="dxa" w:w="2041"/>
            <w:shd w:val="clear" w:fill="16263F"/>
          </w:tcPr>
          <w:p>
            <w:r/>
            <w:r>
              <w:rPr>
                <w:b/>
                <w:color w:val="FFFFFF"/>
                <w:sz w:val="19"/>
              </w:rPr>
              <w:t>Trigger</w:t>
            </w:r>
          </w:p>
        </w:tc>
        <w:tc>
          <w:tcPr>
            <w:tcW w:type="dxa" w:w="3402"/>
            <w:shd w:val="clear" w:fill="16263F"/>
          </w:tcPr>
          <w:p>
            <w:r/>
            <w:r>
              <w:rPr>
                <w:b/>
                <w:color w:val="FFFFFF"/>
                <w:sz w:val="19"/>
              </w:rPr>
              <w:t>What it catches</w:t>
            </w:r>
          </w:p>
        </w:tc>
        <w:tc>
          <w:tcPr>
            <w:tcW w:type="dxa" w:w="3969"/>
            <w:shd w:val="clear" w:fill="16263F"/>
          </w:tcPr>
          <w:p>
            <w:r/>
            <w:r>
              <w:rPr>
                <w:b/>
                <w:color w:val="FFFFFF"/>
                <w:sz w:val="19"/>
              </w:rPr>
              <w:t>Why it is the best call in a quiet market</w:t>
            </w:r>
          </w:p>
        </w:tc>
      </w:tr>
      <w:tr>
        <w:tc>
          <w:tcPr>
            <w:tcW w:type="dxa" w:w="2041"/>
          </w:tcPr>
          <w:p>
            <w:r/>
            <w:r>
              <w:rPr>
                <w:sz w:val="19"/>
              </w:rPr>
              <w:t>In-house search failing</w:t>
            </w:r>
          </w:p>
        </w:tc>
        <w:tc>
          <w:tcPr>
            <w:tcW w:type="dxa" w:w="3402"/>
          </w:tcPr>
          <w:p>
            <w:r/>
            <w:r>
              <w:rPr>
                <w:sz w:val="19"/>
              </w:rPr>
              <w:t>A senior role live for 45+ days with no recruiter attached, or withdrawn and then re-posted (the repost signature is tracked in a persistent posting ledger)</w:t>
            </w:r>
          </w:p>
        </w:tc>
        <w:tc>
          <w:tcPr>
            <w:tcW w:type="dxa" w:w="3969"/>
          </w:tcPr>
          <w:p>
            <w:r/>
            <w:r>
              <w:rPr>
                <w:sz w:val="19"/>
              </w:rPr>
              <w:t>The buyer has already paid the cost of the DIY route and the failure is visible. The highest-converting fee conversation available: 'your search is not working; let us take it from here.'</w:t>
            </w:r>
          </w:p>
        </w:tc>
      </w:tr>
      <w:tr>
        <w:tc>
          <w:tcPr>
            <w:tcW w:type="dxa" w:w="2041"/>
          </w:tcPr>
          <w:p>
            <w:r/>
            <w:r>
              <w:rPr>
                <w:sz w:val="19"/>
              </w:rPr>
              <w:t>Hiring restart</w:t>
            </w:r>
          </w:p>
        </w:tc>
        <w:tc>
          <w:tcPr>
            <w:tcW w:type="dxa" w:w="3402"/>
          </w:tcPr>
          <w:p>
            <w:r/>
            <w:r>
              <w:rPr>
                <w:sz w:val="19"/>
              </w:rPr>
              <w:t>The first senior posting after six or more months of company-level silence</w:t>
            </w:r>
          </w:p>
        </w:tc>
        <w:tc>
          <w:tcPr>
            <w:tcW w:type="dxa" w:w="3969"/>
          </w:tcPr>
          <w:p>
            <w:r/>
            <w:r>
              <w:rPr>
                <w:sz w:val="19"/>
              </w:rPr>
              <w:t>The freeze has just thawed and competitors still treat the account as dormant. First through the door wins the relationship for the year.</w:t>
            </w:r>
          </w:p>
        </w:tc>
      </w:tr>
      <w:tr>
        <w:tc>
          <w:tcPr>
            <w:tcW w:type="dxa" w:w="2041"/>
          </w:tcPr>
          <w:p>
            <w:r/>
            <w:r>
              <w:rPr>
                <w:sz w:val="19"/>
              </w:rPr>
              <w:t>Mis-hire reversal</w:t>
            </w:r>
          </w:p>
        </w:tc>
        <w:tc>
          <w:tcPr>
            <w:tcW w:type="dxa" w:w="3402"/>
          </w:tcPr>
          <w:p>
            <w:r/>
            <w:r>
              <w:rPr>
                <w:sz w:val="19"/>
              </w:rPr>
              <w:t>A leader removed from the team page within ~18 months of joining (tenure-checked against archived snapshots)</w:t>
            </w:r>
          </w:p>
        </w:tc>
        <w:tc>
          <w:tcPr>
            <w:tcW w:type="dxa" w:w="3969"/>
          </w:tcPr>
          <w:p>
            <w:r/>
            <w:r>
              <w:rPr>
                <w:sz w:val="19"/>
              </w:rPr>
              <w:t>A board-visible failure forcing an urgent, usually confidential replacement; work that cannot be advertised and rarely stays in-house. The strongest retained-search signal in the engine.</w:t>
            </w:r>
          </w:p>
        </w:tc>
      </w:tr>
    </w:tbl>
    <w:p>
      <w:pPr>
        <w:spacing w:after="40"/>
      </w:pPr>
    </w:p>
    <w:p>
      <w:pPr>
        <w:pStyle w:val="Heading2"/>
      </w:pPr>
      <w:r>
        <w:t>Two demand-creation plays</w:t>
      </w:r>
    </w:p>
    <w:p>
      <w:pPr>
        <w:pStyle w:val="ListBullet"/>
      </w:pPr>
      <w:r>
        <w:rPr>
          <w:b/>
        </w:rPr>
        <w:t xml:space="preserve">MPC (Most Placeable Candidate) spec-marketing. </w:t>
      </w:r>
      <w:r>
        <w:t>Takes one outstanding available candidate and produces a pack of 8 to 12 one-page spec memos for companies with no advertised role but a verified structural reason to want that person: a live distress event, a predictor window, a new leader's first 90 days. Each memo names the buyer, cites the why-now with its source, anonymises the candidate, and supplies the first line of the call. A spec placement is a fee that did not exist.</w:t>
      </w:r>
    </w:p>
    <w:p>
      <w:pPr>
        <w:pStyle w:val="ListBullet"/>
      </w:pPr>
      <w:r>
        <w:rPr>
          <w:b/>
        </w:rPr>
        <w:t xml:space="preserve">CFO Memo. </w:t>
      </w:r>
      <w:r>
        <w:t>The internal business case our champion (the CCO or CMO) takes into their own budget meeting: the monthly cost of the empty seat from the house calculators, the in-house route (4 to 6 months, no guarantee) against the retained route (6-week methodology, milestone fees, replacement guarantee), and the net position stated conservatively with every assumption shown. It wins the internal sign-off fight that kills fees in a budget-cut market.</w:t>
      </w:r>
    </w:p>
    <w:p>
      <w:pPr>
        <w:pStyle w:val="Heading1"/>
      </w:pPr>
      <w:r>
        <w:t>7. Governance (Build v3): an Account Director is never shown noise</w:t>
      </w:r>
    </w:p>
    <w:p>
      <w:r>
        <w:rPr>
          <w:b w:val="0"/>
          <w:i w:val="0"/>
        </w:rPr>
        <w:t>Finding signals is only half the job; the other half is making sure a watching brief is never dressed up as a lead. Build v3 added an evidence-governance layer that decides what earns a place on the call-ready board.</w:t>
      </w:r>
    </w:p>
    <w:p>
      <w:pPr>
        <w:pStyle w:val="ListBullet"/>
      </w:pPr>
      <w:r>
        <w:rPr>
          <w:b/>
        </w:rPr>
        <w:t xml:space="preserve">The presentation gate. </w:t>
      </w:r>
      <w:r>
        <w:t>Hard rules decide call-readiness. A lead presents at full strength only with three or more independent source families including a primary source (a regulator, registry, RNS or procurement record). Two families with a credible source presents at moderate confidence. Anything thinner is queued with a recheck date and the reason shown on the card. Hard blockers (a competing recruiter, administration, a hiring freeze) never present, and amplifier-only signals can never lead on their own.</w:t>
      </w:r>
    </w:p>
    <w:p>
      <w:pPr>
        <w:pStyle w:val="ListBullet"/>
      </w:pPr>
      <w:r>
        <w:rPr>
          <w:b/>
        </w:rPr>
        <w:t xml:space="preserve">Lead Strength, scored not asserted. </w:t>
      </w:r>
      <w:r>
        <w:t>The 0 to 100 score on every card is built from auditable components: fit (26), signal (30), evidence (18), stacking (12), timing (8), with contradictions subtracting. Green at 70+ is call-ready; amber is developing; grey is early; red is blocked.</w:t>
      </w:r>
    </w:p>
    <w:p>
      <w:pPr>
        <w:pStyle w:val="ListBullet"/>
      </w:pPr>
      <w:r>
        <w:rPr>
          <w:b/>
        </w:rPr>
        <w:t xml:space="preserve">Compounding dossiers. </w:t>
      </w:r>
      <w:r>
        <w:t>Every company accumulates a permanent file: the full signal timeline with sources, every gate decision, every AD verdict and every investigation note. Slow-burn stories (three signals over five months) stop being invisible, and the next look at a company starts from memory, never zero.</w:t>
      </w:r>
    </w:p>
    <w:p>
      <w:pPr>
        <w:pStyle w:val="ListBullet"/>
      </w:pPr>
      <w:r>
        <w:rPr>
          <w:b/>
        </w:rPr>
        <w:t xml:space="preserve">The /investigate playbook. </w:t>
      </w:r>
      <w:r>
        <w:t>Any queued hypothesis can be put through a per-trigger investigation: confirm the facts from independent sources, run an adversarial pass ('what innocent explanation fits the same facts?'), then record a verdict. Confirmed leads present at high confidence; killed leads stay suppressed with the reason shown; verdicts expire after 21 days so stale judgements cannot outlive the facts.</w:t>
      </w:r>
    </w:p>
    <w:p>
      <w:pPr>
        <w:pStyle w:val="ListBullet"/>
      </w:pPr>
      <w:r>
        <w:rPr>
          <w:b/>
        </w:rPr>
        <w:t xml:space="preserve">Self-correction. </w:t>
      </w:r>
      <w:r>
        <w:t>Every presented lead can receive an AD verdict, and the acceptance rate is tracked. If the trailing seven-day acceptance falls below 50%, the gate automatically raises the evidence bar and cuts the daily cap from seven to five. The system tightens itself when quality slips. (The card-level verdict buttons are currently switched off at the Account Director's preference; the plumbing is live and re-enabling them restores the metric unchanged.)</w:t>
      </w:r>
    </w:p>
    <w:p>
      <w:r>
        <w:br w:type="page"/>
      </w:r>
    </w:p>
    <w:p>
      <w:pPr>
        <w:pStyle w:val="Heading1"/>
      </w:pPr>
      <w:r>
        <w:t>8. One-click work products: pitch packs, proposals, briefs and memos</w:t>
      </w:r>
    </w:p>
    <w:p>
      <w:r>
        <w:rPr>
          <w:b w:val="0"/>
          <w:i w:val="0"/>
        </w:rPr>
        <w:t>Every conversation the platform creates is backed by a document the platform can also produce. Each generator reads the same live intelligence (signals, predictors, contacts, annual reports) and returns a finished artefact in minutes rather than the hours it takes to assemble by hand.</w:t>
      </w:r>
    </w:p>
    <w:tbl>
      <w:tblPr>
        <w:tblStyle w:val="TableGrid"/>
        <w:tblW w:type="auto" w:w="0"/>
        <w:jc w:val="center"/>
        <w:tblLook w:firstColumn="1" w:firstRow="1" w:lastColumn="0" w:lastRow="0" w:noHBand="0" w:noVBand="1" w:val="04A0"/>
      </w:tblPr>
      <w:tblGrid>
        <w:gridCol w:w="3137"/>
        <w:gridCol w:w="3137"/>
        <w:gridCol w:w="3137"/>
      </w:tblGrid>
      <w:tr>
        <w:tc>
          <w:tcPr>
            <w:tcW w:type="dxa" w:w="1587"/>
            <w:shd w:val="clear" w:fill="16263F"/>
          </w:tcPr>
          <w:p>
            <w:r/>
            <w:r>
              <w:rPr>
                <w:b/>
                <w:color w:val="FFFFFF"/>
                <w:sz w:val="19"/>
              </w:rPr>
              <w:t>Work product</w:t>
            </w:r>
          </w:p>
        </w:tc>
        <w:tc>
          <w:tcPr>
            <w:tcW w:type="dxa" w:w="4876"/>
            <w:shd w:val="clear" w:fill="16263F"/>
          </w:tcPr>
          <w:p>
            <w:r/>
            <w:r>
              <w:rPr>
                <w:b/>
                <w:color w:val="FFFFFF"/>
                <w:sz w:val="19"/>
              </w:rPr>
              <w:t>What it produces</w:t>
            </w:r>
          </w:p>
        </w:tc>
        <w:tc>
          <w:tcPr>
            <w:tcW w:type="dxa" w:w="2948"/>
            <w:shd w:val="clear" w:fill="16263F"/>
          </w:tcPr>
          <w:p>
            <w:r/>
            <w:r>
              <w:rPr>
                <w:b/>
                <w:color w:val="FFFFFF"/>
                <w:sz w:val="19"/>
              </w:rPr>
              <w:t>Business problem it solves</w:t>
            </w:r>
          </w:p>
        </w:tc>
      </w:tr>
      <w:tr>
        <w:tc>
          <w:tcPr>
            <w:tcW w:type="dxa" w:w="1587"/>
          </w:tcPr>
          <w:p>
            <w:r/>
            <w:r>
              <w:rPr>
                <w:sz w:val="19"/>
              </w:rPr>
              <w:t>Pitch Pack</w:t>
            </w:r>
          </w:p>
        </w:tc>
        <w:tc>
          <w:tcPr>
            <w:tcW w:type="dxa" w:w="4876"/>
          </w:tcPr>
          <w:p>
            <w:r/>
            <w:r>
              <w:rPr>
                <w:sz w:val="19"/>
              </w:rPr>
              <w:t>A ~2,500-word client-ready retained-search case: cost-of-vacancy calculator over a realistic 18-week timeline, the company's own annual-report strategy quotes, a peer talent universe of 12 to 15 named employers, salary benchmarks on total compensation, a 6-week milestone methodology with staged fees, and risk mitigation (guarantee, rebate, off-limits). Can be anchored to the specific live trigger and tailored to the reader (CEO, CFO, HR).</w:t>
            </w:r>
          </w:p>
        </w:tc>
        <w:tc>
          <w:tcPr>
            <w:tcW w:type="dxa" w:w="2948"/>
          </w:tcPr>
          <w:p>
            <w:r/>
            <w:r>
              <w:rPr>
                <w:sz w:val="19"/>
              </w:rPr>
              <w:t>Converts contingent briefs to retained. Roughly £14–21k incremental per flip; the case is assembled in about five minutes against two to three hours manually.</w:t>
            </w:r>
          </w:p>
        </w:tc>
      </w:tr>
      <w:tr>
        <w:tc>
          <w:tcPr>
            <w:tcW w:type="dxa" w:w="1587"/>
          </w:tcPr>
          <w:p>
            <w:r/>
            <w:r>
              <w:rPr>
                <w:sz w:val="19"/>
              </w:rPr>
              <w:t>Search Proposal PDF</w:t>
            </w:r>
          </w:p>
        </w:tc>
        <w:tc>
          <w:tcPr>
            <w:tcW w:type="dxa" w:w="4876"/>
          </w:tcPr>
          <w:p>
            <w:r/>
            <w:r>
              <w:rPr>
                <w:sz w:val="19"/>
              </w:rPr>
              <w:t>A branded eight-page A4 VMA Group proposal (Why VMA, Our Approach, Timing, Fee, Client Appointments) with the client's real logo resolved from authoritative sources and hardened against wrong or placeholder logos; falls back to a clean wordmark rather than ever printing the wrong mark.</w:t>
            </w:r>
          </w:p>
        </w:tc>
        <w:tc>
          <w:tcPr>
            <w:tcW w:type="dxa" w:w="2948"/>
          </w:tcPr>
          <w:p>
            <w:r/>
            <w:r>
              <w:rPr>
                <w:sz w:val="19"/>
              </w:rPr>
              <w:t>A polished, print-ready leave-behind that looks like it took a studio a day.</w:t>
            </w:r>
          </w:p>
        </w:tc>
      </w:tr>
      <w:tr>
        <w:tc>
          <w:tcPr>
            <w:tcW w:type="dxa" w:w="1587"/>
          </w:tcPr>
          <w:p>
            <w:r/>
            <w:r>
              <w:rPr>
                <w:sz w:val="19"/>
              </w:rPr>
              <w:t>Reverse Match</w:t>
            </w:r>
          </w:p>
        </w:tc>
        <w:tc>
          <w:tcPr>
            <w:tcW w:type="dxa" w:w="4876"/>
          </w:tcPr>
          <w:p>
            <w:r/>
            <w:r>
              <w:rPr>
                <w:sz w:val="19"/>
              </w:rPr>
              <w:t>One strong candidate turned into 10 to 15 ranked targets: HOT where a matching role is open now, WARM where a predictor says a hire is coming, COLD for structural fit, each with the right contact level and a personalised opener. Discipline and seniority gates prevent embarrassing mismatches.</w:t>
            </w:r>
          </w:p>
        </w:tc>
        <w:tc>
          <w:tcPr>
            <w:tcW w:type="dxa" w:w="2948"/>
          </w:tcPr>
          <w:p>
            <w:r/>
            <w:r>
              <w:rPr>
                <w:sz w:val="19"/>
              </w:rPr>
              <w:t>Every good candidate call becomes 10 to 15 warm BD calls.</w:t>
            </w:r>
          </w:p>
        </w:tc>
      </w:tr>
      <w:tr>
        <w:tc>
          <w:tcPr>
            <w:tcW w:type="dxa" w:w="1587"/>
          </w:tcPr>
          <w:p>
            <w:r/>
            <w:r>
              <w:rPr>
                <w:sz w:val="19"/>
              </w:rPr>
              <w:t>Pre-Meeting Brief</w:t>
            </w:r>
          </w:p>
        </w:tc>
        <w:tc>
          <w:tcPr>
            <w:tcW w:type="dxa" w:w="4876"/>
          </w:tcPr>
          <w:p>
            <w:r/>
            <w:r>
              <w:rPr>
                <w:sz w:val="19"/>
              </w:rPr>
              <w:t>A one-page prep sheet for any account: named leadership (with stale entries flagged 'verify before referencing'), the last fortnight of signals, active predictors with windows, annual-report priorities, and three ready-made conversation hooks.</w:t>
            </w:r>
          </w:p>
        </w:tc>
        <w:tc>
          <w:tcPr>
            <w:tcW w:type="dxa" w:w="2948"/>
          </w:tcPr>
          <w:p>
            <w:r/>
            <w:r>
              <w:rPr>
                <w:sz w:val="19"/>
              </w:rPr>
              <w:t>No consultant ever walks into a meeting cold.</w:t>
            </w:r>
          </w:p>
        </w:tc>
      </w:tr>
      <w:tr>
        <w:tc>
          <w:tcPr>
            <w:tcW w:type="dxa" w:w="1587"/>
          </w:tcPr>
          <w:p>
            <w:r/>
            <w:r>
              <w:rPr>
                <w:sz w:val="19"/>
              </w:rPr>
              <w:t>14-Day Catch-up Sweep</w:t>
            </w:r>
          </w:p>
        </w:tc>
        <w:tc>
          <w:tcPr>
            <w:tcW w:type="dxa" w:w="4876"/>
          </w:tcPr>
          <w:p>
            <w:r/>
            <w:r>
              <w:rPr>
                <w:sz w:val="19"/>
              </w:rPr>
              <w:t>The full scour and ranking over any chosen window up to 60 days.</w:t>
            </w:r>
          </w:p>
        </w:tc>
        <w:tc>
          <w:tcPr>
            <w:tcW w:type="dxa" w:w="2948"/>
          </w:tcPr>
          <w:p>
            <w:r/>
            <w:r>
              <w:rPr>
                <w:sz w:val="19"/>
              </w:rPr>
              <w:t>Nothing is missed over leave or busy periods.</w:t>
            </w:r>
          </w:p>
        </w:tc>
      </w:tr>
      <w:tr>
        <w:tc>
          <w:tcPr>
            <w:tcW w:type="dxa" w:w="1587"/>
          </w:tcPr>
          <w:p>
            <w:r/>
            <w:r>
              <w:rPr>
                <w:sz w:val="19"/>
              </w:rPr>
              <w:t>CFO Memo and MPC pack</w:t>
            </w:r>
          </w:p>
        </w:tc>
        <w:tc>
          <w:tcPr>
            <w:tcW w:type="dxa" w:w="4876"/>
          </w:tcPr>
          <w:p>
            <w:r/>
            <w:r>
              <w:rPr>
                <w:sz w:val="19"/>
              </w:rPr>
              <w:t>Described in Section 6.</w:t>
            </w:r>
          </w:p>
        </w:tc>
        <w:tc>
          <w:tcPr>
            <w:tcW w:type="dxa" w:w="2948"/>
          </w:tcPr>
          <w:p>
            <w:r/>
            <w:r>
              <w:rPr>
                <w:sz w:val="19"/>
              </w:rPr>
              <w:t>Demand creation and internal sign-off in a down market.</w:t>
            </w:r>
          </w:p>
        </w:tc>
      </w:tr>
    </w:tbl>
    <w:p>
      <w:pPr>
        <w:spacing w:after="40"/>
      </w:pPr>
    </w:p>
    <w:p>
      <w:r>
        <w:rPr>
          <w:b w:val="0"/>
          <w:i w:val="0"/>
        </w:rPr>
        <w:t>Supporting intelligence behind these documents, all built and live: automated annual-report retrieval and strategy-quote extraction from Companies House filings; client-language mining (the target's own recurring vocabulary, scored and surfaced so proposals echo it); sector and peer classification of the UK large-employer universe; and company identity and domain resolution with verified logo handling.</w:t>
      </w:r>
    </w:p>
    <w:p>
      <w:pPr>
        <w:pStyle w:val="Heading1"/>
      </w:pPr>
      <w:r>
        <w:t>9. Contact intelligence: who do we actually call?</w:t>
      </w:r>
    </w:p>
    <w:p>
      <w:r>
        <w:rPr>
          <w:b w:val="0"/>
          <w:i w:val="0"/>
        </w:rPr>
        <w:t>A lead without the right name attached is homework, not a call. The platform maintains a hiring-contacts graph across the watchlist: for each company, the named CEO, Chair, CFO, CCO, CHRO, General Counsel, heads of comms, corporate affairs, internal comms and IR (plus CMO, brand and growth seats on the marketing desk).</w:t>
      </w:r>
    </w:p>
    <w:p>
      <w:pPr>
        <w:pStyle w:val="ListBullet"/>
      </w:pPr>
      <w:r>
        <w:rPr>
          <w:b/>
        </w:rPr>
        <w:t xml:space="preserve">Verified or not shown. </w:t>
      </w:r>
      <w:r>
        <w:t>A name is only surfaced when confidence is high (structured sources such as Companies House filings score highest). Below the bar, the card shows a recruiter-search link instead; a 'probably right' name is treated as worse than no name.</w:t>
      </w:r>
    </w:p>
    <w:p>
      <w:pPr>
        <w:pStyle w:val="ListBullet"/>
      </w:pPr>
      <w:r>
        <w:rPr>
          <w:b/>
        </w:rPr>
        <w:t xml:space="preserve">Freshness discipline. </w:t>
      </w:r>
      <w:r>
        <w:t>Entries older than 120 days are flagged 'verify before referencing'; a re-verification queue works stale and failed entries on a cool-off cycle, automatically and within free API budgets.</w:t>
      </w:r>
    </w:p>
    <w:p>
      <w:pPr>
        <w:pStyle w:val="ListBullet"/>
      </w:pPr>
      <w:r>
        <w:rPr>
          <w:b/>
        </w:rPr>
        <w:t xml:space="preserve">Feedback loop. </w:t>
      </w:r>
      <w:r>
        <w:t>One-click feedback (correct, responded, moved, wrong) feeds an accuracy metric, and anyone marked as moved is automatically suppressed from that seat so the AD never cold-opens to someone who left.</w:t>
      </w:r>
    </w:p>
    <w:p>
      <w:pPr>
        <w:pStyle w:val="ListBullet"/>
      </w:pPr>
      <w:r>
        <w:rPr>
          <w:b/>
        </w:rPr>
        <w:t xml:space="preserve">Top-5 enrichment. </w:t>
      </w:r>
      <w:r>
        <w:t>Each day the five best leads get direct LinkedIn profile resolution through the licensed Bright Data surface, within the free tier.</w:t>
      </w:r>
    </w:p>
    <w:p>
      <w:pPr>
        <w:pStyle w:val="Heading1"/>
      </w:pPr>
      <w:r>
        <w:t>10. Engineering quality, reliability and cost</w:t>
      </w:r>
    </w:p>
    <w:p>
      <w:pPr>
        <w:pStyle w:val="ListBullet"/>
      </w:pPr>
      <w:r>
        <w:rPr>
          <w:b/>
        </w:rPr>
        <w:t xml:space="preserve">Tested. </w:t>
      </w:r>
      <w:r>
        <w:t>Nineteen automated test suites (~3,500 lines) cover the gate rules, lead scoring, document generation, contact logic and state handling, and run on every change before it can reach the live build.</w:t>
      </w:r>
    </w:p>
    <w:p>
      <w:pPr>
        <w:pStyle w:val="ListBullet"/>
      </w:pPr>
      <w:r>
        <w:rPr>
          <w:b/>
        </w:rPr>
        <w:t xml:space="preserve">Resilient by design. </w:t>
      </w:r>
      <w:r>
        <w:t>Every data source is isolated: a dead feed, a rate-limit or a parse error logs honestly and yields nothing rather than failing the brief. The news graph has a redundant backup lane with a circuit breaker. Every scan runs inside a time budget so the brief always completes.</w:t>
      </w:r>
    </w:p>
    <w:p>
      <w:pPr>
        <w:pStyle w:val="ListBullet"/>
      </w:pPr>
      <w:r>
        <w:rPr>
          <w:b/>
        </w:rPr>
        <w:t xml:space="preserve">Audited and hardened. </w:t>
      </w:r>
      <w:r>
        <w:t>A dedicated audit pass closed email header injection, a state-write race, Companies House pagination gaps and a tenure data-loss bug. State writes are atomic and locked; the contacts database carries a size guard after an early incident, and state survives redeploys.</w:t>
      </w:r>
    </w:p>
    <w:p>
      <w:pPr>
        <w:pStyle w:val="ListBullet"/>
      </w:pPr>
      <w:r>
        <w:rPr>
          <w:b/>
        </w:rPr>
        <w:t xml:space="preserve">Honest data. </w:t>
      </w:r>
      <w:r>
        <w:t>Curated lists (such as the events calendar) are labelled as curated and dated; nothing synthetic is dressed up as live.</w:t>
      </w:r>
    </w:p>
    <w:p>
      <w:pPr>
        <w:pStyle w:val="ListBullet"/>
      </w:pPr>
      <w:r>
        <w:rPr>
          <w:b/>
        </w:rPr>
        <w:t xml:space="preserve">Cost. </w:t>
      </w:r>
      <w:r>
        <w:t>All 35+ data sources are free or free-tier licensed. The daily automation consumes about 45 minutes per month of a 2,000-minute free allowance. The dashboard runs on a free hosting tier with automatic redeployment. Total recurring software cost: £0 per month.</w:t>
      </w:r>
    </w:p>
    <w:p>
      <w:pPr>
        <w:pStyle w:val="Heading1"/>
      </w:pPr>
      <w:r>
        <w:t>11. Guardrails and compliance: what the platform deliberately does not do</w:t>
      </w:r>
    </w:p>
    <w:p>
      <w:r>
        <w:rPr>
          <w:b w:val="0"/>
          <w:i w:val="0"/>
        </w:rPr>
        <w:t>The boundaries were designed in from day one and are documented in the build:</w:t>
      </w:r>
    </w:p>
    <w:p>
      <w:pPr>
        <w:pStyle w:val="ListBullet"/>
      </w:pPr>
      <w:r>
        <w:t>It never touches the Account Director's LinkedIn, Sales Navigator or Recruiter seat. LinkedIn data comes only from the licensed, logged-off public surface.</w:t>
      </w:r>
    </w:p>
    <w:p>
      <w:pPr>
        <w:pStyle w:val="ListBullet"/>
      </w:pPr>
      <w:r>
        <w:t>It does not read from or write to JobAdder, and does not automate the CRM.</w:t>
      </w:r>
    </w:p>
    <w:p>
      <w:pPr>
        <w:pStyle w:val="ListBullet"/>
      </w:pPr>
      <w:r>
        <w:t>It never sends outreach on anyone's behalf. The system finds and prepares; the consultant decides and dials.</w:t>
      </w:r>
    </w:p>
    <w:p>
      <w:pPr>
        <w:pStyle w:val="ListBullet"/>
      </w:pPr>
      <w:r>
        <w:t>It stores no personal profiles beyond a 14-day de-duplication cache; the contacts graph holds only professional, publicly sourced seat data with source attribution.</w:t>
      </w:r>
    </w:p>
    <w:p>
      <w:pPr>
        <w:pStyle w:val="ListBullet"/>
      </w:pPr>
      <w:r>
        <w:t>Every lead carries its sources, so any claim made to a client can be shown and audited.</w:t>
      </w:r>
    </w:p>
    <w:p>
      <w:pPr>
        <w:pStyle w:val="Heading1"/>
      </w:pPr>
      <w:r>
        <w:t>12. What this adds up to</w:t>
      </w:r>
    </w:p>
    <w:p>
      <w:r>
        <w:rPr>
          <w:b w:val="0"/>
          <w:i w:val="0"/>
        </w:rPr>
        <w:t>In four weeks, using AI as the engineering team, the business development function has acquired capabilities that did not exist in the company before:</w:t>
      </w:r>
    </w:p>
    <w:p>
      <w:pPr>
        <w:pStyle w:val="ListBullet"/>
      </w:pPr>
      <w:r>
        <w:rPr>
          <w:b/>
        </w:rPr>
        <w:t xml:space="preserve">Time advantage. </w:t>
      </w:r>
      <w:r>
        <w:t>We detect hiring demand 4 to 26 weeks before the advertisement, while competitors react to the ad alongside everyone else.</w:t>
      </w:r>
    </w:p>
    <w:p>
      <w:pPr>
        <w:pStyle w:val="ListBullet"/>
      </w:pPr>
      <w:r>
        <w:rPr>
          <w:b/>
        </w:rPr>
        <w:t xml:space="preserve">Coverage. </w:t>
      </w:r>
      <w:r>
        <w:t>More than 35 sources and 40+ trigger types watched every day across a 550-company strategic watchlist and the broader market, including specialist lanes (water SAR, redundancy programmes, competitor disruption, statutory calendars) no rival recruiter is systematically watching.</w:t>
      </w:r>
    </w:p>
    <w:p>
      <w:pPr>
        <w:pStyle w:val="ListBullet"/>
      </w:pPr>
      <w:r>
        <w:rPr>
          <w:b/>
        </w:rPr>
        <w:t xml:space="preserve">Quality control. </w:t>
      </w:r>
      <w:r>
        <w:t>Evidence rules, scoring and self-throttling mean the Account Director's time is spent only on leads that survive scrutiny.</w:t>
      </w:r>
    </w:p>
    <w:p>
      <w:pPr>
        <w:pStyle w:val="ListBullet"/>
      </w:pPr>
      <w:r>
        <w:rPr>
          <w:b/>
        </w:rPr>
        <w:t xml:space="preserve">Counter-cyclicality. </w:t>
      </w:r>
      <w:r>
        <w:t>In a down market the platform finds the buyers who must pay (failed searches, mis-hires, redundancy programmes) and creates demand through spec-marketing where none is advertised.</w:t>
      </w:r>
    </w:p>
    <w:p>
      <w:pPr>
        <w:pStyle w:val="ListBullet"/>
      </w:pPr>
      <w:r>
        <w:rPr>
          <w:b/>
        </w:rPr>
        <w:t xml:space="preserve">Leverage. </w:t>
      </w:r>
      <w:r>
        <w:t>Documents that took hours now take minutes, and every placement conversation arrives with its business case already written.</w:t>
      </w:r>
    </w:p>
    <w:p>
      <w:pPr>
        <w:pStyle w:val="ListBullet"/>
      </w:pPr>
      <w:r>
        <w:rPr>
          <w:b/>
        </w:rPr>
        <w:t xml:space="preserve">Compounding asset. </w:t>
      </w:r>
      <w:r>
        <w:t>Dossiers, contact intelligence and verdict history grow more valuable every day they run, and the whole engine is profile-based: the Marketing desk is already live on the same infrastructure, and any future desk is a configuration exercise, not a rebuild.</w:t>
      </w:r>
    </w:p>
    <w:p>
      <w:r>
        <w:rPr>
          <w:b w:val="0"/>
          <w:i w:val="0"/>
        </w:rPr>
        <w:t>All of this is live today, at zero recurring cost, operated by no one: it runs, and the consultant dials. The recommendation is to treat this as the template for the wider business: prove the fee uplift on the Communications desk, switch on the Marketing desk email, and roll the same engine out desk by desk.</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6263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6263F"/>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A5CA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VMA Group: AI-Accelerated Business Development Build Report</dc:title>
  <dc:subject>Complete catalogue of the live BD intelligence platform</dc:subject>
  <dc:creator>VMA Group Business Development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