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“F(ashion)EED”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color w:val="b6d7a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color w:val="6aa84f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6aa84f"/>
            <w:u w:val="single"/>
            <w:rtl w:val="0"/>
          </w:rPr>
          <w:t xml:space="preserve">Website aesthetic inspo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Order of things on the website: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Lockscreen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Dog Nail Polish Ad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Pinterest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Get ready music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Mom’s messages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Israella Notifs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Motel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Boutique search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Japantown bagcharm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My style (</w:t>
      </w: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hair, shoes,piercing,</w:t>
      </w: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nails)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Insta feed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Moodboarding for films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9900ff"/>
        </w:rPr>
      </w:pPr>
      <w:r w:rsidDel="00000000" w:rsidR="00000000" w:rsidRPr="00000000">
        <w:rPr>
          <w:rFonts w:ascii="Montserrat" w:cs="Montserrat" w:eastAsia="Montserrat" w:hAnsi="Montserrat"/>
          <w:color w:val="9900ff"/>
          <w:rtl w:val="0"/>
        </w:rPr>
        <w:t xml:space="preserve">TikToks about hair (colour hair first then alt inspo)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florencethediva/reel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