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游ゴシック" w:cs="游ゴシック" w:eastAsia="游ゴシック" w:hAnsi="游ゴシック"/>
          <w:b/>
          <w:bCs/>
          <w:sz w:val="32"/>
          <w:szCs w:val="32"/>
        </w:rPr>
        <w:t xml:space="preserve">朝食形態（固形食・スムージー）がコンディションおよび血糖動態に及ぼす影響 ― 実験1・実験2</w:t>
      </w:r>
    </w:p>
    <w:p>
      <w:pPr>
        <w:pStyle w:val="Heading1"/>
        <w:spacing w:after="160" w:before="320"/>
      </w:pPr>
      <w:r>
        <w:rPr>
          <w:rFonts w:ascii="游ゴシック" w:cs="游ゴシック" w:eastAsia="游ゴシック" w:hAnsi="游ゴシック"/>
          <w:b/>
          <w:bCs/>
          <w:sz w:val="28"/>
          <w:szCs w:val="28"/>
        </w:rPr>
        <w:t xml:space="preserve">背景</w:t>
      </w:r>
    </w:p>
    <w:p>
      <w:pPr>
        <w:spacing w:after="200" w:line="360"/>
      </w:pPr>
      <w:r>
        <w:rPr>
          <w:rFonts w:ascii="游明朝" w:cs="游明朝" w:eastAsia="游明朝" w:hAnsi="游明朝"/>
          <w:sz w:val="21"/>
          <w:szCs w:val="21"/>
        </w:rPr>
        <w:t xml:space="preserve">脊髄損傷（SCI）、とりわけ高位胸髄損傷を有する車いすアスリートにおいては、受傷の高位によって消化管運動を調節する自律神経系（迷走神経・交感神経）に機能変化が生じうることが知られている。このため、健常者を対象とした一般的な栄養学的知見（固形食と液体食で胃排出速度・消化吸収速度が異なり、血糖応答の立ち上がり方が異なる、など）が、SCIアスリートにそのまま当てはまるとは限らない。</w:t>
      </w:r>
    </w:p>
    <w:p>
      <w:pPr>
        <w:spacing w:after="200" w:line="360"/>
      </w:pPr>
      <w:r>
        <w:rPr>
          <w:rFonts w:ascii="游明朝" w:cs="游明朝" w:eastAsia="游明朝" w:hAnsi="游明朝"/>
          <w:sz w:val="21"/>
          <w:szCs w:val="21"/>
        </w:rPr>
        <w:t xml:space="preserve">本研究はもともと、日々のコンディション記録アプリを用いた定常的なモニタリングの中で得られた観察から着想を得ている。対象選手は朝食の形態を12月16日を境にスムージー中心へと変更しており、その前後で実践練習時の主観的コンディション（瞬発力・敏速性、持久力、疲労感）を比較したところ、複数の項目で望ましい方向への変化が確認された（実験1）。この予備的な観察が、朝食の形態・消化吸収速度が血糖動態およびコンディションに及ぼす影響を、統制された条件下で検証する実験2に着手する直接の動機となった。</w:t>
      </w:r>
    </w:p>
    <w:p>
      <w:pPr>
        <w:spacing w:after="200" w:line="360"/>
      </w:pPr>
      <w:r>
        <w:rPr>
          <w:rFonts w:ascii="游明朝" w:cs="游明朝" w:eastAsia="游明朝" w:hAnsi="游明朝"/>
          <w:sz w:val="21"/>
          <w:szCs w:val="21"/>
        </w:rPr>
        <w:t xml:space="preserve">実験2では、固形摂取条件とスムージー摂取条件における血糖応答を比較し、特に血糖値が最高値に達するまでの時間（Time to peak glucose; Tmax）に着目することで、両条件間の消化吸収速度の違いを定量的に検討した。本稿では、実験1・実験2の方法・結果を順に示したうえで、両者を統合した考察を行う。</w:t>
      </w:r>
    </w:p>
    <w:p>
      <w:pPr>
        <w:pStyle w:val="Heading1"/>
        <w:spacing w:after="160" w:before="320"/>
      </w:pPr>
      <w:r>
        <w:rPr>
          <w:rFonts w:ascii="游ゴシック" w:cs="游ゴシック" w:eastAsia="游ゴシック" w:hAnsi="游ゴシック"/>
          <w:b/>
          <w:bCs/>
          <w:sz w:val="28"/>
          <w:szCs w:val="28"/>
        </w:rPr>
        <w:t xml:space="preserve">方法</w:t>
      </w:r>
    </w:p>
    <w:p>
      <w:pPr>
        <w:pStyle w:val="Heading2"/>
        <w:spacing w:after="160" w:before="320"/>
      </w:pPr>
      <w:r>
        <w:rPr>
          <w:rFonts w:ascii="游ゴシック" w:cs="游ゴシック" w:eastAsia="游ゴシック" w:hAnsi="游ゴシック"/>
          <w:b/>
          <w:bCs/>
          <w:sz w:val="24"/>
          <w:szCs w:val="24"/>
        </w:rPr>
        <w:t xml:space="preserve">実験1：朝食変更前後のコンディション比較</w:t>
      </w:r>
    </w:p>
    <w:p>
      <w:pPr>
        <w:spacing w:after="200" w:line="360"/>
      </w:pPr>
      <w:r>
        <w:rPr>
          <w:rFonts w:ascii="游明朝" w:cs="游明朝" w:eastAsia="游明朝" w:hAnsi="游明朝"/>
          <w:sz w:val="21"/>
          <w:szCs w:val="21"/>
        </w:rPr>
        <w:t xml:space="preserve">対象は高位脊髄損傷を有する車いす陸上競技選手1名である。対象選手は日々のコンディション記録アプリを用いて、実践練習後に「瞬発力・敏速性」「持久力」「疲労感（練習中）」「疲労感（練習後）」の4項目について、3段階（全くない/少ない・普通・少しある/かなりある）で自己評価を行っていた。</w:t>
      </w:r>
    </w:p>
    <w:p>
      <w:pPr>
        <w:spacing w:after="200" w:line="360"/>
      </w:pPr>
      <w:r>
        <w:rPr>
          <w:rFonts w:ascii="游明朝" w:cs="游明朝" w:eastAsia="游明朝" w:hAnsi="游明朝"/>
          <w:sz w:val="21"/>
          <w:szCs w:val="21"/>
        </w:rPr>
        <w:t xml:space="preserve">朝食をスムージー中心に変更した12月16日を境に、変更前（n=25回答）・変更後（n=37回答）の回答割合を項目ごとに集計し、比較した。本検討は特定の条件を実験的に割り付けて実施した介入研究ではなく、日常的に蓄積されたコンディション記録データを後方視的に比較した観察研究である点に留意されたい。</w:t>
      </w:r>
    </w:p>
    <w:p>
      <w:pPr>
        <w:pStyle w:val="Heading2"/>
        <w:spacing w:after="160" w:before="320"/>
      </w:pPr>
      <w:r>
        <w:rPr>
          <w:rFonts w:ascii="游ゴシック" w:cs="游ゴシック" w:eastAsia="游ゴシック" w:hAnsi="游ゴシック"/>
          <w:b/>
          <w:bCs/>
          <w:sz w:val="24"/>
          <w:szCs w:val="24"/>
        </w:rPr>
        <w:t xml:space="preserve">実験2：固形食・スムージー摂取時の血糖値比較（Tmax分析）</w:t>
      </w:r>
    </w:p>
    <w:p>
      <w:pPr>
        <w:spacing w:after="200" w:line="360"/>
      </w:pPr>
      <w:r>
        <w:rPr>
          <w:rFonts w:ascii="游明朝" w:cs="游明朝" w:eastAsia="游明朝" w:hAnsi="游明朝"/>
          <w:sz w:val="21"/>
          <w:szCs w:val="21"/>
        </w:rPr>
        <w:t xml:space="preserve">対象は実験1と同一の選手である。固形摂取条件（DAY1〜DAY3）およびスムージー摂取条件（DAY4〜DAY6）の各3日間において、FreeStyleリブレによる持続血糖モニタリング（CGM）を実施した。各試行日とも8:00を栄養摂取直前の基準時刻とし、15分間隔で血糖値を記録した。</w:t>
      </w:r>
    </w:p>
    <w:p>
      <w:pPr>
        <w:spacing w:after="200" w:line="360"/>
      </w:pPr>
      <w:r>
        <w:rPr>
          <w:rFonts w:ascii="游明朝" w:cs="游明朝" w:eastAsia="游明朝" w:hAnsi="游明朝"/>
          <w:sz w:val="21"/>
          <w:szCs w:val="21"/>
        </w:rPr>
        <w:t xml:space="preserve">本解析では、後続のおにぎり摂取（2品目の栄養摂取）が行われる10:00までの区間（8:00〜10:00）を解析対象とした。この区間に限定することで、2品目の摂取による血糖応答への影響を排除し、固形食またはスムージー単独の摂取に対する血糖応答を純粋に評価できるようにした。各条件につき3日分の血糖値を時刻ごとに平均し、得られた平均曲線上でのピーク血糖値とその到達時刻（Tmax）を算出した。</w:t>
      </w:r>
    </w:p>
    <w:p>
      <w:pPr>
        <w:pStyle w:val="Heading1"/>
        <w:spacing w:after="160" w:before="320"/>
      </w:pPr>
      <w:r>
        <w:rPr>
          <w:rFonts w:ascii="游ゴシック" w:cs="游ゴシック" w:eastAsia="游ゴシック" w:hAnsi="游ゴシック"/>
          <w:b/>
          <w:bCs/>
          <w:sz w:val="28"/>
          <w:szCs w:val="28"/>
        </w:rPr>
        <w:t xml:space="preserve">結果</w:t>
      </w:r>
    </w:p>
    <w:p>
      <w:pPr>
        <w:pStyle w:val="Heading2"/>
        <w:spacing w:after="160" w:before="320"/>
      </w:pPr>
      <w:r>
        <w:rPr>
          <w:rFonts w:ascii="游ゴシック" w:cs="游ゴシック" w:eastAsia="游ゴシック" w:hAnsi="游ゴシック"/>
          <w:b/>
          <w:bCs/>
          <w:sz w:val="24"/>
          <w:szCs w:val="24"/>
        </w:rPr>
        <w:t xml:space="preserve">実験1の結果</w:t>
      </w:r>
    </w:p>
    <w:p>
      <w:pPr>
        <w:spacing w:after="200" w:line="360"/>
      </w:pPr>
      <w:r>
        <w:rPr>
          <w:rFonts w:ascii="游明朝" w:cs="游明朝" w:eastAsia="游明朝" w:hAnsi="游明朝"/>
          <w:sz w:val="21"/>
          <w:szCs w:val="21"/>
        </w:rPr>
        <w:t xml:space="preserve">12月16日を境とした前後比較の結果を表1に示す。回答割合の差が10ポイント以上であり、かつ好ましい方向への変化（疲労感の減少、持久力・瞬発力の実感の増加）を示した項目は、網掛けで示した6区分であった。</w:t>
      </w:r>
    </w:p>
    <w:p>
      <w:pPr>
        <w:spacing w:after="100" w:before="100"/>
      </w:pPr>
      <w:r>
        <w:rPr>
          <w:rFonts w:ascii="游明朝" w:cs="游明朝" w:eastAsia="游明朝" w:hAnsi="游明朝"/>
          <w:b/>
          <w:bCs/>
          <w:sz w:val="19"/>
          <w:szCs w:val="19"/>
        </w:rPr>
        <w:t xml:space="preserve">表1　朝食変更（12/16）前後における実践練習時コンディションの回答割合</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00"/>
        <w:gridCol w:w="1500"/>
        <w:gridCol w:w="1200"/>
      </w:tblGrid>
      <w:tr>
        <w:trPr>
          <w:tblHeader/>
        </w:trPr>
        <w:tc>
          <w:tcPr>
            <w:tcW w:type="dxa" w:w="2000"/>
            <w:shd w:fill="21295C" w:color="auto" w:val="clear"/>
            <w:tcMar>
              <w:top w:type="dxa" w:w="90"/>
              <w:left w:type="dxa" w:w="110"/>
              <w:bottom w:type="dxa" w:w="90"/>
              <w:right w:type="dxa" w:w="110"/>
            </w:tcMar>
            <w:vAlign w:val="center"/>
          </w:tcPr>
          <w:p>
            <w:pPr>
              <w:jc w:val="center"/>
            </w:pPr>
            <w:r>
              <w:rPr>
                <w:rFonts w:ascii="游明朝" w:cs="游明朝" w:eastAsia="游明朝" w:hAnsi="游明朝"/>
                <w:b/>
                <w:bCs/>
                <w:sz w:val="19"/>
                <w:szCs w:val="19"/>
              </w:rPr>
              <w:t xml:space="preserve">項目</w:t>
            </w:r>
          </w:p>
        </w:tc>
        <w:tc>
          <w:tcPr>
            <w:tcW w:type="dxa" w:w="2400"/>
            <w:shd w:fill="21295C" w:color="auto" w:val="clear"/>
            <w:tcMar>
              <w:top w:type="dxa" w:w="90"/>
              <w:left w:type="dxa" w:w="110"/>
              <w:bottom w:type="dxa" w:w="90"/>
              <w:right w:type="dxa" w:w="110"/>
            </w:tcMar>
            <w:vAlign w:val="center"/>
          </w:tcPr>
          <w:p>
            <w:pPr>
              <w:jc w:val="center"/>
            </w:pPr>
            <w:r>
              <w:rPr>
                <w:rFonts w:ascii="游明朝" w:cs="游明朝" w:eastAsia="游明朝" w:hAnsi="游明朝"/>
                <w:b/>
                <w:bCs/>
                <w:sz w:val="19"/>
                <w:szCs w:val="19"/>
              </w:rPr>
              <w:t xml:space="preserve">回答区分</w:t>
            </w:r>
          </w:p>
        </w:tc>
        <w:tc>
          <w:tcPr>
            <w:tcW w:type="dxa" w:w="1500"/>
            <w:shd w:fill="21295C" w:color="auto" w:val="clear"/>
            <w:tcMar>
              <w:top w:type="dxa" w:w="90"/>
              <w:left w:type="dxa" w:w="110"/>
              <w:bottom w:type="dxa" w:w="90"/>
              <w:right w:type="dxa" w:w="110"/>
            </w:tcMar>
            <w:vAlign w:val="center"/>
          </w:tcPr>
          <w:p>
            <w:pPr>
              <w:jc w:val="center"/>
            </w:pPr>
            <w:r>
              <w:rPr>
                <w:rFonts w:ascii="游明朝" w:cs="游明朝" w:eastAsia="游明朝" w:hAnsi="游明朝"/>
                <w:b/>
                <w:bCs/>
                <w:sz w:val="19"/>
                <w:szCs w:val="19"/>
              </w:rPr>
              <w:t xml:space="preserve">変更前
(n=25)</w:t>
            </w:r>
          </w:p>
        </w:tc>
        <w:tc>
          <w:tcPr>
            <w:tcW w:type="dxa" w:w="1500"/>
            <w:shd w:fill="21295C" w:color="auto" w:val="clear"/>
            <w:tcMar>
              <w:top w:type="dxa" w:w="90"/>
              <w:left w:type="dxa" w:w="110"/>
              <w:bottom w:type="dxa" w:w="90"/>
              <w:right w:type="dxa" w:w="110"/>
            </w:tcMar>
            <w:vAlign w:val="center"/>
          </w:tcPr>
          <w:p>
            <w:pPr>
              <w:jc w:val="center"/>
            </w:pPr>
            <w:r>
              <w:rPr>
                <w:rFonts w:ascii="游明朝" w:cs="游明朝" w:eastAsia="游明朝" w:hAnsi="游明朝"/>
                <w:b/>
                <w:bCs/>
                <w:sz w:val="19"/>
                <w:szCs w:val="19"/>
              </w:rPr>
              <w:t xml:space="preserve">変更後
(n=37)</w:t>
            </w:r>
          </w:p>
        </w:tc>
        <w:tc>
          <w:tcPr>
            <w:tcW w:type="dxa" w:w="1200"/>
            <w:shd w:fill="21295C" w:color="auto" w:val="clear"/>
            <w:tcMar>
              <w:top w:type="dxa" w:w="90"/>
              <w:left w:type="dxa" w:w="110"/>
              <w:bottom w:type="dxa" w:w="90"/>
              <w:right w:type="dxa" w:w="110"/>
            </w:tcMar>
            <w:vAlign w:val="center"/>
          </w:tcPr>
          <w:p>
            <w:pPr>
              <w:jc w:val="center"/>
            </w:pPr>
            <w:r>
              <w:rPr>
                <w:rFonts w:ascii="游明朝" w:cs="游明朝" w:eastAsia="游明朝" w:hAnsi="游明朝"/>
                <w:b/>
                <w:bCs/>
                <w:sz w:val="19"/>
                <w:szCs w:val="19"/>
              </w:rPr>
              <w:t xml:space="preserve">差</w:t>
            </w:r>
          </w:p>
        </w:tc>
      </w:tr>
      <w:tr>
        <w:tc>
          <w:tcPr>
            <w:tcW w:type="dxa" w:w="20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瞬発力・敏速性</w:t>
            </w:r>
          </w:p>
        </w:tc>
        <w:tc>
          <w:tcPr>
            <w:tcW w:type="dxa" w:w="24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全くない/少ない</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44%</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32%</w:t>
            </w:r>
          </w:p>
        </w:tc>
        <w:tc>
          <w:tcPr>
            <w:tcW w:type="dxa" w:w="12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-12pt</w:t>
            </w:r>
          </w:p>
        </w:tc>
      </w:tr>
      <w:tr>
        <w:tc>
          <w:tcPr>
            <w:tcW w:type="dxa" w:w="20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瞬発力・敏速性</w:t>
            </w:r>
          </w:p>
        </w:tc>
        <w:tc>
          <w:tcPr>
            <w:tcW w:type="dxa" w:w="24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普通</w:t>
            </w:r>
          </w:p>
        </w:tc>
        <w:tc>
          <w:tcPr>
            <w:tcW w:type="dxa" w:w="15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12%</w:t>
            </w:r>
          </w:p>
        </w:tc>
        <w:tc>
          <w:tcPr>
            <w:tcW w:type="dxa" w:w="15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16%</w:t>
            </w:r>
          </w:p>
        </w:tc>
        <w:tc>
          <w:tcPr>
            <w:tcW w:type="dxa" w:w="12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+4pt</w:t>
            </w:r>
          </w:p>
        </w:tc>
      </w:tr>
      <w:tr>
        <w:tc>
          <w:tcPr>
            <w:tcW w:type="dxa" w:w="20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瞬発力・敏速性</w:t>
            </w:r>
          </w:p>
        </w:tc>
        <w:tc>
          <w:tcPr>
            <w:tcW w:type="dxa" w:w="24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少しある/かなりある</w:t>
            </w:r>
          </w:p>
        </w:tc>
        <w:tc>
          <w:tcPr>
            <w:tcW w:type="dxa" w:w="15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44%</w:t>
            </w:r>
          </w:p>
        </w:tc>
        <w:tc>
          <w:tcPr>
            <w:tcW w:type="dxa" w:w="15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51%</w:t>
            </w:r>
          </w:p>
        </w:tc>
        <w:tc>
          <w:tcPr>
            <w:tcW w:type="dxa" w:w="12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+7pt</w:t>
            </w:r>
          </w:p>
        </w:tc>
      </w:tr>
      <w:tr>
        <w:tc>
          <w:tcPr>
            <w:tcW w:type="dxa" w:w="20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持久力</w:t>
            </w:r>
          </w:p>
        </w:tc>
        <w:tc>
          <w:tcPr>
            <w:tcW w:type="dxa" w:w="24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全くない/少ない</w:t>
            </w:r>
          </w:p>
        </w:tc>
        <w:tc>
          <w:tcPr>
            <w:tcW w:type="dxa" w:w="15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24%</w:t>
            </w:r>
          </w:p>
        </w:tc>
        <w:tc>
          <w:tcPr>
            <w:tcW w:type="dxa" w:w="15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32%</w:t>
            </w:r>
          </w:p>
        </w:tc>
        <w:tc>
          <w:tcPr>
            <w:tcW w:type="dxa" w:w="12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+8pt</w:t>
            </w:r>
          </w:p>
        </w:tc>
      </w:tr>
      <w:tr>
        <w:tc>
          <w:tcPr>
            <w:tcW w:type="dxa" w:w="20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持久力</w:t>
            </w:r>
          </w:p>
        </w:tc>
        <w:tc>
          <w:tcPr>
            <w:tcW w:type="dxa" w:w="24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普通</w:t>
            </w:r>
          </w:p>
        </w:tc>
        <w:tc>
          <w:tcPr>
            <w:tcW w:type="dxa" w:w="15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44%</w:t>
            </w:r>
          </w:p>
        </w:tc>
        <w:tc>
          <w:tcPr>
            <w:tcW w:type="dxa" w:w="15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22%</w:t>
            </w:r>
          </w:p>
        </w:tc>
        <w:tc>
          <w:tcPr>
            <w:tcW w:type="dxa" w:w="12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-22pt</w:t>
            </w:r>
          </w:p>
        </w:tc>
      </w:tr>
      <w:tr>
        <w:tc>
          <w:tcPr>
            <w:tcW w:type="dxa" w:w="20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持久力</w:t>
            </w:r>
          </w:p>
        </w:tc>
        <w:tc>
          <w:tcPr>
            <w:tcW w:type="dxa" w:w="24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少しある/かなりある</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32%</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46%</w:t>
            </w:r>
          </w:p>
        </w:tc>
        <w:tc>
          <w:tcPr>
            <w:tcW w:type="dxa" w:w="12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+14pt</w:t>
            </w:r>
          </w:p>
        </w:tc>
      </w:tr>
      <w:tr>
        <w:tc>
          <w:tcPr>
            <w:tcW w:type="dxa" w:w="20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疲労感（練習中）</w:t>
            </w:r>
          </w:p>
        </w:tc>
        <w:tc>
          <w:tcPr>
            <w:tcW w:type="dxa" w:w="24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全くない/少ない</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4%</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19%</w:t>
            </w:r>
          </w:p>
        </w:tc>
        <w:tc>
          <w:tcPr>
            <w:tcW w:type="dxa" w:w="12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+15pt</w:t>
            </w:r>
          </w:p>
        </w:tc>
      </w:tr>
      <w:tr>
        <w:tc>
          <w:tcPr>
            <w:tcW w:type="dxa" w:w="20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疲労感（練習中）</w:t>
            </w:r>
          </w:p>
        </w:tc>
        <w:tc>
          <w:tcPr>
            <w:tcW w:type="dxa" w:w="24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普通</w:t>
            </w:r>
          </w:p>
        </w:tc>
        <w:tc>
          <w:tcPr>
            <w:tcW w:type="dxa" w:w="15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44%</w:t>
            </w:r>
          </w:p>
        </w:tc>
        <w:tc>
          <w:tcPr>
            <w:tcW w:type="dxa" w:w="15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41%</w:t>
            </w:r>
          </w:p>
        </w:tc>
        <w:tc>
          <w:tcPr>
            <w:tcW w:type="dxa" w:w="12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-3pt</w:t>
            </w:r>
          </w:p>
        </w:tc>
      </w:tr>
      <w:tr>
        <w:tc>
          <w:tcPr>
            <w:tcW w:type="dxa" w:w="20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疲労感（練習中）</w:t>
            </w:r>
          </w:p>
        </w:tc>
        <w:tc>
          <w:tcPr>
            <w:tcW w:type="dxa" w:w="24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少しある/かなりある</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52%</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41%</w:t>
            </w:r>
          </w:p>
        </w:tc>
        <w:tc>
          <w:tcPr>
            <w:tcW w:type="dxa" w:w="12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-11pt</w:t>
            </w:r>
          </w:p>
        </w:tc>
      </w:tr>
      <w:tr>
        <w:tc>
          <w:tcPr>
            <w:tcW w:type="dxa" w:w="20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疲労感（練習後）</w:t>
            </w:r>
          </w:p>
        </w:tc>
        <w:tc>
          <w:tcPr>
            <w:tcW w:type="dxa" w:w="24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全くない/少ない</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8%</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38%</w:t>
            </w:r>
          </w:p>
        </w:tc>
        <w:tc>
          <w:tcPr>
            <w:tcW w:type="dxa" w:w="12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+30pt</w:t>
            </w:r>
          </w:p>
        </w:tc>
      </w:tr>
      <w:tr>
        <w:tc>
          <w:tcPr>
            <w:tcW w:type="dxa" w:w="20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疲労感（練習後）</w:t>
            </w:r>
          </w:p>
        </w:tc>
        <w:tc>
          <w:tcPr>
            <w:tcW w:type="dxa" w:w="24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普通</w:t>
            </w:r>
          </w:p>
        </w:tc>
        <w:tc>
          <w:tcPr>
            <w:tcW w:type="dxa" w:w="15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36%</w:t>
            </w:r>
          </w:p>
        </w:tc>
        <w:tc>
          <w:tcPr>
            <w:tcW w:type="dxa" w:w="15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43%</w:t>
            </w:r>
          </w:p>
        </w:tc>
        <w:tc>
          <w:tcPr>
            <w:tcW w:type="dxa" w:w="12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+7pt</w:t>
            </w:r>
          </w:p>
        </w:tc>
      </w:tr>
      <w:tr>
        <w:tc>
          <w:tcPr>
            <w:tcW w:type="dxa" w:w="20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疲労感（練習後）</w:t>
            </w:r>
          </w:p>
        </w:tc>
        <w:tc>
          <w:tcPr>
            <w:tcW w:type="dxa" w:w="24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少しある/かなりある</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56%</w:t>
            </w:r>
          </w:p>
        </w:tc>
        <w:tc>
          <w:tcPr>
            <w:tcW w:type="dxa" w:w="15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19%</w:t>
            </w:r>
          </w:p>
        </w:tc>
        <w:tc>
          <w:tcPr>
            <w:tcW w:type="dxa" w:w="1200"/>
            <w:shd w:fill="EAF7F0"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-37pt</w:t>
            </w:r>
          </w:p>
        </w:tc>
      </w:tr>
    </w:tbl>
    <w:p>
      <w:pPr>
        <w:spacing w:after="200" w:line="360"/>
      </w:pPr>
      <w:r>
        <w:rPr>
          <w:rFonts w:ascii="游明朝" w:cs="游明朝" w:eastAsia="游明朝" w:hAnsi="游明朝"/>
          <w:sz w:val="21"/>
          <w:szCs w:val="21"/>
        </w:rPr>
        <w:t xml:space="preserve">瞬発力・敏速性では「全くない/少ない」の回答割合が44%から32%へ12ポイント減少した（力を感じないとする回答が減少）。持久力では「少しある/かなりある」の回答割合が32%から46%へ14ポイント増加した。疲労感（練習中）では「全くない/少ない」が4%から19%へ15ポイント増加し、「少しある/かなりある」は52%から41%へ11ポイント減少した。疲労感（練習後）では「全くない/少ない」が8%から38%へ30ポイント増加し、「少しある/かなりある」は56%から19%へ37ポイント減少し、4項目の中で最も大きな変化を示した。</w:t>
      </w:r>
    </w:p>
    <w:p>
      <w:pPr>
        <w:pStyle w:val="Heading2"/>
        <w:spacing w:after="160" w:before="320"/>
      </w:pPr>
      <w:r>
        <w:rPr>
          <w:rFonts w:ascii="游ゴシック" w:cs="游ゴシック" w:eastAsia="游ゴシック" w:hAnsi="游ゴシック"/>
          <w:b/>
          <w:bCs/>
          <w:sz w:val="24"/>
          <w:szCs w:val="24"/>
        </w:rPr>
        <w:t xml:space="preserve">実験2の結果</w:t>
      </w:r>
    </w:p>
    <w:p>
      <w:pPr>
        <w:spacing w:after="200" w:line="360"/>
      </w:pPr>
      <w:r>
        <w:rPr>
          <w:rFonts w:ascii="游明朝" w:cs="游明朝" w:eastAsia="游明朝" w:hAnsi="游明朝"/>
          <w:sz w:val="21"/>
          <w:szCs w:val="21"/>
        </w:rPr>
        <w:t xml:space="preserve">8:00〜10:00の区間における解析の結果、固形摂取条件ではTmaxは摂取後30分（8:30）であり、この時点でのピーク血糖値は133.3 mg/dLであった。一方、スムージー摂取条件ではTmaxは摂取後45分（8:45）であり、ピーク血糖値は202.7 mg/dLであった（表2）。両条件間のTmaxの差は15分にとどまり、血糖値が最高値に達するまでの時間には大きな差はみられなかった。一方で、ピーク血糖値には約70 mg/dLの差が認められ、スムージー摂取条件の方が固形摂取条件よりも高い血糖上昇を示した。</w:t>
      </w:r>
    </w:p>
    <w:p>
      <w:pPr>
        <w:spacing w:after="100" w:before="100"/>
      </w:pPr>
      <w:r>
        <w:rPr>
          <w:rFonts w:ascii="游明朝" w:cs="游明朝" w:eastAsia="游明朝" w:hAnsi="游明朝"/>
          <w:b/>
          <w:bCs/>
          <w:sz w:val="19"/>
          <w:szCs w:val="19"/>
        </w:rPr>
        <w:t xml:space="preserve">表2　固形摂取・スムージー摂取条件におけるTmaxとピーク血糖値（8:00〜10:00）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1295C" w:color="auto" w:val="clear"/>
            <w:tcMar>
              <w:top w:type="dxa" w:w="90"/>
              <w:left w:type="dxa" w:w="110"/>
              <w:bottom w:type="dxa" w:w="90"/>
              <w:right w:type="dxa" w:w="110"/>
            </w:tcMar>
            <w:vAlign w:val="center"/>
          </w:tcPr>
          <w:p>
            <w:pPr>
              <w:jc w:val="center"/>
            </w:pPr>
            <w:r>
              <w:rPr>
                <w:rFonts w:ascii="游明朝" w:cs="游明朝" w:eastAsia="游明朝" w:hAnsi="游明朝"/>
                <w:b/>
                <w:bCs/>
                <w:sz w:val="19"/>
                <w:szCs w:val="19"/>
              </w:rPr>
              <w:t xml:space="preserve">条件</w:t>
            </w:r>
          </w:p>
        </w:tc>
        <w:tc>
          <w:tcPr>
            <w:tcW w:type="dxa" w:w="3000"/>
            <w:shd w:fill="21295C" w:color="auto" w:val="clear"/>
            <w:tcMar>
              <w:top w:type="dxa" w:w="90"/>
              <w:left w:type="dxa" w:w="110"/>
              <w:bottom w:type="dxa" w:w="90"/>
              <w:right w:type="dxa" w:w="110"/>
            </w:tcMar>
            <w:vAlign w:val="center"/>
          </w:tcPr>
          <w:p>
            <w:pPr>
              <w:jc w:val="center"/>
            </w:pPr>
            <w:r>
              <w:rPr>
                <w:rFonts w:ascii="游明朝" w:cs="游明朝" w:eastAsia="游明朝" w:hAnsi="游明朝"/>
                <w:b/>
                <w:bCs/>
                <w:sz w:val="19"/>
                <w:szCs w:val="19"/>
              </w:rPr>
              <w:t xml:space="preserve">Tmax</w:t>
            </w:r>
          </w:p>
        </w:tc>
        <w:tc>
          <w:tcPr>
            <w:tcW w:type="dxa" w:w="3000"/>
            <w:shd w:fill="21295C" w:color="auto" w:val="clear"/>
            <w:tcMar>
              <w:top w:type="dxa" w:w="90"/>
              <w:left w:type="dxa" w:w="110"/>
              <w:bottom w:type="dxa" w:w="90"/>
              <w:right w:type="dxa" w:w="110"/>
            </w:tcMar>
            <w:vAlign w:val="center"/>
          </w:tcPr>
          <w:p>
            <w:pPr>
              <w:jc w:val="center"/>
            </w:pPr>
            <w:r>
              <w:rPr>
                <w:rFonts w:ascii="游明朝" w:cs="游明朝" w:eastAsia="游明朝" w:hAnsi="游明朝"/>
                <w:b/>
                <w:bCs/>
                <w:sz w:val="19"/>
                <w:szCs w:val="19"/>
              </w:rPr>
              <w:t xml:space="preserve">ピーク血糖値</w:t>
            </w:r>
          </w:p>
        </w:tc>
      </w:tr>
      <w:tr>
        <w:tc>
          <w:tcPr>
            <w:tcW w:type="dxa" w:w="30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固形摂取</w:t>
            </w:r>
          </w:p>
        </w:tc>
        <w:tc>
          <w:tcPr>
            <w:tcW w:type="dxa" w:w="30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摂取後30分（8:30）</w:t>
            </w:r>
          </w:p>
        </w:tc>
        <w:tc>
          <w:tcPr>
            <w:tcW w:type="dxa" w:w="30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133.3 mg/dL</w:t>
            </w:r>
          </w:p>
        </w:tc>
      </w:tr>
      <w:tr>
        <w:tc>
          <w:tcPr>
            <w:tcW w:type="dxa" w:w="30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スムージー摂取</w:t>
            </w:r>
          </w:p>
        </w:tc>
        <w:tc>
          <w:tcPr>
            <w:tcW w:type="dxa" w:w="30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摂取後45分（8:45）</w:t>
            </w:r>
          </w:p>
        </w:tc>
        <w:tc>
          <w:tcPr>
            <w:tcW w:type="dxa" w:w="30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202.7 mg/dL</w:t>
            </w:r>
          </w:p>
        </w:tc>
      </w:tr>
    </w:tbl>
    <w:p>
      <w:pPr>
        <w:spacing w:after="200" w:line="360"/>
      </w:pPr>
      <w:r>
        <w:rPr>
          <w:rFonts w:ascii="游明朝" w:cs="游明朝" w:eastAsia="游明朝" w:hAnsi="游明朝"/>
          <w:sz w:val="21"/>
          <w:szCs w:val="21"/>
        </w:rPr>
        <w:t xml:space="preserve">なお、8:00〜14:00の全区間でみると、両条件とも11時台から12時台にかけてより高い二次的なピーク（固形：11:30に152.7 mg/dL、スムージー：11:45に244.3 mg/dL）が観察されており、血糖応答が単峰性ではなく二峰性を呈する傾向が確認された。</w:t>
      </w:r>
    </w:p>
    <w:p>
      <w:pPr>
        <w:pStyle w:val="Heading1"/>
        <w:spacing w:after="160" w:before="320"/>
      </w:pPr>
      <w:r>
        <w:rPr>
          <w:rFonts w:ascii="游ゴシック" w:cs="游ゴシック" w:eastAsia="游ゴシック" w:hAnsi="游ゴシック"/>
          <w:b/>
          <w:bCs/>
          <w:sz w:val="28"/>
          <w:szCs w:val="28"/>
        </w:rPr>
        <w:t xml:space="preserve">考察</w:t>
      </w:r>
    </w:p>
    <w:p>
      <w:pPr>
        <w:spacing w:after="200" w:line="360"/>
      </w:pPr>
      <w:r>
        <w:rPr>
          <w:rFonts w:ascii="游明朝" w:cs="游明朝" w:eastAsia="游明朝" w:hAnsi="游明朝"/>
          <w:sz w:val="21"/>
          <w:szCs w:val="21"/>
        </w:rPr>
        <w:t xml:space="preserve">実験1では、朝食をスムージー中心に変更した前後で、瞬発力・敏速性、持久力の実感向上および疲労感の軽減という、複数の項目にわたる好ましい変化が観察された。実験2に着手した時点での作業仮説は、「スムージーは固形食に比べて消化・吸収が速く、胃内での滞留時間が短いために身体的負担が少なく、かつエネルギーとして迅速に利用可能になることで、瞬発力・持久力の向上や疲労感の軽減につながったのではないか」というものであった。</w:t>
      </w:r>
    </w:p>
    <w:p>
      <w:pPr>
        <w:spacing w:after="200" w:line="360"/>
      </w:pPr>
      <w:r>
        <w:rPr>
          <w:rFonts w:ascii="游明朝" w:cs="游明朝" w:eastAsia="游明朝" w:hAnsi="游明朝"/>
          <w:sz w:val="21"/>
          <w:szCs w:val="21"/>
        </w:rPr>
        <w:t xml:space="preserve">しかし、実験2で得られた血糖値データは、この作業仮説を単純な形では支持しなかった。固形摂取条件とスムージー摂取条件のTmaxの差はわずか15分にとどまり、血糖値が最高値に達するまでの「速さ」という観点では、両条件に明確な差は認められなかった。一方で、ピーク血糖値およびベースラインからの増加量（Δピーク）は、スムージー摂取条件の方が固形摂取条件よりも明確に大きかった（Δピーク：スムージー85.0 mg/dL、固形53.7 mg/dL）。また、満腹感に関する主観評価（0〜10点）をみると、スムージー摂取条件はピーク時点（9:00）の満腹感がむしろ固形摂取条件よりも高く（5.0 vs 4.0）、そのピークのタイミングも遅かった（9:00 vs 8:30）一方、10:00時点の残存満腹感はスムージー摂取条件の方が低かった（1.33 vs 2.00）。</w:t>
      </w:r>
    </w:p>
    <w:p>
      <w:pPr>
        <w:spacing w:after="200" w:line="360"/>
      </w:pPr>
      <w:r>
        <w:rPr>
          <w:rFonts w:ascii="游明朝" w:cs="游明朝" w:eastAsia="游明朝" w:hAnsi="游明朝"/>
          <w:sz w:val="21"/>
          <w:szCs w:val="21"/>
        </w:rPr>
        <w:t xml:space="preserve">以上を踏まえ、実験2着手時の作業仮説と、実際に得られたデータが支持する範囲との対応を表3に整理する。</w:t>
      </w:r>
    </w:p>
    <w:p>
      <w:pPr>
        <w:spacing w:after="100" w:before="100"/>
      </w:pPr>
      <w:r>
        <w:rPr>
          <w:rFonts w:ascii="游明朝" w:cs="游明朝" w:eastAsia="游明朝" w:hAnsi="游明朝"/>
          <w:b/>
          <w:bCs/>
          <w:sz w:val="19"/>
          <w:szCs w:val="19"/>
        </w:rPr>
        <w:t xml:space="preserve">表3　作業仮説とデータによる支持の対応</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400"/>
      </w:tblGrid>
      <w:tr>
        <w:trPr>
          <w:tblHeader/>
        </w:trPr>
        <w:tc>
          <w:tcPr>
            <w:tcW w:type="dxa" w:w="2700"/>
            <w:shd w:fill="21295C" w:color="auto" w:val="clear"/>
            <w:tcMar>
              <w:top w:type="dxa" w:w="90"/>
              <w:left w:type="dxa" w:w="110"/>
              <w:bottom w:type="dxa" w:w="90"/>
              <w:right w:type="dxa" w:w="110"/>
            </w:tcMar>
            <w:vAlign w:val="center"/>
          </w:tcPr>
          <w:p>
            <w:pPr>
              <w:jc w:val="center"/>
            </w:pPr>
            <w:r>
              <w:rPr>
                <w:rFonts w:ascii="游明朝" w:cs="游明朝" w:eastAsia="游明朝" w:hAnsi="游明朝"/>
                <w:b/>
                <w:bCs/>
                <w:sz w:val="19"/>
                <w:szCs w:val="19"/>
              </w:rPr>
              <w:t xml:space="preserve">想定していた主張</w:t>
            </w:r>
          </w:p>
        </w:tc>
        <w:tc>
          <w:tcPr>
            <w:tcW w:type="dxa" w:w="2700"/>
            <w:shd w:fill="21295C" w:color="auto" w:val="clear"/>
            <w:tcMar>
              <w:top w:type="dxa" w:w="90"/>
              <w:left w:type="dxa" w:w="110"/>
              <w:bottom w:type="dxa" w:w="90"/>
              <w:right w:type="dxa" w:w="110"/>
            </w:tcMar>
            <w:vAlign w:val="center"/>
          </w:tcPr>
          <w:p>
            <w:pPr>
              <w:jc w:val="center"/>
            </w:pPr>
            <w:r>
              <w:rPr>
                <w:rFonts w:ascii="游明朝" w:cs="游明朝" w:eastAsia="游明朝" w:hAnsi="游明朝"/>
                <w:b/>
                <w:bCs/>
                <w:sz w:val="19"/>
                <w:szCs w:val="19"/>
              </w:rPr>
              <w:t xml:space="preserve">データによる支持</w:t>
            </w:r>
          </w:p>
        </w:tc>
        <w:tc>
          <w:tcPr>
            <w:tcW w:type="dxa" w:w="3400"/>
            <w:shd w:fill="21295C" w:color="auto" w:val="clear"/>
            <w:tcMar>
              <w:top w:type="dxa" w:w="90"/>
              <w:left w:type="dxa" w:w="110"/>
              <w:bottom w:type="dxa" w:w="90"/>
              <w:right w:type="dxa" w:w="110"/>
            </w:tcMar>
            <w:vAlign w:val="center"/>
          </w:tcPr>
          <w:p>
            <w:pPr>
              <w:jc w:val="center"/>
            </w:pPr>
            <w:r>
              <w:rPr>
                <w:rFonts w:ascii="游明朝" w:cs="游明朝" w:eastAsia="游明朝" w:hAnsi="游明朝"/>
                <w:b/>
                <w:bCs/>
                <w:sz w:val="19"/>
                <w:szCs w:val="19"/>
              </w:rPr>
              <w:t xml:space="preserve">推奨される表現</w:t>
            </w:r>
          </w:p>
        </w:tc>
      </w:tr>
      <w:tr>
        <w:tc>
          <w:tcPr>
            <w:tcW w:type="dxa" w:w="27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スムージーは固形食より消化・吸収が速い</w:t>
            </w:r>
          </w:p>
        </w:tc>
        <w:tc>
          <w:tcPr>
            <w:tcW w:type="dxa" w:w="27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 支持されない
Tmax：固形30分（8:30）vs スムージー45分（8:45）。むしろ固形の方がやや早い</w:t>
            </w:r>
          </w:p>
        </w:tc>
        <w:tc>
          <w:tcPr>
            <w:tcW w:type="dxa" w:w="34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「吸収の速さ」ではなく「血糖上昇の大きさ（Δピーク）」の違いとして記述する</w:t>
            </w:r>
          </w:p>
        </w:tc>
      </w:tr>
      <w:tr>
        <w:tc>
          <w:tcPr>
            <w:tcW w:type="dxa" w:w="27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胃の貯留時間が短く、身体的負担が少ない</w:t>
            </w:r>
          </w:p>
        </w:tc>
        <w:tc>
          <w:tcPr>
            <w:tcW w:type="dxa" w:w="27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 部分的にのみ支持
10:00時点の残存満腹感はスムージーが低い(1.33 vs 2.00)が、ピーク時点(9:00)の満腹感はスムージーの方が高い(5.0 vs 4.0)</w:t>
            </w:r>
          </w:p>
        </w:tc>
        <w:tc>
          <w:tcPr>
            <w:tcW w:type="dxa" w:w="3400"/>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「負担軽減」と断定せず、「終盤の残存感は低い可能性がある」等、限定的な表現にとどめる</w:t>
            </w:r>
          </w:p>
        </w:tc>
      </w:tr>
      <w:tr>
        <w:tc>
          <w:tcPr>
            <w:tcW w:type="dxa" w:w="27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エネルギーが速く使えるようになった</w:t>
            </w:r>
          </w:p>
        </w:tc>
        <w:tc>
          <w:tcPr>
            <w:tcW w:type="dxa" w:w="27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 「速く」ではなく「多く」
Δピークはスムージー85.0 vs 固形53.7 mg/dLで、スムージーの方が明確に大きい</w:t>
            </w:r>
          </w:p>
        </w:tc>
        <w:tc>
          <w:tcPr>
            <w:tcW w:type="dxa" w:w="3400"/>
            <w:shd w:fill="F4F7F9" w:color="auto" w:val="clear"/>
            <w:tcMar>
              <w:top w:type="dxa" w:w="90"/>
              <w:left w:type="dxa" w:w="110"/>
              <w:bottom w:type="dxa" w:w="90"/>
              <w:right w:type="dxa" w:w="110"/>
            </w:tcMar>
            <w:vAlign w:val="center"/>
          </w:tcPr>
          <w:p>
            <w:pPr>
              <w:jc w:val="left"/>
            </w:pPr>
            <w:r>
              <w:rPr>
                <w:rFonts w:ascii="游明朝" w:cs="游明朝" w:eastAsia="游明朝" w:hAnsi="游明朝"/>
                <w:b w:val="false"/>
                <w:bCs w:val="false"/>
                <w:sz w:val="19"/>
                <w:szCs w:val="19"/>
              </w:rPr>
              <w:t xml:space="preserve">「より多くの糖質が短時間で血中に供給された」という量的な表現に修正する</w:t>
            </w:r>
          </w:p>
        </w:tc>
      </w:tr>
    </w:tbl>
    <w:p>
      <w:pPr>
        <w:spacing w:after="200" w:line="360"/>
      </w:pPr>
      <w:r>
        <w:rPr>
          <w:rFonts w:ascii="游明朝" w:cs="游明朝" w:eastAsia="游明朝" w:hAnsi="游明朝"/>
          <w:sz w:val="21"/>
          <w:szCs w:val="21"/>
        </w:rPr>
        <w:t xml:space="preserve">表3が示す通り、「消化・吸収が速い」という当初の説明は、Tmaxのデータとは整合しない。むしろ固形摂取の方がわずかに早くピークに到達しており、この点に関しては当初の仮説を修正する必要がある。「胃の負担が少ない」という説明についても、満腹感のピーク値自体はスムージーの方が高かったことから、単純な「負担軽減」として記述することは適切ではなく、「消化管内からの排出自体は、終盤では早い可能性がある」という限定的な表現にとどめるべきである。</w:t>
      </w:r>
    </w:p>
    <w:p>
      <w:pPr>
        <w:spacing w:after="200" w:line="360"/>
      </w:pPr>
      <w:r>
        <w:rPr>
          <w:rFonts w:ascii="游明朝" w:cs="游明朝" w:eastAsia="游明朝" w:hAnsi="游明朝"/>
          <w:sz w:val="21"/>
          <w:szCs w:val="21"/>
        </w:rPr>
        <w:t xml:space="preserve">実験2のデータから妥当に主張できるのは、「スムージーは固形食に比べて、同じ時間内でより多くの糖質が血中に供給された（＝血糖上昇の勢い・大きさが異なる）」という量的な違いである。この量的な違いが、運動前・運動中に利用可能なエネルギー量の違いとして、瞬発力・持久力の実感向上や疲労感の軽減に部分的に寄与した可能性は否定できない。すなわち、実験1で観察されたコンディションの変化は、朝食からの「吸収の速さ」ではなく、「供給される糖質の量・血糖上昇の大きさ」という側面から説明する方が、実験2で得られたデータとの整合性が高いと考えられる。</w:t>
      </w:r>
    </w:p>
    <w:p>
      <w:pPr>
        <w:spacing w:after="200" w:line="360"/>
      </w:pPr>
      <w:r>
        <w:rPr>
          <w:rFonts w:ascii="游明朝" w:cs="游明朝" w:eastAsia="游明朝" w:hAnsi="游明朝"/>
          <w:sz w:val="21"/>
          <w:szCs w:val="21"/>
        </w:rPr>
        <w:t xml:space="preserve">ただし、実験1と実験2を統合して解釈するにあたっては、以下の点に留意する必要がある。第一に、実験1（12月16日前後の観察）と実験2（8月下旬〜9月の統制されたプロトコル）は実施時期が大きく異なり、両者の間には練習フェーズやシーズンの違いなど、朝食形態以外の要因が介在していた可能性がある。したがって、実験1で観察された変化の生理学的機序を実験2が直接的に証明したとは言えず、本研究で示せるのはあくまで示唆的な関連にとどまる。第二に、実験2における固形摂取条件とスムージー摂取条件の比較は、後続の14日間連続血糖モニタリングで判明したDAY5（8/29）以降の血糖ベースラインシフトの影響を一部受けている可能性があり、この点でも結果の解釈には慎重を要する。第三に、実験1は前後比較、実験2は各条件n=3日という限られたデータに基づく記述的な傾向であり、いずれも統計的検定は行っていない。</w:t>
      </w:r>
    </w:p>
    <w:p>
      <w:pPr>
        <w:spacing w:after="200" w:line="360"/>
      </w:pPr>
      <w:r>
        <w:rPr>
          <w:rFonts w:ascii="游明朝" w:cs="游明朝" w:eastAsia="游明朝" w:hAnsi="游明朝"/>
          <w:sz w:val="21"/>
          <w:szCs w:val="21"/>
        </w:rPr>
        <w:t xml:space="preserve">実験1と実験2の関連をより強固に示すためには、同一期間内で朝食条件を統制しつつ、血糖値と主観的コンディション（瞬発力・持久力・疲労感）を同時に測定し、両者の関連を直接的に検討する追試が必要である。また、消化管の負担や胃内滞留時間を評価する指標（満腹感アンケートに加え、可能であれば胃排出に関する客観的指標等）を充実させることで、「負担軽減」という当初の仮説についてもより精緻に検証できると考えられる。</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2026-10-02T01:14:21.640Z</dcterms:created>
  <dcterms:modified xsi:type="dcterms:W3CDTF">2026-10-02T01:14:21.652Z</dcterms:modified>
</cp:coreProperties>
</file>

<file path=docProps/custom.xml><?xml version="1.0" encoding="utf-8"?>
<Properties xmlns="http://schemas.openxmlformats.org/officeDocument/2006/custom-properties" xmlns:vt="http://schemas.openxmlformats.org/officeDocument/2006/docPropsVTypes"/>
</file>