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游ゴシック" w:cs="游ゴシック" w:eastAsia="游ゴシック" w:hAnsi="游ゴシック"/>
          <w:b/>
          <w:bCs/>
          <w:sz w:val="32"/>
          <w:szCs w:val="32"/>
        </w:rPr>
        <w:t xml:space="preserve">朝食形態の変更（12/16）前後における実践練習時コンディションの変化</w:t>
      </w:r>
    </w:p>
    <w:p>
      <w:pPr>
        <w:pStyle w:val="Heading1"/>
        <w:spacing w:after="160" w:before="320"/>
      </w:pPr>
      <w:r>
        <w:rPr>
          <w:rFonts w:ascii="游ゴシック" w:cs="游ゴシック" w:eastAsia="游ゴシック" w:hAnsi="游ゴシック"/>
          <w:b/>
          <w:bCs/>
          <w:sz w:val="28"/>
          <w:szCs w:val="28"/>
        </w:rPr>
        <w:t xml:space="preserve">背景</w:t>
      </w:r>
    </w:p>
    <w:p>
      <w:pPr>
        <w:spacing w:after="200" w:line="360"/>
      </w:pPr>
      <w:r>
        <w:rPr>
          <w:rFonts w:ascii="游明朝" w:cs="游明朝" w:eastAsia="游明朝" w:hAnsi="游明朝"/>
          <w:sz w:val="21"/>
          <w:szCs w:val="21"/>
        </w:rPr>
        <w:t xml:space="preserve">本研究はもともと、日々のコンディション記録アプリを用いた定常的なモニタリングの中で得られた観察から着想を得ている。対象選手は朝食の形態を12月16日を境にスムージー中心へと変更しており、その前後で実践練習時の主観的コンディション（瞬発力・敏速性、持久力、疲労感）に変化がみられるかを比較したところ、複数の項目で望ましい方向への変化が確認された。</w:t>
      </w:r>
    </w:p>
    <w:p>
      <w:pPr>
        <w:spacing w:after="200" w:line="360"/>
      </w:pPr>
      <w:r>
        <w:rPr>
          <w:rFonts w:ascii="游明朝" w:cs="游明朝" w:eastAsia="游明朝" w:hAnsi="游明朝"/>
          <w:sz w:val="21"/>
          <w:szCs w:val="21"/>
        </w:rPr>
        <w:t xml:space="preserve">この予備的な観察が、朝食の形態・組成が血糖動態やコンディションに及ぼす影響を統制された条件下で検証する、固形食・スムージー等4条件の血糖値比較研究（実験2）に着手する直接の動機となった。本節ではこの予備的な観察（実験1）について整理する。</w:t>
      </w:r>
    </w:p>
    <w:p>
      <w:pPr>
        <w:pStyle w:val="Heading1"/>
        <w:spacing w:after="160" w:before="320"/>
      </w:pPr>
      <w:r>
        <w:rPr>
          <w:rFonts w:ascii="游ゴシック" w:cs="游ゴシック" w:eastAsia="游ゴシック" w:hAnsi="游ゴシック"/>
          <w:b/>
          <w:bCs/>
          <w:sz w:val="28"/>
          <w:szCs w:val="28"/>
        </w:rPr>
        <w:t xml:space="preserve">方法</w:t>
      </w:r>
    </w:p>
    <w:p>
      <w:pPr>
        <w:spacing w:after="200" w:line="360"/>
      </w:pPr>
      <w:r>
        <w:rPr>
          <w:rFonts w:ascii="游明朝" w:cs="游明朝" w:eastAsia="游明朝" w:hAnsi="游明朝"/>
          <w:sz w:val="21"/>
          <w:szCs w:val="21"/>
        </w:rPr>
        <w:t xml:space="preserve">対象は実験2と同一の、高位脊髄損傷を有する車いす陸上競技選手1名である。対象選手は日々のコンディション記録アプリを用いて、実践練習後に「瞬発力・敏速性」「持久力」「疲労感（練習中）」「疲労感（練習後）」の4項目について、3段階（全くない/少ない・普通・少しある/かなりある）で自己評価を行っていた。</w:t>
      </w:r>
    </w:p>
    <w:p>
      <w:pPr>
        <w:spacing w:after="200" w:line="360"/>
      </w:pPr>
      <w:r>
        <w:rPr>
          <w:rFonts w:ascii="游明朝" w:cs="游明朝" w:eastAsia="游明朝" w:hAnsi="游明朝"/>
          <w:sz w:val="21"/>
          <w:szCs w:val="21"/>
        </w:rPr>
        <w:t xml:space="preserve">朝食をスムージー中心に変更した12月16日を境に、変更前（n=25回答）・変更後（n=37回答）の回答割合を項目ごとに集計し、比較した。本検討は特定の条件を実験的に割り付けて実施した介入研究ではなく、日常的に蓄積されたコンディション記録データを後方視的に比較した観察研究である点に留意されたい。</w:t>
      </w:r>
    </w:p>
    <w:p>
      <w:pPr>
        <w:pStyle w:val="Heading1"/>
        <w:spacing w:after="160" w:before="320"/>
      </w:pPr>
      <w:r>
        <w:rPr>
          <w:rFonts w:ascii="游ゴシック" w:cs="游ゴシック" w:eastAsia="游ゴシック" w:hAnsi="游ゴシック"/>
          <w:b/>
          <w:bCs/>
          <w:sz w:val="28"/>
          <w:szCs w:val="28"/>
        </w:rPr>
        <w:t xml:space="preserve">結果</w:t>
      </w:r>
    </w:p>
    <w:p>
      <w:pPr>
        <w:spacing w:after="200" w:line="360"/>
      </w:pPr>
      <w:r>
        <w:rPr>
          <w:rFonts w:ascii="游明朝" w:cs="游明朝" w:eastAsia="游明朝" w:hAnsi="游明朝"/>
          <w:sz w:val="21"/>
          <w:szCs w:val="21"/>
        </w:rPr>
        <w:t xml:space="preserve">12月16日を境とした前後比較の結果を表1に示す。回答割合の差が10ポイント以上であり、かつ好ましい方向への変化（疲労感の減少、持久力・瞬発力の実感の増加）を示した項目は、網掛けで示した6区分であった。</w:t>
      </w:r>
    </w:p>
    <w:p>
      <w:pPr>
        <w:spacing w:after="100" w:before="100"/>
      </w:pPr>
      <w:r>
        <w:rPr>
          <w:rFonts w:ascii="游明朝" w:cs="游明朝" w:eastAsia="游明朝" w:hAnsi="游明朝"/>
          <w:b/>
          <w:bCs/>
          <w:sz w:val="19"/>
          <w:szCs w:val="19"/>
        </w:rPr>
        <w:t xml:space="preserve">表1　朝食変更（12/16）前後における実践練習時コンディションの回答割合</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1500"/>
        <w:gridCol w:w="1200"/>
      </w:tblGrid>
      <w:tr>
        <w:trPr>
          <w:tblHeader/>
        </w:trPr>
        <w:tc>
          <w:tcPr>
            <w:tcW w:type="dxa" w:w="2000"/>
            <w:shd w:fill="21295C" w:color="auto" w:val="clear"/>
            <w:tcMar>
              <w:top w:type="dxa" w:w="80"/>
              <w:left w:type="dxa" w:w="100"/>
              <w:bottom w:type="dxa" w:w="80"/>
              <w:right w:type="dxa" w:w="100"/>
            </w:tcMar>
            <w:vAlign w:val="center"/>
          </w:tcPr>
          <w:p>
            <w:pPr>
              <w:jc w:val="center"/>
            </w:pPr>
            <w:r>
              <w:rPr>
                <w:rFonts w:ascii="游明朝" w:cs="游明朝" w:eastAsia="游明朝" w:hAnsi="游明朝"/>
                <w:b/>
                <w:bCs/>
                <w:sz w:val="18"/>
                <w:szCs w:val="18"/>
              </w:rPr>
              <w:t xml:space="preserve">項目</w:t>
            </w:r>
          </w:p>
        </w:tc>
        <w:tc>
          <w:tcPr>
            <w:tcW w:type="dxa" w:w="2400"/>
            <w:shd w:fill="21295C" w:color="auto" w:val="clear"/>
            <w:tcMar>
              <w:top w:type="dxa" w:w="80"/>
              <w:left w:type="dxa" w:w="100"/>
              <w:bottom w:type="dxa" w:w="80"/>
              <w:right w:type="dxa" w:w="100"/>
            </w:tcMar>
            <w:vAlign w:val="center"/>
          </w:tcPr>
          <w:p>
            <w:pPr>
              <w:jc w:val="center"/>
            </w:pPr>
            <w:r>
              <w:rPr>
                <w:rFonts w:ascii="游明朝" w:cs="游明朝" w:eastAsia="游明朝" w:hAnsi="游明朝"/>
                <w:b/>
                <w:bCs/>
                <w:sz w:val="18"/>
                <w:szCs w:val="18"/>
              </w:rPr>
              <w:t xml:space="preserve">回答区分</w:t>
            </w:r>
          </w:p>
        </w:tc>
        <w:tc>
          <w:tcPr>
            <w:tcW w:type="dxa" w:w="1500"/>
            <w:shd w:fill="21295C" w:color="auto" w:val="clear"/>
            <w:tcMar>
              <w:top w:type="dxa" w:w="80"/>
              <w:left w:type="dxa" w:w="100"/>
              <w:bottom w:type="dxa" w:w="80"/>
              <w:right w:type="dxa" w:w="100"/>
            </w:tcMar>
            <w:vAlign w:val="center"/>
          </w:tcPr>
          <w:p>
            <w:pPr>
              <w:jc w:val="center"/>
            </w:pPr>
            <w:r>
              <w:rPr>
                <w:rFonts w:ascii="游明朝" w:cs="游明朝" w:eastAsia="游明朝" w:hAnsi="游明朝"/>
                <w:b/>
                <w:bCs/>
                <w:sz w:val="18"/>
                <w:szCs w:val="18"/>
              </w:rPr>
              <w:t xml:space="preserve">変更前
(n=25)</w:t>
            </w:r>
          </w:p>
        </w:tc>
        <w:tc>
          <w:tcPr>
            <w:tcW w:type="dxa" w:w="1500"/>
            <w:shd w:fill="21295C" w:color="auto" w:val="clear"/>
            <w:tcMar>
              <w:top w:type="dxa" w:w="80"/>
              <w:left w:type="dxa" w:w="100"/>
              <w:bottom w:type="dxa" w:w="80"/>
              <w:right w:type="dxa" w:w="100"/>
            </w:tcMar>
            <w:vAlign w:val="center"/>
          </w:tcPr>
          <w:p>
            <w:pPr>
              <w:jc w:val="center"/>
            </w:pPr>
            <w:r>
              <w:rPr>
                <w:rFonts w:ascii="游明朝" w:cs="游明朝" w:eastAsia="游明朝" w:hAnsi="游明朝"/>
                <w:b/>
                <w:bCs/>
                <w:sz w:val="18"/>
                <w:szCs w:val="18"/>
              </w:rPr>
              <w:t xml:space="preserve">変更後
(n=37)</w:t>
            </w:r>
          </w:p>
        </w:tc>
        <w:tc>
          <w:tcPr>
            <w:tcW w:type="dxa" w:w="1200"/>
            <w:shd w:fill="21295C" w:color="auto" w:val="clear"/>
            <w:tcMar>
              <w:top w:type="dxa" w:w="80"/>
              <w:left w:type="dxa" w:w="100"/>
              <w:bottom w:type="dxa" w:w="80"/>
              <w:right w:type="dxa" w:w="100"/>
            </w:tcMar>
            <w:vAlign w:val="center"/>
          </w:tcPr>
          <w:p>
            <w:pPr>
              <w:jc w:val="center"/>
            </w:pPr>
            <w:r>
              <w:rPr>
                <w:rFonts w:ascii="游明朝" w:cs="游明朝" w:eastAsia="游明朝" w:hAnsi="游明朝"/>
                <w:b/>
                <w:bCs/>
                <w:sz w:val="18"/>
                <w:szCs w:val="18"/>
              </w:rPr>
              <w:t xml:space="preserve">差</w:t>
            </w:r>
          </w:p>
        </w:tc>
      </w:tr>
      <w:tr>
        <w:tc>
          <w:tcPr>
            <w:tcW w:type="dxa" w:w="20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瞬発力・敏速性</w:t>
            </w:r>
          </w:p>
        </w:tc>
        <w:tc>
          <w:tcPr>
            <w:tcW w:type="dxa" w:w="24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全くない/少ない</w:t>
            </w:r>
          </w:p>
        </w:tc>
        <w:tc>
          <w:tcPr>
            <w:tcW w:type="dxa" w:w="15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44%</w:t>
            </w:r>
          </w:p>
        </w:tc>
        <w:tc>
          <w:tcPr>
            <w:tcW w:type="dxa" w:w="15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32%</w:t>
            </w:r>
          </w:p>
        </w:tc>
        <w:tc>
          <w:tcPr>
            <w:tcW w:type="dxa" w:w="12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-12pt</w:t>
            </w:r>
          </w:p>
        </w:tc>
      </w:tr>
      <w:tr>
        <w:tc>
          <w:tcPr>
            <w:tcW w:type="dxa" w:w="20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瞬発力・敏速性</w:t>
            </w:r>
          </w:p>
        </w:tc>
        <w:tc>
          <w:tcPr>
            <w:tcW w:type="dxa" w:w="24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普通</w:t>
            </w:r>
          </w:p>
        </w:tc>
        <w:tc>
          <w:tcPr>
            <w:tcW w:type="dxa" w:w="15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12%</w:t>
            </w:r>
          </w:p>
        </w:tc>
        <w:tc>
          <w:tcPr>
            <w:tcW w:type="dxa" w:w="15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16%</w:t>
            </w:r>
          </w:p>
        </w:tc>
        <w:tc>
          <w:tcPr>
            <w:tcW w:type="dxa" w:w="12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+4pt</w:t>
            </w:r>
          </w:p>
        </w:tc>
      </w:tr>
      <w:tr>
        <w:tc>
          <w:tcPr>
            <w:tcW w:type="dxa" w:w="20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瞬発力・敏速性</w:t>
            </w:r>
          </w:p>
        </w:tc>
        <w:tc>
          <w:tcPr>
            <w:tcW w:type="dxa" w:w="24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少しある/かなりある</w:t>
            </w:r>
          </w:p>
        </w:tc>
        <w:tc>
          <w:tcPr>
            <w:tcW w:type="dxa" w:w="15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44%</w:t>
            </w:r>
          </w:p>
        </w:tc>
        <w:tc>
          <w:tcPr>
            <w:tcW w:type="dxa" w:w="15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51%</w:t>
            </w:r>
          </w:p>
        </w:tc>
        <w:tc>
          <w:tcPr>
            <w:tcW w:type="dxa" w:w="12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+7pt</w:t>
            </w:r>
          </w:p>
        </w:tc>
      </w:tr>
      <w:tr>
        <w:tc>
          <w:tcPr>
            <w:tcW w:type="dxa" w:w="20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持久力</w:t>
            </w:r>
          </w:p>
        </w:tc>
        <w:tc>
          <w:tcPr>
            <w:tcW w:type="dxa" w:w="24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全くない/少ない</w:t>
            </w:r>
          </w:p>
        </w:tc>
        <w:tc>
          <w:tcPr>
            <w:tcW w:type="dxa" w:w="15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24%</w:t>
            </w:r>
          </w:p>
        </w:tc>
        <w:tc>
          <w:tcPr>
            <w:tcW w:type="dxa" w:w="15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32%</w:t>
            </w:r>
          </w:p>
        </w:tc>
        <w:tc>
          <w:tcPr>
            <w:tcW w:type="dxa" w:w="12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+8pt</w:t>
            </w:r>
          </w:p>
        </w:tc>
      </w:tr>
      <w:tr>
        <w:tc>
          <w:tcPr>
            <w:tcW w:type="dxa" w:w="20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持久力</w:t>
            </w:r>
          </w:p>
        </w:tc>
        <w:tc>
          <w:tcPr>
            <w:tcW w:type="dxa" w:w="24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普通</w:t>
            </w:r>
          </w:p>
        </w:tc>
        <w:tc>
          <w:tcPr>
            <w:tcW w:type="dxa" w:w="15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44%</w:t>
            </w:r>
          </w:p>
        </w:tc>
        <w:tc>
          <w:tcPr>
            <w:tcW w:type="dxa" w:w="15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22%</w:t>
            </w:r>
          </w:p>
        </w:tc>
        <w:tc>
          <w:tcPr>
            <w:tcW w:type="dxa" w:w="12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-22pt</w:t>
            </w:r>
          </w:p>
        </w:tc>
      </w:tr>
      <w:tr>
        <w:tc>
          <w:tcPr>
            <w:tcW w:type="dxa" w:w="20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持久力</w:t>
            </w:r>
          </w:p>
        </w:tc>
        <w:tc>
          <w:tcPr>
            <w:tcW w:type="dxa" w:w="24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少しある/かなりある</w:t>
            </w:r>
          </w:p>
        </w:tc>
        <w:tc>
          <w:tcPr>
            <w:tcW w:type="dxa" w:w="15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32%</w:t>
            </w:r>
          </w:p>
        </w:tc>
        <w:tc>
          <w:tcPr>
            <w:tcW w:type="dxa" w:w="15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46%</w:t>
            </w:r>
          </w:p>
        </w:tc>
        <w:tc>
          <w:tcPr>
            <w:tcW w:type="dxa" w:w="12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+14pt</w:t>
            </w:r>
          </w:p>
        </w:tc>
      </w:tr>
      <w:tr>
        <w:tc>
          <w:tcPr>
            <w:tcW w:type="dxa" w:w="20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疲労感（練習中）</w:t>
            </w:r>
          </w:p>
        </w:tc>
        <w:tc>
          <w:tcPr>
            <w:tcW w:type="dxa" w:w="24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全くない/少ない</w:t>
            </w:r>
          </w:p>
        </w:tc>
        <w:tc>
          <w:tcPr>
            <w:tcW w:type="dxa" w:w="15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4%</w:t>
            </w:r>
          </w:p>
        </w:tc>
        <w:tc>
          <w:tcPr>
            <w:tcW w:type="dxa" w:w="15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19%</w:t>
            </w:r>
          </w:p>
        </w:tc>
        <w:tc>
          <w:tcPr>
            <w:tcW w:type="dxa" w:w="12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+15pt</w:t>
            </w:r>
          </w:p>
        </w:tc>
      </w:tr>
      <w:tr>
        <w:tc>
          <w:tcPr>
            <w:tcW w:type="dxa" w:w="20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疲労感（練習中）</w:t>
            </w:r>
          </w:p>
        </w:tc>
        <w:tc>
          <w:tcPr>
            <w:tcW w:type="dxa" w:w="24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普通</w:t>
            </w:r>
          </w:p>
        </w:tc>
        <w:tc>
          <w:tcPr>
            <w:tcW w:type="dxa" w:w="15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44%</w:t>
            </w:r>
          </w:p>
        </w:tc>
        <w:tc>
          <w:tcPr>
            <w:tcW w:type="dxa" w:w="15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41%</w:t>
            </w:r>
          </w:p>
        </w:tc>
        <w:tc>
          <w:tcPr>
            <w:tcW w:type="dxa" w:w="1200"/>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-3pt</w:t>
            </w:r>
          </w:p>
        </w:tc>
      </w:tr>
      <w:tr>
        <w:tc>
          <w:tcPr>
            <w:tcW w:type="dxa" w:w="20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疲労感（練習中）</w:t>
            </w:r>
          </w:p>
        </w:tc>
        <w:tc>
          <w:tcPr>
            <w:tcW w:type="dxa" w:w="24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少しある/かなりある</w:t>
            </w:r>
          </w:p>
        </w:tc>
        <w:tc>
          <w:tcPr>
            <w:tcW w:type="dxa" w:w="15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52%</w:t>
            </w:r>
          </w:p>
        </w:tc>
        <w:tc>
          <w:tcPr>
            <w:tcW w:type="dxa" w:w="15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41%</w:t>
            </w:r>
          </w:p>
        </w:tc>
        <w:tc>
          <w:tcPr>
            <w:tcW w:type="dxa" w:w="12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-11pt</w:t>
            </w:r>
          </w:p>
        </w:tc>
      </w:tr>
      <w:tr>
        <w:tc>
          <w:tcPr>
            <w:tcW w:type="dxa" w:w="20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疲労感（練習後）</w:t>
            </w:r>
          </w:p>
        </w:tc>
        <w:tc>
          <w:tcPr>
            <w:tcW w:type="dxa" w:w="24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全くない/少ない</w:t>
            </w:r>
          </w:p>
        </w:tc>
        <w:tc>
          <w:tcPr>
            <w:tcW w:type="dxa" w:w="15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8%</w:t>
            </w:r>
          </w:p>
        </w:tc>
        <w:tc>
          <w:tcPr>
            <w:tcW w:type="dxa" w:w="15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38%</w:t>
            </w:r>
          </w:p>
        </w:tc>
        <w:tc>
          <w:tcPr>
            <w:tcW w:type="dxa" w:w="12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+30pt</w:t>
            </w:r>
          </w:p>
        </w:tc>
      </w:tr>
      <w:tr>
        <w:tc>
          <w:tcPr>
            <w:tcW w:type="dxa" w:w="20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疲労感（練習後）</w:t>
            </w:r>
          </w:p>
        </w:tc>
        <w:tc>
          <w:tcPr>
            <w:tcW w:type="dxa" w:w="24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普通</w:t>
            </w:r>
          </w:p>
        </w:tc>
        <w:tc>
          <w:tcPr>
            <w:tcW w:type="dxa" w:w="15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36%</w:t>
            </w:r>
          </w:p>
        </w:tc>
        <w:tc>
          <w:tcPr>
            <w:tcW w:type="dxa" w:w="15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43%</w:t>
            </w:r>
          </w:p>
        </w:tc>
        <w:tc>
          <w:tcPr>
            <w:tcW w:type="dxa" w:w="1200"/>
            <w:shd w:fill="F4F7F9"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+7pt</w:t>
            </w:r>
          </w:p>
        </w:tc>
      </w:tr>
      <w:tr>
        <w:tc>
          <w:tcPr>
            <w:tcW w:type="dxa" w:w="20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疲労感（練習後）</w:t>
            </w:r>
          </w:p>
        </w:tc>
        <w:tc>
          <w:tcPr>
            <w:tcW w:type="dxa" w:w="24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少しある/かなりある</w:t>
            </w:r>
          </w:p>
        </w:tc>
        <w:tc>
          <w:tcPr>
            <w:tcW w:type="dxa" w:w="15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56%</w:t>
            </w:r>
          </w:p>
        </w:tc>
        <w:tc>
          <w:tcPr>
            <w:tcW w:type="dxa" w:w="15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19%</w:t>
            </w:r>
          </w:p>
        </w:tc>
        <w:tc>
          <w:tcPr>
            <w:tcW w:type="dxa" w:w="1200"/>
            <w:shd w:fill="EAF7F0" w:color="auto" w:val="clear"/>
            <w:tcMar>
              <w:top w:type="dxa" w:w="80"/>
              <w:left w:type="dxa" w:w="100"/>
              <w:bottom w:type="dxa" w:w="80"/>
              <w:right w:type="dxa" w:w="100"/>
            </w:tcMar>
            <w:vAlign w:val="center"/>
          </w:tcPr>
          <w:p>
            <w:pPr>
              <w:jc w:val="center"/>
            </w:pPr>
            <w:r>
              <w:rPr>
                <w:rFonts w:ascii="游明朝" w:cs="游明朝" w:eastAsia="游明朝" w:hAnsi="游明朝"/>
                <w:b w:val="false"/>
                <w:bCs w:val="false"/>
                <w:sz w:val="18"/>
                <w:szCs w:val="18"/>
              </w:rPr>
              <w:t xml:space="preserve">-37pt</w:t>
            </w:r>
          </w:p>
        </w:tc>
      </w:tr>
    </w:tbl>
    <w:p>
      <w:pPr>
        <w:spacing w:after="200" w:line="360"/>
      </w:pPr>
      <w:r>
        <w:rPr>
          <w:rFonts w:ascii="游明朝" w:cs="游明朝" w:eastAsia="游明朝" w:hAnsi="游明朝"/>
          <w:sz w:val="21"/>
          <w:szCs w:val="21"/>
        </w:rPr>
        <w:t xml:space="preserve">瞬発力・敏速性では「全くない/少ない」の回答割合が44%から32%へ12ポイント減少した（力を感じないとする回答が減少）。持久力では「少しある/かなりある」の回答割合が32%から46%へ14ポイント増加した。疲労感（練習中）では「全くない/少ない」が4%から19%へ15ポイント増加し、「少しある/かなりある」は52%から41%へ11ポイント減少した。疲労感（練習後）では「全くない/少ない」が8%から38%へ30ポイント増加し、「少しある/かなりある」は56%から19%へ37ポイント減少し、4項目の中で最も大きな変化を示した。</w:t>
      </w:r>
    </w:p>
    <w:p>
      <w:pPr>
        <w:pStyle w:val="Heading1"/>
        <w:spacing w:after="160" w:before="320"/>
      </w:pPr>
      <w:r>
        <w:rPr>
          <w:rFonts w:ascii="游ゴシック" w:cs="游ゴシック" w:eastAsia="游ゴシック" w:hAnsi="游ゴシック"/>
          <w:b/>
          <w:bCs/>
          <w:sz w:val="28"/>
          <w:szCs w:val="28"/>
        </w:rPr>
        <w:t xml:space="preserve">考察</w:t>
      </w:r>
    </w:p>
    <w:p>
      <w:pPr>
        <w:spacing w:after="200" w:line="360"/>
      </w:pPr>
      <w:r>
        <w:rPr>
          <w:rFonts w:ascii="游明朝" w:cs="游明朝" w:eastAsia="游明朝" w:hAnsi="游明朝"/>
          <w:sz w:val="21"/>
          <w:szCs w:val="21"/>
        </w:rPr>
        <w:t xml:space="preserve">朝食をスムージー中心に変更して以降、瞬発力・敏速性、持久力の実感が高まり、特に練習後の疲労感が大きく軽減する傾向が観察された。これは、朝食形態の違いが血糖動態を介してエネルギー供給パターンを変化させ、練習中・練習後の主観的コンディションに影響を及ぼしている可能性を示唆する観察であり、固形食・スムージー等の違いが血糖応答にどう反映されるかを厳密に検証する必要性（実験2の着想）につながるものである。</w:t>
      </w:r>
    </w:p>
    <w:p>
      <w:pPr>
        <w:spacing w:after="200" w:line="360"/>
      </w:pPr>
      <w:r>
        <w:rPr>
          <w:rFonts w:ascii="游明朝" w:cs="游明朝" w:eastAsia="游明朝" w:hAnsi="游明朝"/>
          <w:sz w:val="21"/>
          <w:szCs w:val="21"/>
        </w:rPr>
        <w:t xml:space="preserve">一方で、本観察には研究デザイン上の重要な限界がある。本比較は12月16日というカレンダー日付を境にした前後比較であり、この期間に朝食形態以外の要因（練習フェーズや試合期・オフ期の違い、季節・気温の変化、疲労の蓄積度、睡眠環境の変化等）が同時に変化していた可能性を排除できない。この構造は、後続の実験2・14日間連続血糖モニタリングにおいて確認された「DAY5（8/29）以降の血糖ベースラインシフト」が引き起こす前後比較の交絡と本質的に同型の問題であり、本観察のみから朝食形態の変更を直接の原因として特定することはできない。</w:t>
      </w:r>
    </w:p>
    <w:p>
      <w:pPr>
        <w:spacing w:after="200" w:line="360"/>
      </w:pPr>
      <w:r>
        <w:rPr>
          <w:rFonts w:ascii="游明朝" w:cs="游明朝" w:eastAsia="游明朝" w:hAnsi="游明朝"/>
          <w:sz w:val="21"/>
          <w:szCs w:val="21"/>
        </w:rPr>
        <w:t xml:space="preserve">また、本検討は朝食形態の変更という単一の生活イベントを境にした観察研究であり、ランダム化や統制群を伴う実験的デザインではない。得られた割合の差についても統計的検定は行っておらず、記述的な傾向として位置づけるべきである。これらの限界を踏まえ、本観察（実験1）はあくまで研究の着想・動機づけとなった予備的知見として扱い、朝食形態と血糖動態・コンディションの関係を因果的に検証する役割は、統制されたプロトコルのもとで実施した実験2が担うものと位置づける。</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2026-10-02T00:44:03.484Z</dcterms:created>
  <dcterms:modified xsi:type="dcterms:W3CDTF">2026-10-02T00:44:03.485Z</dcterms:modified>
</cp:coreProperties>
</file>

<file path=docProps/custom.xml><?xml version="1.0" encoding="utf-8"?>
<Properties xmlns="http://schemas.openxmlformats.org/officeDocument/2006/custom-properties" xmlns:vt="http://schemas.openxmlformats.org/officeDocument/2006/docPropsVTypes"/>
</file>