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rFonts w:ascii="游ゴシック" w:cs="游ゴシック" w:eastAsia="游ゴシック" w:hAnsi="游ゴシック"/>
          <w:b/>
          <w:bCs/>
          <w:sz w:val="32"/>
          <w:szCs w:val="32"/>
        </w:rPr>
        <w:t xml:space="preserve">スムージーの糖質量の違い（通常 vs 糖質減）が血糖ピーク到達時間（Tmax）に及ぼす影響</w:t>
      </w:r>
    </w:p>
    <w:p>
      <w:pPr>
        <w:pStyle w:val="Heading1"/>
        <w:spacing w:after="160" w:before="320"/>
      </w:pPr>
      <w:r>
        <w:rPr>
          <w:rFonts w:ascii="游ゴシック" w:cs="游ゴシック" w:eastAsia="游ゴシック" w:hAnsi="游ゴシック"/>
          <w:b/>
          <w:bCs/>
          <w:sz w:val="28"/>
          <w:szCs w:val="28"/>
        </w:rPr>
        <w:t xml:space="preserve">背景</w:t>
      </w:r>
    </w:p>
    <w:p>
      <w:pPr>
        <w:spacing w:after="200" w:line="360"/>
      </w:pPr>
      <w:r>
        <w:rPr>
          <w:rFonts w:ascii="游明朝" w:cs="游明朝" w:eastAsia="游明朝" w:hAnsi="游明朝"/>
          <w:sz w:val="21"/>
          <w:szCs w:val="21"/>
        </w:rPr>
        <w:t xml:space="preserve">朝食の糖質量は、血糖応答の大きさだけでなくピークに至るまでの時間にも影響しうる。一般に、糖質量を減らすことで血糖上昇は緩やかになり、ピーク到達も早まる、あるいはピーク自体が低くなることが期待される。</w:t>
      </w:r>
    </w:p>
    <w:p>
      <w:pPr>
        <w:spacing w:after="200" w:line="360"/>
      </w:pPr>
      <w:r>
        <w:rPr>
          <w:rFonts w:ascii="游明朝" w:cs="游明朝" w:eastAsia="游明朝" w:hAnsi="游明朝"/>
          <w:sz w:val="21"/>
          <w:szCs w:val="21"/>
        </w:rPr>
        <w:t xml:space="preserve">本節では、おにぎり＋スムージー摂取条件（通常のPFCバランス）とおにぎり＋糖質減摂取条件（スムージーの糖質を減らしたPFCバランス）を比較し、糖質量の違いが血糖ピーク到達時間（Tmax）に及ぼす影響を検討した。</w:t>
      </w:r>
    </w:p>
    <w:p>
      <w:pPr>
        <w:pStyle w:val="Heading1"/>
        <w:spacing w:after="160" w:before="320"/>
      </w:pPr>
      <w:r>
        <w:rPr>
          <w:rFonts w:ascii="游ゴシック" w:cs="游ゴシック" w:eastAsia="游ゴシック" w:hAnsi="游ゴシック"/>
          <w:b/>
          <w:bCs/>
          <w:sz w:val="28"/>
          <w:szCs w:val="28"/>
        </w:rPr>
        <w:t xml:space="preserve">方法</w:t>
      </w:r>
    </w:p>
    <w:p>
      <w:pPr>
        <w:spacing w:after="200" w:line="360"/>
      </w:pPr>
      <w:r>
        <w:rPr>
          <w:rFonts w:ascii="游明朝" w:cs="游明朝" w:eastAsia="游明朝" w:hAnsi="游明朝"/>
          <w:sz w:val="21"/>
          <w:szCs w:val="21"/>
        </w:rPr>
        <w:t xml:space="preserve">対象は高位脊髄損傷を有する車いす陸上競技選手1名である。おにぎり＋スムージー摂取条件（DAY8〜DAY10、通常）およびおにぎり＋糖質減摂取条件（DAY11〜DAY13、スムージーの糖質量を減らしたPFCバランス）とも、8:00におにぎりとスムージーを同時に摂取するプロトコルは共通であり、スムージーの糖質量（PFCバランス）のみが異なる。両条件ともFreeStyleリブレによる持続血糖モニタリングを行い、15分間隔で血糖値を記録した。</w:t>
      </w:r>
    </w:p>
    <w:p>
      <w:pPr>
        <w:spacing w:after="200" w:line="360"/>
      </w:pPr>
      <w:r>
        <w:rPr>
          <w:rFonts w:ascii="游明朝" w:cs="游明朝" w:eastAsia="游明朝" w:hAnsi="游明朝"/>
          <w:sz w:val="21"/>
          <w:szCs w:val="21"/>
        </w:rPr>
        <w:t xml:space="preserve">両条件は摂取様式が共通しているため、8:00〜14:00の全記録区間を解析対象とし、ピーク到達時刻（Tmax）、ピーク血糖値、およびベースラインからの増加量（Δピーク）を算出した。</w:t>
      </w:r>
    </w:p>
    <w:p>
      <w:pPr>
        <w:pStyle w:val="Heading1"/>
        <w:spacing w:after="160" w:before="320"/>
      </w:pPr>
      <w:r>
        <w:rPr>
          <w:rFonts w:ascii="游ゴシック" w:cs="游ゴシック" w:eastAsia="游ゴシック" w:hAnsi="游ゴシック"/>
          <w:b/>
          <w:bCs/>
          <w:sz w:val="28"/>
          <w:szCs w:val="28"/>
        </w:rPr>
        <w:t xml:space="preserve">結果</w:t>
      </w:r>
    </w:p>
    <w:p>
      <w:pPr>
        <w:spacing w:after="200" w:line="360"/>
      </w:pPr>
      <w:r>
        <w:rPr>
          <w:rFonts w:ascii="游明朝" w:cs="游明朝" w:eastAsia="游明朝" w:hAnsi="游明朝"/>
          <w:sz w:val="21"/>
          <w:szCs w:val="21"/>
        </w:rPr>
        <w:t xml:space="preserve">おにぎり＋スムージー摂取条件（通常）ではTmaxは摂取後4時間45分（12:45）であり、ピーク血糖値は242.3 mg/dL、Δピークは78.0 mg/dLであった。おにぎり＋糖質減摂取条件ではTmaxは摂取後5時間30分（13:30）であり、ピーク血糖値は250.3 mg/dL、Δピークは84.3 mg/dLであった（表1）。</w:t>
      </w:r>
    </w:p>
    <w:p>
      <w:pPr>
        <w:spacing w:after="200" w:line="360"/>
      </w:pPr>
      <w:r>
        <w:rPr>
          <w:rFonts w:ascii="游明朝" w:cs="游明朝" w:eastAsia="游明朝" w:hAnsi="游明朝"/>
          <w:sz w:val="21"/>
          <w:szCs w:val="21"/>
        </w:rPr>
        <w:t xml:space="preserve">糖質減条件の方がTmaxは45分遅く、ピーク血糖値・Δピークもやや高い値を示した。</w:t>
      </w:r>
    </w:p>
    <w:p>
      <w:pPr>
        <w:spacing w:after="100" w:before="100"/>
      </w:pPr>
      <w:r>
        <w:rPr>
          <w:rFonts w:ascii="游明朝" w:cs="游明朝" w:eastAsia="游明朝" w:hAnsi="游明朝"/>
          <w:b/>
          <w:bCs/>
          <w:sz w:val="19"/>
          <w:szCs w:val="19"/>
        </w:rPr>
        <w:t xml:space="preserve">表1　おにぎり＋スムージー（通常）・おにぎり＋糖質減条件におけるTmax（8:00〜14:00）</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2000"/>
        <w:gridCol w:w="2000"/>
      </w:tblGrid>
      <w:tr>
        <w:trPr>
          <w:tblHeader/>
        </w:trPr>
        <w:tc>
          <w:tcPr>
            <w:tcW w:type="dxa" w:w="3000"/>
            <w:shd w:fill="21295C" w:color="auto" w:val="clear"/>
            <w:tcMar>
              <w:top w:type="dxa" w:w="100"/>
              <w:left w:type="dxa" w:w="120"/>
              <w:bottom w:type="dxa" w:w="100"/>
              <w:right w:type="dxa" w:w="120"/>
            </w:tcMar>
            <w:vAlign w:val="center"/>
          </w:tcPr>
          <w:p>
            <w:pPr>
              <w:jc w:val="center"/>
            </w:pPr>
            <w:r>
              <w:rPr>
                <w:rFonts w:ascii="游明朝" w:cs="游明朝" w:eastAsia="游明朝" w:hAnsi="游明朝"/>
                <w:b/>
                <w:bCs/>
                <w:sz w:val="20"/>
                <w:szCs w:val="20"/>
              </w:rPr>
              <w:t xml:space="preserve">条件</w:t>
            </w:r>
          </w:p>
        </w:tc>
        <w:tc>
          <w:tcPr>
            <w:tcW w:type="dxa" w:w="2600"/>
            <w:shd w:fill="21295C" w:color="auto" w:val="clear"/>
            <w:tcMar>
              <w:top w:type="dxa" w:w="100"/>
              <w:left w:type="dxa" w:w="120"/>
              <w:bottom w:type="dxa" w:w="100"/>
              <w:right w:type="dxa" w:w="120"/>
            </w:tcMar>
            <w:vAlign w:val="center"/>
          </w:tcPr>
          <w:p>
            <w:pPr>
              <w:jc w:val="center"/>
            </w:pPr>
            <w:r>
              <w:rPr>
                <w:rFonts w:ascii="游明朝" w:cs="游明朝" w:eastAsia="游明朝" w:hAnsi="游明朝"/>
                <w:b/>
                <w:bCs/>
                <w:sz w:val="20"/>
                <w:szCs w:val="20"/>
              </w:rPr>
              <w:t xml:space="preserve">Tmax</w:t>
            </w:r>
          </w:p>
        </w:tc>
        <w:tc>
          <w:tcPr>
            <w:tcW w:type="dxa" w:w="2000"/>
            <w:shd w:fill="21295C" w:color="auto" w:val="clear"/>
            <w:tcMar>
              <w:top w:type="dxa" w:w="100"/>
              <w:left w:type="dxa" w:w="120"/>
              <w:bottom w:type="dxa" w:w="100"/>
              <w:right w:type="dxa" w:w="120"/>
            </w:tcMar>
            <w:vAlign w:val="center"/>
          </w:tcPr>
          <w:p>
            <w:pPr>
              <w:jc w:val="center"/>
            </w:pPr>
            <w:r>
              <w:rPr>
                <w:rFonts w:ascii="游明朝" w:cs="游明朝" w:eastAsia="游明朝" w:hAnsi="游明朝"/>
                <w:b/>
                <w:bCs/>
                <w:sz w:val="20"/>
                <w:szCs w:val="20"/>
              </w:rPr>
              <w:t xml:space="preserve">ピーク血糖値</w:t>
            </w:r>
          </w:p>
        </w:tc>
        <w:tc>
          <w:tcPr>
            <w:tcW w:type="dxa" w:w="2000"/>
            <w:shd w:fill="21295C" w:color="auto" w:val="clear"/>
            <w:tcMar>
              <w:top w:type="dxa" w:w="100"/>
              <w:left w:type="dxa" w:w="120"/>
              <w:bottom w:type="dxa" w:w="100"/>
              <w:right w:type="dxa" w:w="120"/>
            </w:tcMar>
            <w:vAlign w:val="center"/>
          </w:tcPr>
          <w:p>
            <w:pPr>
              <w:jc w:val="center"/>
            </w:pPr>
            <w:r>
              <w:rPr>
                <w:rFonts w:ascii="游明朝" w:cs="游明朝" w:eastAsia="游明朝" w:hAnsi="游明朝"/>
                <w:b/>
                <w:bCs/>
                <w:sz w:val="20"/>
                <w:szCs w:val="20"/>
              </w:rPr>
              <w:t xml:space="preserve">Δピーク</w:t>
            </w:r>
          </w:p>
        </w:tc>
      </w:tr>
      <w:tr>
        <w:tc>
          <w:tcPr>
            <w:tcW w:type="dxa" w:w="3000"/>
            <w:shd w:fill="F4F7F9" w:color="auto" w:val="clear"/>
            <w:tcMar>
              <w:top w:type="dxa" w:w="100"/>
              <w:left w:type="dxa" w:w="120"/>
              <w:bottom w:type="dxa" w:w="100"/>
              <w:right w:type="dxa" w:w="120"/>
            </w:tcMar>
            <w:vAlign w:val="center"/>
          </w:tcPr>
          <w:p>
            <w:pPr>
              <w:jc w:val="center"/>
            </w:pPr>
            <w:r>
              <w:rPr>
                <w:rFonts w:ascii="游明朝" w:cs="游明朝" w:eastAsia="游明朝" w:hAnsi="游明朝"/>
                <w:b w:val="false"/>
                <w:bCs w:val="false"/>
                <w:sz w:val="20"/>
                <w:szCs w:val="20"/>
              </w:rPr>
              <w:t xml:space="preserve">おにぎり＋スムージー（通常）</w:t>
            </w:r>
          </w:p>
        </w:tc>
        <w:tc>
          <w:tcPr>
            <w:tcW w:type="dxa" w:w="2600"/>
            <w:shd w:fill="F4F7F9" w:color="auto" w:val="clear"/>
            <w:tcMar>
              <w:top w:type="dxa" w:w="100"/>
              <w:left w:type="dxa" w:w="120"/>
              <w:bottom w:type="dxa" w:w="100"/>
              <w:right w:type="dxa" w:w="120"/>
            </w:tcMar>
            <w:vAlign w:val="center"/>
          </w:tcPr>
          <w:p>
            <w:pPr>
              <w:jc w:val="center"/>
            </w:pPr>
            <w:r>
              <w:rPr>
                <w:rFonts w:ascii="游明朝" w:cs="游明朝" w:eastAsia="游明朝" w:hAnsi="游明朝"/>
                <w:b w:val="false"/>
                <w:bCs w:val="false"/>
                <w:sz w:val="20"/>
                <w:szCs w:val="20"/>
              </w:rPr>
              <w:t xml:space="preserve">摂取後4時間45分（12:45）</w:t>
            </w:r>
          </w:p>
        </w:tc>
        <w:tc>
          <w:tcPr>
            <w:tcW w:type="dxa" w:w="2000"/>
            <w:shd w:fill="F4F7F9" w:color="auto" w:val="clear"/>
            <w:tcMar>
              <w:top w:type="dxa" w:w="100"/>
              <w:left w:type="dxa" w:w="120"/>
              <w:bottom w:type="dxa" w:w="100"/>
              <w:right w:type="dxa" w:w="120"/>
            </w:tcMar>
            <w:vAlign w:val="center"/>
          </w:tcPr>
          <w:p>
            <w:pPr>
              <w:jc w:val="center"/>
            </w:pPr>
            <w:r>
              <w:rPr>
                <w:rFonts w:ascii="游明朝" w:cs="游明朝" w:eastAsia="游明朝" w:hAnsi="游明朝"/>
                <w:b w:val="false"/>
                <w:bCs w:val="false"/>
                <w:sz w:val="20"/>
                <w:szCs w:val="20"/>
              </w:rPr>
              <w:t xml:space="preserve">242.3 mg/dL</w:t>
            </w:r>
          </w:p>
        </w:tc>
        <w:tc>
          <w:tcPr>
            <w:tcW w:type="dxa" w:w="2000"/>
            <w:shd w:fill="F4F7F9" w:color="auto" w:val="clear"/>
            <w:tcMar>
              <w:top w:type="dxa" w:w="100"/>
              <w:left w:type="dxa" w:w="120"/>
              <w:bottom w:type="dxa" w:w="100"/>
              <w:right w:type="dxa" w:w="120"/>
            </w:tcMar>
            <w:vAlign w:val="center"/>
          </w:tcPr>
          <w:p>
            <w:pPr>
              <w:jc w:val="center"/>
            </w:pPr>
            <w:r>
              <w:rPr>
                <w:rFonts w:ascii="游明朝" w:cs="游明朝" w:eastAsia="游明朝" w:hAnsi="游明朝"/>
                <w:b w:val="false"/>
                <w:bCs w:val="false"/>
                <w:sz w:val="20"/>
                <w:szCs w:val="20"/>
              </w:rPr>
              <w:t xml:space="preserve">78.0 mg/dL</w:t>
            </w:r>
          </w:p>
        </w:tc>
      </w:tr>
      <w:tr>
        <w:tc>
          <w:tcPr>
            <w:tcW w:type="dxa" w:w="3000"/>
            <w:tcMar>
              <w:top w:type="dxa" w:w="100"/>
              <w:left w:type="dxa" w:w="120"/>
              <w:bottom w:type="dxa" w:w="100"/>
              <w:right w:type="dxa" w:w="120"/>
            </w:tcMar>
            <w:vAlign w:val="center"/>
          </w:tcPr>
          <w:p>
            <w:pPr>
              <w:jc w:val="center"/>
            </w:pPr>
            <w:r>
              <w:rPr>
                <w:rFonts w:ascii="游明朝" w:cs="游明朝" w:eastAsia="游明朝" w:hAnsi="游明朝"/>
                <w:b w:val="false"/>
                <w:bCs w:val="false"/>
                <w:sz w:val="20"/>
                <w:szCs w:val="20"/>
              </w:rPr>
              <w:t xml:space="preserve">おにぎり＋糖質減</w:t>
            </w:r>
          </w:p>
        </w:tc>
        <w:tc>
          <w:tcPr>
            <w:tcW w:type="dxa" w:w="2600"/>
            <w:tcMar>
              <w:top w:type="dxa" w:w="100"/>
              <w:left w:type="dxa" w:w="120"/>
              <w:bottom w:type="dxa" w:w="100"/>
              <w:right w:type="dxa" w:w="120"/>
            </w:tcMar>
            <w:vAlign w:val="center"/>
          </w:tcPr>
          <w:p>
            <w:pPr>
              <w:jc w:val="center"/>
            </w:pPr>
            <w:r>
              <w:rPr>
                <w:rFonts w:ascii="游明朝" w:cs="游明朝" w:eastAsia="游明朝" w:hAnsi="游明朝"/>
                <w:b w:val="false"/>
                <w:bCs w:val="false"/>
                <w:sz w:val="20"/>
                <w:szCs w:val="20"/>
              </w:rPr>
              <w:t xml:space="preserve">摂取後5時間30分（13:30）</w:t>
            </w:r>
          </w:p>
        </w:tc>
        <w:tc>
          <w:tcPr>
            <w:tcW w:type="dxa" w:w="2000"/>
            <w:tcMar>
              <w:top w:type="dxa" w:w="100"/>
              <w:left w:type="dxa" w:w="120"/>
              <w:bottom w:type="dxa" w:w="100"/>
              <w:right w:type="dxa" w:w="120"/>
            </w:tcMar>
            <w:vAlign w:val="center"/>
          </w:tcPr>
          <w:p>
            <w:pPr>
              <w:jc w:val="center"/>
            </w:pPr>
            <w:r>
              <w:rPr>
                <w:rFonts w:ascii="游明朝" w:cs="游明朝" w:eastAsia="游明朝" w:hAnsi="游明朝"/>
                <w:b w:val="false"/>
                <w:bCs w:val="false"/>
                <w:sz w:val="20"/>
                <w:szCs w:val="20"/>
              </w:rPr>
              <w:t xml:space="preserve">250.3 mg/dL</w:t>
            </w:r>
          </w:p>
        </w:tc>
        <w:tc>
          <w:tcPr>
            <w:tcW w:type="dxa" w:w="2000"/>
            <w:tcMar>
              <w:top w:type="dxa" w:w="100"/>
              <w:left w:type="dxa" w:w="120"/>
              <w:bottom w:type="dxa" w:w="100"/>
              <w:right w:type="dxa" w:w="120"/>
            </w:tcMar>
            <w:vAlign w:val="center"/>
          </w:tcPr>
          <w:p>
            <w:pPr>
              <w:jc w:val="center"/>
            </w:pPr>
            <w:r>
              <w:rPr>
                <w:rFonts w:ascii="游明朝" w:cs="游明朝" w:eastAsia="游明朝" w:hAnsi="游明朝"/>
                <w:b w:val="false"/>
                <w:bCs w:val="false"/>
                <w:sz w:val="20"/>
                <w:szCs w:val="20"/>
              </w:rPr>
              <w:t xml:space="preserve">84.3 mg/dL</w:t>
            </w:r>
          </w:p>
        </w:tc>
      </w:tr>
    </w:tbl>
    <w:p>
      <w:pPr>
        <w:pStyle w:val="Heading1"/>
        <w:spacing w:after="160" w:before="320"/>
      </w:pPr>
      <w:r>
        <w:rPr>
          <w:rFonts w:ascii="游ゴシック" w:cs="游ゴシック" w:eastAsia="游ゴシック" w:hAnsi="游ゴシック"/>
          <w:b/>
          <w:bCs/>
          <w:sz w:val="28"/>
          <w:szCs w:val="28"/>
        </w:rPr>
        <w:t xml:space="preserve">考察</w:t>
      </w:r>
    </w:p>
    <w:p>
      <w:pPr>
        <w:spacing w:after="200" w:line="360"/>
      </w:pPr>
      <w:r>
        <w:rPr>
          <w:rFonts w:ascii="游明朝" w:cs="游明朝" w:eastAsia="游明朝" w:hAnsi="游明朝"/>
          <w:sz w:val="21"/>
          <w:szCs w:val="21"/>
        </w:rPr>
        <w:t xml:space="preserve">糖質量を減らすことで血糖応答が緩やかになる、またはピークが低くなることが予想されたが、本結果はその予想とは逆の傾向を示した。考えられる要因として、第一に、スムージーの糖質を減らした分、相対的に脂質・たんぱく質の比率が増加し、脂質による胃排出遅延効果により、糖質の吸収自体が後ろ倒しになり、かつ緩徐に持続的な上昇を示した可能性が考えられる。第二に、おにぎり＋糖質減条件（DAY11〜DAY13）は、血糖ベースラインシフト（DAY5以降）の発生からより長い期間が経過した時期に実施されており、シフトの影響がこの時期にさらに蓄積・悪化していた可能性も否定できない。第三に、n=3日という少数の試行における日差（体調・練習強度等）が、たまたま糖質減条件側に偏った可能性も考えられる。</w:t>
      </w:r>
    </w:p>
    <w:p>
      <w:pPr>
        <w:spacing w:after="200" w:line="360"/>
      </w:pPr>
      <w:r>
        <w:rPr>
          <w:rFonts w:ascii="游明朝" w:cs="游明朝" w:eastAsia="游明朝" w:hAnsi="游明朝"/>
          <w:sz w:val="21"/>
          <w:szCs w:val="21"/>
        </w:rPr>
        <w:t xml:space="preserve">✓ 本比較は、おにぎり＋スムージー条件・おにぎり＋糖質減条件のいずれもDAY8〜DAY13、すなわち血糖ベースラインシフト後の期間に実施されており、両条件のベースライン血糖値（164.3 vs 166.0 mg/dL）もほぼ同等であった。そのため、固形vsスムージー・スムージーvsおにぎり＋スムージーの比較と異なり、本比較はシフトによる系統的な交絡を受けにくく、観察された差は条件間の実質的な違い、またはランダムな日差を反映している可能性が高いと考えられる。</w:t>
      </w:r>
    </w:p>
    <w:p>
      <w:pPr>
        <w:spacing w:after="200" w:line="360"/>
      </w:pPr>
      <w:r>
        <w:rPr>
          <w:rFonts w:ascii="游明朝" w:cs="游明朝" w:eastAsia="游明朝" w:hAnsi="游明朝"/>
          <w:sz w:val="21"/>
          <w:szCs w:val="21"/>
        </w:rPr>
        <w:t xml:space="preserve">ただし、本結果はn=3日の記述的傾向にとどまり、統計的に有意な差であるとは言えない点、Tmaxが3日間平均曲線上の値であり個々の試行日のばらつきを反映できていない点は、他の比較と同様の限界として付記する必要がある。</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2026-10-02T00:39:49.771Z</dcterms:created>
  <dcterms:modified xsi:type="dcterms:W3CDTF">2026-10-02T00:39:49.771Z</dcterms:modified>
</cp:coreProperties>
</file>

<file path=docProps/custom.xml><?xml version="1.0" encoding="utf-8"?>
<Properties xmlns="http://schemas.openxmlformats.org/officeDocument/2006/custom-properties" xmlns:vt="http://schemas.openxmlformats.org/officeDocument/2006/docPropsVTypes"/>
</file>