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37.png" ContentType="image/png"/>
  <Override PartName="/word/media/rId57.png" ContentType="image/png"/>
  <Override PartName="/word/media/rId58.png" ContentType="image/png"/>
  <Override PartName="/word/media/rId38.png" ContentType="image/png"/>
  <Override PartName="/word/media/rId39.png" ContentType="image/png"/>
  <Override PartName="/word/media/rId59.png" ContentType="image/png"/>
  <Override PartName="/word/media/rId60.png" ContentType="image/png"/>
  <Override PartName="/word/media/rId25.png" ContentType="image/png"/>
  <Override PartName="/word/media/rId4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Titel"/>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
        </w:rPr>
        <w:t xml:space="preserve">Keywords:</w:t>
      </w:r>
      <w:r>
        <w:t xml:space="preserve"> </w:t>
      </w:r>
      <w:r>
        <w:t xml:space="preserve">teaching, expertise, skill transmission, artistic expression, music</w:t>
      </w:r>
    </w:p>
    <w:p>
      <w:pPr>
        <w:pStyle w:val="Textkrper"/>
      </w:pPr>
      <w:r>
        <w:rPr>
          <w:i/>
        </w:rPr>
        <w:t xml:space="preserve">Word count:</w:t>
      </w:r>
      <w:r>
        <w:t xml:space="preserve"> </w:t>
      </w:r>
      <w:r>
        <w:t xml:space="preserve">5022</w:t>
      </w:r>
    </w:p>
    <w:p>
      <w:pPr>
        <w:pStyle w:val="Titel"/>
      </w:pPr>
      <w:r>
        <w:t xml:space="preserve">The Sound of Teaching Music: Expert Pianists’ Performance Modulations for Novices</w:t>
      </w:r>
    </w:p>
    <w:bookmarkStart w:id="21" w:name="introduction"/>
    <w:p>
      <w:pPr>
        <w:pStyle w:val="berschrift1"/>
      </w:pPr>
      <w:r>
        <w:t xml:space="preserve">1. Introduction</w:t>
      </w:r>
    </w:p>
    <w:p>
      <w:pPr>
        <w:pStyle w:val="FirstParagraph"/>
      </w:pPr>
      <w:r>
        <w:t xml:space="preserve">Deliberate teaching has supported human skill transmission over generations and provides a key route for learning</w:t>
      </w:r>
      <w:r>
        <w:t xml:space="preserve"> </w:t>
      </w:r>
      <w:r>
        <w:t xml:space="preserve">(Thornton &amp; Raihani, 2008; Tomasello, 2016)</w:t>
      </w:r>
      <w:r>
        <w:t xml:space="preserve">. Experts modulate their behaviour so that novices can extract relevant information to learn a novel skill. In particular, adults modulate their speech (motherese) and actions (motionese) when demonstrating a skill to infant learners</w:t>
      </w:r>
      <w:r>
        <w:t xml:space="preserve"> </w:t>
      </w:r>
      <w:r>
        <w:t xml:space="preserve">(Brand, Baldwin, &amp; Ashburn, 2002; Fernald, 1985)</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t xml:space="preserve"> </w:t>
      </w:r>
      <w:r>
        <w:t xml:space="preserve">(Uther, Knoll, &amp; Burnham, 2007)</w:t>
      </w:r>
      <w:r>
        <w:t xml:space="preserve"> </w:t>
      </w:r>
      <w:r>
        <w:t xml:space="preserve">and when skilled adults were teaching xylophone melodies to novices</w:t>
      </w:r>
      <w:r>
        <w:t xml:space="preserve"> </w:t>
      </w:r>
      <w:r>
        <w:t xml:space="preserve">(McEllin, Knoblich, &amp; Sebanz, 2017)</w:t>
      </w:r>
      <w:r>
        <w:t xml:space="preserve">. The observed modulations are thought to provide communicative signals that can facilitate learning by affecting attention and memory</w:t>
      </w:r>
      <w:r>
        <w:t xml:space="preserve"> </w:t>
      </w:r>
      <w:r>
        <w:t xml:space="preserve">(Csibra &amp; Gergely, 2009)</w:t>
      </w:r>
      <w:r>
        <w:t xml:space="preserve">.</w:t>
      </w:r>
    </w:p>
    <w:p>
      <w:pPr>
        <w:pStyle w:val="Textkrper"/>
      </w:pPr>
      <w:r>
        <w:t xml:space="preserve">Previous research has shown that demonstrators not only adjust their gestures</w:t>
      </w:r>
      <w:r>
        <w:t xml:space="preserve"> </w:t>
      </w:r>
      <w:r>
        <w:t xml:space="preserve">(Campisi &amp; Özyürek, 2013)</w:t>
      </w:r>
      <w:r>
        <w:t xml:space="preserve"> </w:t>
      </w:r>
      <w:r>
        <w:t xml:space="preserve">and actions</w:t>
      </w:r>
      <w:r>
        <w:t xml:space="preserve"> </w:t>
      </w:r>
      <w:r>
        <w:t xml:space="preserve">(Fukuyama et al., 2015)</w:t>
      </w:r>
      <w:r>
        <w:t xml:space="preserve"> </w:t>
      </w:r>
      <w:r>
        <w:t xml:space="preserve">to learners’ skills but engage in specific action modulations to highlight particular aspects of demonstrated actions. For example,</w:t>
      </w:r>
      <w:r>
        <w:t xml:space="preserve"> </w:t>
      </w:r>
      <w:r>
        <w:t xml:space="preserve">Schaik, Meyer, Ham, and Hunnius (2019)</w:t>
      </w:r>
      <w:r>
        <w:t xml:space="preserve"> </w:t>
      </w:r>
      <w:r>
        <w:t xml:space="preserve">showed that adults used specific action modulations for demonstrating different action effects of objects to infants.</w:t>
      </w:r>
      <w:r>
        <w:t xml:space="preserve"> </w:t>
      </w:r>
      <w:r>
        <w:t xml:space="preserve">Ho, Littman, MacGlashan, Cushman, and Austerweil (2016)</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
        </w:rPr>
        <w:t xml:space="preserve">what</w:t>
      </w:r>
      <w:r>
        <w:t xml:space="preserve"> </w:t>
      </w:r>
      <w:r>
        <w:t xml:space="preserve">to do, but</w:t>
      </w:r>
      <w:r>
        <w:t xml:space="preserve"> </w:t>
      </w:r>
      <w:r>
        <w:rPr>
          <w:i/>
        </w:rPr>
        <w:t xml:space="preserve">how</w:t>
      </w:r>
      <w:r>
        <w:t xml:space="preserve"> </w:t>
      </w:r>
      <w:r>
        <w:t xml:space="preserve">to perform actions. In artistic contexts, novices need to learn how exactly to perform actions by relying on particular techniques</w:t>
      </w:r>
      <w:r>
        <w:t xml:space="preserve"> </w:t>
      </w:r>
      <w:r>
        <w:t xml:space="preserve">(Sloboda, 2000)</w:t>
      </w:r>
      <w:r>
        <w:t xml:space="preserve">. For example, when playing a piece of music on the piano, it is not sufficient to press the keys in the correct order, but learners need to be able to implement expressive techniques</w:t>
      </w:r>
      <w:r>
        <w:t xml:space="preserve"> </w:t>
      </w:r>
      <w:r>
        <w:t xml:space="preserve">(Juslin, 2003)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articulation, loudness) can be modulated at the same time. Specific and subtle aspects of the performance need to be highlighted to teach a respective technique. We asked whether skilled pianists use sound to communicate didactic intentions. Pianists were asked to perform a piece in order to demonstrate to a learner how to implement the notated expressions (teaching condition) and to play the same piece for an audience (performing condition). Two basic expressive techniques in piano performance were used: articulation (legato and staccato) and dynamics (forte and piano).</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produce longer legato and shorter staccato when teaching articulation whereas they should produce louder forte and softer piano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the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were teaching. Experiment 2 was conducted to replicate our findings from Experiment 1 with a more naturalistic piece of music.</w:t>
      </w:r>
    </w:p>
    <w:bookmarkEnd w:id="21"/>
    <w:bookmarkStart w:id="41" w:name="experiment-1"/>
    <w:p>
      <w:pPr>
        <w:pStyle w:val="berschrift1"/>
      </w:pPr>
      <w:r>
        <w:t xml:space="preserve">2. Experiment 1</w:t>
      </w:r>
    </w:p>
    <w:bookmarkStart w:id="27" w:name="method"/>
    <w:p>
      <w:pPr>
        <w:pStyle w:val="berschrift2"/>
      </w:pPr>
      <w:r>
        <w:t xml:space="preserve">2.1. Method</w:t>
      </w:r>
    </w:p>
    <w:bookmarkStart w:id="22" w:name="participants"/>
    <w:p>
      <w:pPr>
        <w:pStyle w:val="berschrift3"/>
      </w:pPr>
      <w:r>
        <w:t xml:space="preserve">2.1.1. Participants.</w:t>
      </w:r>
    </w:p>
    <w:p>
      <w:pPr>
        <w:pStyle w:val="FirstParagraph"/>
      </w:pPr>
      <w:r>
        <w:t xml:space="preserve">We recruited 36 piano experts who played the piano for at least the past 10 years or were studying piano performance at a music school at the time of recruitment. For data analysis, we excluded 5 participants due to experimental errors (3), an overall deviated tempo (2; outside 2 standard deviations from the average tempo across participants). Thirty-one participants (15 female) were included in data analysis. Most participants were right-handed (left; 2, both; 2). They had 12.45 years of practice on average (</w:t>
      </w:r>
      <w:r>
        <w:rPr>
          <w:i/>
        </w:rPr>
        <w:t xml:space="preserve">SD</w:t>
      </w:r>
      <w:r>
        <w:t xml:space="preserve"> </w:t>
      </w:r>
      <w:r>
        <w:t xml:space="preserve">= 5.66). All participants gave their informed consent before the experiment started and received vouchers for their participation. The study was approved by the United Ethical Review Committee for Research in Psychology (EPKEB) in Hungary.</w:t>
      </w:r>
    </w:p>
    <w:bookmarkEnd w:id="22"/>
    <w:bookmarkStart w:id="23" w:name="apparatus-and-stimuli"/>
    <w:p>
      <w:pPr>
        <w:pStyle w:val="berschrift3"/>
      </w:pPr>
      <w:r>
        <w:t xml:space="preserve">2.1.2. Apparatus and stimuli.</w:t>
      </w:r>
    </w:p>
    <w:p>
      <w:pPr>
        <w:pStyle w:val="FirstParagraph"/>
      </w:pPr>
      <w:r>
        <w:t xml:space="preserve">A weighted Yamaha MIDI digital piano was used to record participants’ performance via Max/MSP on a MacBook Pro with MacOS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 see</w:t>
      </w:r>
      <w:r>
        <w:t xml:space="preserve"> </w:t>
      </w:r>
      <w:r>
        <w:rPr>
          <w:i/>
        </w:rPr>
        <w:t xml:space="preserve">Figure</w:t>
      </w:r>
      <w:r>
        <w:rPr>
          <w:i/>
        </w:rPr>
        <w:t xml:space="preserve"> </w:t>
      </w:r>
      <w:r>
        <w:rPr>
          <w:i/>
        </w:rPr>
        <w:t xml:space="preserve">, A</w:t>
      </w:r>
      <w:r>
        <w:t xml:space="preserve">) was used for the purpose of practice. Expressive notations were added to the non-expressive sheet music for the experiment. They referred to either articulation or dynamics (</w:t>
      </w:r>
      <w:r>
        <w:rPr>
          <w:i/>
        </w:rPr>
        <w:t xml:space="preserve">Figure</w:t>
      </w:r>
      <w:r>
        <w:rPr>
          <w:i/>
        </w:rPr>
        <w:t xml:space="preserve"> </w:t>
      </w:r>
      <w:r>
        <w:rPr>
          <w:i/>
        </w:rPr>
        <w:t xml:space="preserve">, 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and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required.</w:t>
      </w:r>
    </w:p>
    <w:bookmarkEnd w:id="23"/>
    <w:bookmarkStart w:id="24" w:name="procedure"/>
    <w:p>
      <w:pPr>
        <w:pStyle w:val="berschrift3"/>
      </w:pPr>
      <w:r>
        <w:t xml:space="preserve">2.1.3. Procedure.</w:t>
      </w:r>
    </w:p>
    <w:p>
      <w:pPr>
        <w:pStyle w:val="FirstParagraph"/>
      </w:pPr>
      <w:r>
        <w:t xml:space="preserve">In order to ensure that participants had sufficient motor skills to perform the piece, we asked them to practise the piece with the non-expressive sheet music (</w:t>
      </w:r>
      <w:r>
        <w:rPr>
          <w:i/>
        </w:rPr>
        <w:t xml:space="preserve">Figure</w:t>
      </w:r>
      <w:r>
        <w:rPr>
          <w:i/>
        </w:rPr>
        <w:t xml:space="preserve"> </w:t>
      </w:r>
      <w:r>
        <w:rPr>
          <w:i/>
        </w:rPr>
        <w:t xml:space="preserve">, A</w:t>
      </w:r>
      <w:r>
        <w:t xml:space="preserve">). Once they could perform the piece without pitch errors twice consecutively within 5 attempts, the experiment started. Those who could not meet this requirement were excluded from data analysis (as a result, none of the participants were excluded).</w:t>
      </w:r>
    </w:p>
    <w:p>
      <w:pPr>
        <w:pStyle w:val="Textkrper"/>
      </w:pPr>
      <w:r>
        <w:t xml:space="preserve">First, participants were allocated to either the teaching or performing condition and asked to practise the excerpt with notated expressions of either articulation or dynamics (</w:t>
      </w:r>
      <w:r>
        <w:rPr>
          <w:i/>
        </w:rPr>
        <w:t xml:space="preserve">Figure</w:t>
      </w:r>
      <w:r>
        <w:rPr>
          <w:i/>
        </w:rPr>
        <w:t xml:space="preserve"> </w:t>
      </w:r>
      <w:r>
        <w:rPr>
          <w:i/>
        </w:rPr>
        <w:t xml:space="preserve">, B-C</w:t>
      </w:r>
      <w:r>
        <w:t xml:space="preserve">). As soon as they had produced the excerpt with a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a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
          </w:rPr>
          <w:t xml:space="preserve">Supplemental Materials</w:t>
        </w:r>
      </w:hyperlink>
      <w:r>
        <w:t xml:space="preserve">). Participants played the piece 8 times per expressive technique per condition, so there were 32 trials in total (2 conditions x 2 expressive techniques x 8 trials). The order of the conditions was counterbalanced across participants. The order of the expressive techniques within each condition was also counterbalanced across participants. A leading metronome (80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4"/>
    <w:bookmarkStart w:id="26" w:name="design-and-data-analysis"/>
    <w:p>
      <w:pPr>
        <w:pStyle w:val="berschrift3"/>
      </w:pPr>
      <w:r>
        <w:t xml:space="preserve">2.1.4. Design and data analysis.</w:t>
      </w:r>
    </w:p>
    <w:p>
      <w:pPr>
        <w:pStyle w:val="FirstParagraph"/>
      </w:pPr>
      <w:r>
        <w:t xml:space="preserve">The experiment had two factors; Condition (teaching vs. performing) and Expressive Technique (articulation vs. dynamics). Additionally, the factor Subcomponent was used when analysing data for each subcomponent for each technique separately (i.e., LS; legato vs. staccato, FP; forte vs. piano).</w:t>
      </w:r>
    </w:p>
    <w:p>
      <w:pPr>
        <w:pStyle w:val="Textkrper"/>
      </w:pPr>
      <w:r>
        <w:t xml:space="preserve">Three dependent variables were computed for data analysis. Interonset intervals (IOIs) are the intervals between onsets of adjacent notes and provide a tempo of tempo. Key-overlap time (KOT) is the difference between the offset time of the current tone (i.e., key release time) and the onset time of the ensuing tone, and measures the smoothness of musical sequences</w:t>
      </w:r>
      <w:r>
        <w:t xml:space="preserve"> </w:t>
      </w:r>
      <w:r>
        <w:t xml:space="preserve">(Bresin &amp; Battel, 2000)</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The value of KV in MIDI varies between 0 (minimum) and 127 (maximum).</w:t>
      </w:r>
    </w:p>
    <w:p>
      <w:pPr>
        <w:pStyle w:val="Textkrper"/>
      </w:pPr>
      <w:r>
        <w:t xml:space="preserve">Data cleaning, preprocessing and statistical analysis were performed in R version 3.6.3. For statistical analysis, only 16th notes with expressive notations were included. Three trials were entirely excluded from data analysis because participants did not follow sheet music or complete performing till the end. Pitch errors were identified by comparing a sequence of musical notes produced by a participant with the sequence of musical notes according to the sheet music. Pitch errors included either extra, missing or substituted tones and were manually removed by using editData package. For onsets, 5.16% of the trials contained at least one pitch error (extra notes; 2.78%, missing notes; 2.24%, substituted notes; 0.13%). For offsets, 6.24% of the trials contained at least one pitch error (extra notes; 2.78%, missing notes; 2.29%, substituted notes; 1.17%). After we removed pitch errors, outliers for IOIs, KOT and KV were defined as values more than 3 standard deviations from the mean of each dependent variable and excluded from data analysis. Removed outliers were less than 5% of overall responses for each dependent variable.</w:t>
      </w:r>
    </w:p>
    <w:p>
      <w:pPr>
        <w:pStyle w:val="Textkrper"/>
      </w:pPr>
      <w:r>
        <w:t xml:space="preserve">We performed separate analyses for the two expressive techniques (i.e., articulation, dynamics). A paired-sample</w:t>
      </w:r>
      <w:r>
        <w:t xml:space="preserve"> </w:t>
      </w:r>
      <w:r>
        <w:rPr>
          <w:i/>
        </w:rPr>
        <w:t xml:space="preserve">t</w:t>
      </w:r>
      <w:r>
        <w:t xml:space="preserve">-test or a Wilcoxon signed-rank tests (a non-parametric alternative to a paired</w:t>
      </w:r>
      <w:r>
        <w:t xml:space="preserve"> </w:t>
      </w:r>
      <w:r>
        <w:rPr>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(LS; legato vs. staccato or FP; forte vs. piano, respectively). The ``aov_car" function in the afex package was used for a repeated-measures ANOVA. For post-hoc comparisons on the estimated marginal means, we used emmeans package.</w:t>
      </w:r>
    </w:p>
    <w:p>
      <w:pPr>
        <w:pStyle w:val="CaptionedFigure"/>
      </w:pPr>
      <w:r>
        <w:drawing>
          <wp:inline>
            <wp:extent cx="5969000" cy="4780004"/>
            <wp:effectExtent b="0" l="0" r="0" t="0"/>
            <wp:docPr descr="Figure 1:.  (A)Non-expressive sheet music. (B)Articulation. The curved line (slur) indicates legato and the dots indicate staccato. (C)Dynamics. The symbol f' denotes forte and the symbolp’ denotes piano. For data analysis, only the 16th notes were included." title="" id="1" name="Picture"/>
            <a:graphic>
              <a:graphicData uri="http://schemas.openxmlformats.org/drawingml/2006/picture">
                <pic:pic>
                  <pic:nvPicPr>
                    <pic:cNvPr descr="manuscript_files/figure-docx/stim-1-1.png" id="0" name="Picture"/>
                    <pic:cNvPicPr>
                      <a:picLocks noChangeArrowheads="1" noChangeAspect="1"/>
                    </pic:cNvPicPr>
                  </pic:nvPicPr>
                  <pic:blipFill>
                    <a:blip r:embed="rId25"/>
                    <a:stretch>
                      <a:fillRect/>
                    </a:stretch>
                  </pic:blipFill>
                  <pic:spPr bwMode="auto">
                    <a:xfrm>
                      <a:off x="0" y="0"/>
                      <a:ext cx="5969000" cy="478000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6"/>
    <w:bookmarkEnd w:id="27"/>
    <w:bookmarkStart w:id="31" w:name="results-articulation"/>
    <w:p>
      <w:pPr>
        <w:pStyle w:val="berschrift2"/>
      </w:pPr>
      <w:r>
        <w:t xml:space="preserve">2.2. Results (Articulation)</w:t>
      </w:r>
    </w:p>
    <w:p>
      <w:pPr>
        <w:pStyle w:val="FirstParagraph"/>
      </w:pPr>
      <w:r>
        <w:t xml:space="preserve">All effects are reported as significant at</w:t>
      </w:r>
      <w:r>
        <w:t xml:space="preserve"> </w:t>
      </w:r>
      <w:r>
        <w:rPr>
          <w:i/>
        </w:rPr>
        <w:t xml:space="preserve">p</w:t>
      </w:r>
      <w:r>
        <w:t xml:space="preserve"> </w:t>
      </w:r>
      <w:r>
        <w:t xml:space="preserve">&lt; .05. We first report results for performance the piece with the notated expression of articulation (</w:t>
      </w:r>
      <w:r>
        <w:rPr>
          <w:i/>
        </w:rPr>
        <w:t xml:space="preserve">Figure</w:t>
      </w:r>
      <w:r>
        <w:rPr>
          <w:i/>
        </w:rPr>
        <w:t xml:space="preserve"> </w:t>
      </w:r>
      <w:r>
        <w:rPr>
          <w:i/>
        </w:rPr>
        <w:t xml:space="preserve">, B</w:t>
      </w:r>
      <w:r>
        <w:t xml:space="preserve">), followed by performance of the piece with the notated expression of dynamics (</w:t>
      </w:r>
      <w:r>
        <w:rPr>
          <w:i/>
        </w:rPr>
        <w:t xml:space="preserve">Figure</w:t>
      </w:r>
      <w:r>
        <w:rPr>
          <w:i/>
        </w:rPr>
        <w:t xml:space="preserve"> </w:t>
      </w:r>
      <w:r>
        <w:rPr>
          <w:i/>
        </w:rPr>
        <w:t xml:space="preserve">, C</w:t>
      </w:r>
      <w:r>
        <w:t xml:space="preserve">).</w:t>
      </w:r>
    </w:p>
    <w:bookmarkStart w:id="28" w:name="interonset-intervals-iois"/>
    <w:p>
      <w:pPr>
        <w:pStyle w:val="berschrift3"/>
      </w:pPr>
      <w:r>
        <w:t xml:space="preserve">2.2.1. Interonset Intervals (IOIs).</w:t>
      </w:r>
    </w:p>
    <w:p>
      <w:pPr>
        <w:pStyle w:val="FirstParagraph"/>
      </w:pPr>
      <w:r>
        <w:t xml:space="preserve">In order to compare the mean IOIs between the teaching and performing condition, we conducted a Wiscoxon Signed-rank test, instead of a paired</w:t>
      </w:r>
      <w:r>
        <w:t xml:space="preserve"> </w:t>
      </w:r>
      <w:r>
        <w:rPr>
          <w:i/>
        </w:rPr>
        <w:t xml:space="preserve">t</w:t>
      </w:r>
      <w:r>
        <w:t xml:space="preserve">-test, because a Shapiro-Wilk test showed that the distribution of the mean difference was significantly different from the normal distribution (</w:t>
      </w:r>
      <w:r>
        <w:rPr>
          <w:i/>
        </w:rPr>
        <w:t xml:space="preserve">p</w:t>
      </w:r>
      <w:r>
        <w:t xml:space="preserve"> </w:t>
      </w:r>
      <w:r>
        <w:t xml:space="preserve">&lt; 0.001). The Wiscoxon Signed-rank test revealed that participants played more slowly in the teaching condition [</w:t>
      </w:r>
      <w:r>
        <w:rPr>
          <w:i/>
        </w:rPr>
        <w:t xml:space="preserve">Mdn</w:t>
      </w:r>
      <w:r>
        <w:t xml:space="preserve"> </w:t>
      </w:r>
      <w:r>
        <w:t xml:space="preserve">= 189.55 (ms),</w:t>
      </w:r>
      <w:r>
        <w:t xml:space="preserve"> </w:t>
      </w:r>
      <w:r>
        <w:rPr>
          <w:i/>
        </w:rPr>
        <w:t xml:space="preserve">IQR</w:t>
      </w:r>
      <w:r>
        <w:t xml:space="preserve"> </w:t>
      </w:r>
      <w:r>
        <w:t xml:space="preserve">= 26.74] than in the performing condition [</w:t>
      </w:r>
      <w:r>
        <w:rPr>
          <w:i/>
        </w:rPr>
        <w:t xml:space="preserve">Mdn</w:t>
      </w:r>
      <w:r>
        <w:t xml:space="preserve"> </w:t>
      </w:r>
      <w:r>
        <w:t xml:space="preserve">= 185.24 (ms),</w:t>
      </w:r>
      <w:r>
        <w:t xml:space="preserve"> </w:t>
      </w:r>
      <w:r>
        <w:rPr>
          <w:i/>
        </w:rPr>
        <w:t xml:space="preserve">IQR</w:t>
      </w:r>
      <w:r>
        <w:t xml:space="preserve"> </w:t>
      </w:r>
      <w:r>
        <w:t xml:space="preserve">= 19.32] while playing the piece with the notated articulation (</w:t>
      </w:r>
      <w:r>
        <w:rPr>
          <w:i/>
        </w:rPr>
        <w:t xml:space="preserve">p</w:t>
      </w:r>
      <w:r>
        <w:t xml:space="preserve"> </w:t>
      </w:r>
      <w:r>
        <w:t xml:space="preserve">= 0.021;</w:t>
      </w:r>
      <w:r>
        <w:t xml:space="preserve"> </w:t>
      </w:r>
      <w:r>
        <w:rPr>
          <w:i/>
        </w:rPr>
        <w:t xml:space="preserve">Figure</w:t>
      </w:r>
      <w:r>
        <w:rPr>
          <w:i/>
        </w:rPr>
        <w:t xml:space="preserve"> </w:t>
      </w:r>
      <w:r>
        <w:t xml:space="preserve">).</w:t>
      </w:r>
    </w:p>
    <w:bookmarkEnd w:id="28"/>
    <w:bookmarkStart w:id="29" w:name="key-overlap-time-kot"/>
    <w:p>
      <w:pPr>
        <w:pStyle w:val="berschrift3"/>
      </w:pPr>
      <w:r>
        <w:t xml:space="preserve">2.2.2. Key-Overlap Time (KOT).</w:t>
      </w:r>
    </w:p>
    <w:p>
      <w:pPr>
        <w:pStyle w:val="FirstParagraph"/>
      </w:pPr>
      <w:r>
        <w:t xml:space="preserve">A two-way repeated-measures ANOVA with the factors Condition (teaching vs. performing) and Subcomponent-LS (legato vs. staccato) revealed that there was a significant main effect of Subcomponent-LS (</w:t>
      </w:r>
      <w:r>
        <w:rPr>
          <w:i/>
        </w:rPr>
        <w:t xml:space="preserve">F</w:t>
      </w:r>
      <w:r>
        <w:t xml:space="preserve">(1,30) = 1158,</w:t>
      </w:r>
      <w:r>
        <w:t xml:space="preserve"> </w:t>
      </w:r>
      <w:r>
        <w:rPr>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Subcomponent-LS (</w:t>
      </w:r>
      <w:r>
        <w:rPr>
          <w:i/>
        </w:rPr>
        <w:t xml:space="preserve">F</w:t>
      </w:r>
      <w:r>
        <w:t xml:space="preserve">(1,30) = 8.31,</w:t>
      </w:r>
      <w:r>
        <w:t xml:space="preserve"> </w:t>
      </w:r>
      <w:r>
        <w:rPr>
          <w:i/>
        </w:rPr>
        <w:t xml:space="preserve">p</w:t>
      </w:r>
      <w:r>
        <w:t xml:space="preserve"> </w:t>
      </w:r>
      <w:r>
        <w:t xml:space="preserve">= 0.007,</w:t>
      </w:r>
      <w:r>
        <w:t xml:space="preserve"> </w:t>
      </w:r>
      <m:oMath>
        <m:sSubSup>
          <m:e>
            <m:r>
              <m:t>η</m:t>
            </m:r>
          </m:e>
          <m:sub>
            <m:r>
              <m:t>G</m:t>
            </m:r>
          </m:sub>
          <m:sup>
            <m:r>
              <m:t>2</m:t>
            </m:r>
          </m:sup>
        </m:sSubSup>
      </m:oMath>
      <w:r>
        <w:t xml:space="preserve"> </w:t>
      </w:r>
      <w:r>
        <w:t xml:space="preserve">= 0.011;</w:t>
      </w:r>
      <w:r>
        <w:t xml:space="preserve"> </w:t>
      </w:r>
      <w:r>
        <w:rPr>
          <w:i/>
        </w:rPr>
        <w:t xml:space="preserve">Figure</w:t>
      </w:r>
      <w:r>
        <w:rPr>
          <w:i/>
        </w:rPr>
        <w:t xml:space="preserve"> </w:t>
      </w:r>
      <w:r>
        <w:t xml:space="preserve">). Post-hoc comparisons based on the estimated marginal means with Tukey adjustment showed that participants produced shorter staccato in the teaching condition [</w:t>
      </w:r>
      <w:r>
        <w:rPr>
          <w:i/>
        </w:rPr>
        <w:t xml:space="preserve">M</w:t>
      </w:r>
      <w:r>
        <w:t xml:space="preserve"> </w:t>
      </w:r>
      <w:r>
        <w:t xml:space="preserve">= -134.03 (ms),</w:t>
      </w:r>
      <w:r>
        <w:t xml:space="preserve"> </w:t>
      </w:r>
      <w:r>
        <w:rPr>
          <w:i/>
        </w:rPr>
        <w:t xml:space="preserve">SD</w:t>
      </w:r>
      <w:r>
        <w:t xml:space="preserve"> </w:t>
      </w:r>
      <w:r>
        <w:t xml:space="preserve">= 19.86] than in the performing condition [</w:t>
      </w:r>
      <w:r>
        <w:rPr>
          <w:i/>
        </w:rPr>
        <w:t xml:space="preserve">M</w:t>
      </w:r>
      <w:r>
        <w:t xml:space="preserve"> </w:t>
      </w:r>
      <w:r>
        <w:t xml:space="preserve">= -128.35 (ms),</w:t>
      </w:r>
      <w:r>
        <w:t xml:space="preserve"> </w:t>
      </w:r>
      <w:r>
        <w:rPr>
          <w:i/>
        </w:rPr>
        <w:t xml:space="preserve">SD</w:t>
      </w:r>
      <w:r>
        <w:t xml:space="preserve"> </w:t>
      </w:r>
      <w:r>
        <w:t xml:space="preserve">= 20.80] (</w:t>
      </w:r>
      <w:r>
        <w:rPr>
          <w:i/>
        </w:rPr>
        <w:t xml:space="preserve">p</w:t>
      </w:r>
      <w:r>
        <w:t xml:space="preserve"> </w:t>
      </w:r>
      <w:r>
        <w:t xml:space="preserve">= 0.004) while there was no significant difference in legato between the teaching [</w:t>
      </w:r>
      <w:r>
        <w:rPr>
          <w:i/>
        </w:rPr>
        <w:t xml:space="preserve">M</w:t>
      </w:r>
      <w:r>
        <w:t xml:space="preserve"> </w:t>
      </w:r>
      <w:r>
        <w:t xml:space="preserve">= 15.91 (ms),</w:t>
      </w:r>
      <w:r>
        <w:t xml:space="preserve"> </w:t>
      </w:r>
      <w:r>
        <w:rPr>
          <w:i/>
        </w:rPr>
        <w:t xml:space="preserve">SD</w:t>
      </w:r>
      <w:r>
        <w:t xml:space="preserve"> </w:t>
      </w:r>
      <w:r>
        <w:t xml:space="preserve">= 15.49] and performing condition[</w:t>
      </w:r>
      <w:r>
        <w:rPr>
          <w:i/>
        </w:rPr>
        <w:t xml:space="preserve">M</w:t>
      </w:r>
      <w:r>
        <w:t xml:space="preserve"> </w:t>
      </w:r>
      <w:r>
        <w:t xml:space="preserve">= 14.00 (ms),</w:t>
      </w:r>
      <w:r>
        <w:t xml:space="preserve"> </w:t>
      </w:r>
      <w:r>
        <w:rPr>
          <w:i/>
        </w:rPr>
        <w:t xml:space="preserve">SD</w:t>
      </w:r>
      <w:r>
        <w:t xml:space="preserve"> </w:t>
      </w:r>
      <w:r>
        <w:t xml:space="preserve">= 17.01] (</w:t>
      </w:r>
      <w:r>
        <w:rPr>
          <w:i/>
        </w:rPr>
        <w:t xml:space="preserve">p</w:t>
      </w:r>
      <w:r>
        <w:t xml:space="preserve"> </w:t>
      </w:r>
      <w:r>
        <w:t xml:space="preserve">= 0.32).</w:t>
      </w:r>
    </w:p>
    <w:bookmarkEnd w:id="29"/>
    <w:bookmarkStart w:id="30" w:name="key-velocity-kv"/>
    <w:p>
      <w:pPr>
        <w:pStyle w:val="berschrift3"/>
      </w:pPr>
      <w:r>
        <w:t xml:space="preserve">2.2.3. Key Velocity (KV).</w:t>
      </w:r>
    </w:p>
    <w:p>
      <w:pPr>
        <w:pStyle w:val="FirstParagraph"/>
      </w:pPr>
      <w:r>
        <w:t xml:space="preserve">A two-way repeated-measures ANOVA with the factors Condition (teaching vs. performing) and Subcomponent-LS (legato vs. staccato) showed that there was a significant interaction between Condition and Subcomponent-LS (</w:t>
      </w:r>
      <w:r>
        <w:rPr>
          <w:i/>
        </w:rPr>
        <w:t xml:space="preserve">F</w:t>
      </w:r>
      <w:r>
        <w:t xml:space="preserve">(1,30) = 7.38,</w:t>
      </w:r>
      <w:r>
        <w:t xml:space="preserve"> </w:t>
      </w:r>
      <w:r>
        <w:rPr>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
        </w:rPr>
        <w:t xml:space="preserve">Figure</w:t>
      </w:r>
      <w:r>
        <w:rPr>
          <w:i/>
        </w:rPr>
        <w:t xml:space="preserve"> </w:t>
      </w:r>
      <w:r>
        <w:t xml:space="preserve">). However, post-hoc comparisons based on the estimated marginal means with Tukey adjustment failed to find a significant difference between the teaching [Legato;</w:t>
      </w:r>
      <w:r>
        <w:t xml:space="preserve"> </w:t>
      </w:r>
      <w:r>
        <w:rPr>
          <w:i/>
        </w:rPr>
        <w:t xml:space="preserve">M</w:t>
      </w:r>
      <w:r>
        <w:t xml:space="preserve"> </w:t>
      </w:r>
      <w:r>
        <w:t xml:space="preserve">= 70.34,</w:t>
      </w:r>
      <w:r>
        <w:t xml:space="preserve"> </w:t>
      </w:r>
      <w:r>
        <w:rPr>
          <w:i/>
        </w:rPr>
        <w:t xml:space="preserve">SD</w:t>
      </w:r>
      <w:r>
        <w:t xml:space="preserve"> </w:t>
      </w:r>
      <w:r>
        <w:t xml:space="preserve">= 6.45, Staccato;</w:t>
      </w:r>
      <w:r>
        <w:t xml:space="preserve"> </w:t>
      </w:r>
      <w:r>
        <w:rPr>
          <w:i/>
        </w:rPr>
        <w:t xml:space="preserve">M</w:t>
      </w:r>
      <w:r>
        <w:t xml:space="preserve"> </w:t>
      </w:r>
      <w:r>
        <w:t xml:space="preserve">= 72.01,</w:t>
      </w:r>
      <w:r>
        <w:t xml:space="preserve"> </w:t>
      </w:r>
      <w:r>
        <w:rPr>
          <w:i/>
        </w:rPr>
        <w:t xml:space="preserve">SD</w:t>
      </w:r>
      <w:r>
        <w:t xml:space="preserve"> </w:t>
      </w:r>
      <w:r>
        <w:t xml:space="preserve">= 8.74] and performing condition [Legato;</w:t>
      </w:r>
      <w:r>
        <w:t xml:space="preserve"> </w:t>
      </w:r>
      <w:r>
        <w:rPr>
          <w:i/>
        </w:rPr>
        <w:t xml:space="preserve">M</w:t>
      </w:r>
      <w:r>
        <w:t xml:space="preserve"> </w:t>
      </w:r>
      <w:r>
        <w:t xml:space="preserve">= 70.68,</w:t>
      </w:r>
      <w:r>
        <w:t xml:space="preserve"> </w:t>
      </w:r>
      <w:r>
        <w:rPr>
          <w:i/>
        </w:rPr>
        <w:t xml:space="preserve">SD</w:t>
      </w:r>
      <w:r>
        <w:t xml:space="preserve"> </w:t>
      </w:r>
      <w:r>
        <w:t xml:space="preserve">= 5.84, Staccato;</w:t>
      </w:r>
      <w:r>
        <w:t xml:space="preserve"> </w:t>
      </w:r>
      <w:r>
        <w:rPr>
          <w:i/>
        </w:rPr>
        <w:t xml:space="preserve">M</w:t>
      </w:r>
      <w:r>
        <w:t xml:space="preserve"> </w:t>
      </w:r>
      <w:r>
        <w:t xml:space="preserve">= 70.42,</w:t>
      </w:r>
      <w:r>
        <w:t xml:space="preserve"> </w:t>
      </w:r>
      <w:r>
        <w:rPr>
          <w:i/>
        </w:rPr>
        <w:t xml:space="preserve">SD</w:t>
      </w:r>
      <w:r>
        <w:t xml:space="preserve"> </w:t>
      </w:r>
      <w:r>
        <w:t xml:space="preserve">= 7.96] for each subcomponent (Legato;</w:t>
      </w:r>
      <w:r>
        <w:t xml:space="preserve"> </w:t>
      </w:r>
      <w:r>
        <w:rPr>
          <w:i/>
        </w:rPr>
        <w:t xml:space="preserve">p</w:t>
      </w:r>
      <w:r>
        <w:t xml:space="preserve"> </w:t>
      </w:r>
      <w:r>
        <w:t xml:space="preserve">= 0.70, Staccato;</w:t>
      </w:r>
      <w:r>
        <w:t xml:space="preserve"> </w:t>
      </w:r>
      <w:r>
        <w:rPr>
          <w:i/>
        </w:rPr>
        <w:t xml:space="preserve">p</w:t>
      </w:r>
      <w:r>
        <w:t xml:space="preserve"> </w:t>
      </w:r>
      <w:r>
        <w:t xml:space="preserve">= 0.07).</w:t>
      </w:r>
    </w:p>
    <w:bookmarkEnd w:id="30"/>
    <w:bookmarkEnd w:id="31"/>
    <w:bookmarkStart w:id="36" w:name="results-dynamics"/>
    <w:p>
      <w:pPr>
        <w:pStyle w:val="berschrift2"/>
      </w:pPr>
      <w:r>
        <w:t xml:space="preserve">2.3. Results (Dynamics)</w:t>
      </w:r>
    </w:p>
    <w:bookmarkStart w:id="32" w:name="interonset-intervals-iois-1"/>
    <w:p>
      <w:pPr>
        <w:pStyle w:val="berschrift3"/>
      </w:pPr>
      <w:r>
        <w:t xml:space="preserve">2.3.1. Interonset Intervals (IOIs).</w:t>
      </w:r>
    </w:p>
    <w:p>
      <w:pPr>
        <w:pStyle w:val="FirstParagraph"/>
      </w:pPr>
      <w:r>
        <w:t xml:space="preserve">The Wiscoxon Signed-rank test revealed no significant difference between the teaching condition [</w:t>
      </w:r>
      <w:r>
        <w:rPr>
          <w:i/>
        </w:rPr>
        <w:t xml:space="preserve">Mdn</w:t>
      </w:r>
      <w:r>
        <w:t xml:space="preserve"> </w:t>
      </w:r>
      <w:r>
        <w:t xml:space="preserve">= 186.29 (ms),</w:t>
      </w:r>
      <w:r>
        <w:t xml:space="preserve"> </w:t>
      </w:r>
      <w:r>
        <w:rPr>
          <w:i/>
        </w:rPr>
        <w:t xml:space="preserve">IQR</w:t>
      </w:r>
      <w:r>
        <w:t xml:space="preserve"> </w:t>
      </w:r>
      <w:r>
        <w:t xml:space="preserve">= 21.83] and the performing condition [</w:t>
      </w:r>
      <w:r>
        <w:rPr>
          <w:i/>
        </w:rPr>
        <w:t xml:space="preserve">Mdn</w:t>
      </w:r>
      <w:r>
        <w:t xml:space="preserve"> </w:t>
      </w:r>
      <w:r>
        <w:t xml:space="preserve">= 186.27 (ms),</w:t>
      </w:r>
      <w:r>
        <w:t xml:space="preserve"> </w:t>
      </w:r>
      <w:r>
        <w:rPr>
          <w:i/>
        </w:rPr>
        <w:t xml:space="preserve">IQR</w:t>
      </w:r>
      <w:r>
        <w:t xml:space="preserve"> </w:t>
      </w:r>
      <w:r>
        <w:t xml:space="preserve">= 19.58] while playing the piece with the notated dynamics (</w:t>
      </w:r>
      <w:r>
        <w:rPr>
          <w:i/>
        </w:rPr>
        <w:t xml:space="preserve">p</w:t>
      </w:r>
      <w:r>
        <w:t xml:space="preserve"> </w:t>
      </w:r>
      <w:r>
        <w:t xml:space="preserve">= 0.111;</w:t>
      </w:r>
      <w:r>
        <w:t xml:space="preserve"> </w:t>
      </w:r>
      <w:r>
        <w:rPr>
          <w:i/>
        </w:rPr>
        <w:t xml:space="preserve">Figure</w:t>
      </w:r>
      <w:r>
        <w:rPr>
          <w:i/>
        </w:rPr>
        <w:t xml:space="preserve"> </w:t>
      </w:r>
      <w:r>
        <w:t xml:space="preserve">).</w:t>
      </w:r>
    </w:p>
    <w:bookmarkEnd w:id="32"/>
    <w:bookmarkStart w:id="33" w:name="key-velocity-kv-1"/>
    <w:p>
      <w:pPr>
        <w:pStyle w:val="berschrift3"/>
      </w:pPr>
      <w:r>
        <w:t xml:space="preserve">2.3.2. Key Velocity (KV).</w:t>
      </w:r>
    </w:p>
    <w:p>
      <w:pPr>
        <w:pStyle w:val="FirstParagraph"/>
      </w:pPr>
      <w:r>
        <w:t xml:space="preserve">A two-way repeated-measures ANOVA with the factors Condition (teaching vs. performing) and Subcomponent-FP (forte vs. piano) showed that there was a significant main effect of Subcomponent-FP (</w:t>
      </w:r>
      <w:r>
        <w:rPr>
          <w:i/>
        </w:rPr>
        <w:t xml:space="preserve">F</w:t>
      </w:r>
      <w:r>
        <w:t xml:space="preserve">(1,30) = 370,</w:t>
      </w:r>
      <w:r>
        <w:t xml:space="preserve"> </w:t>
      </w:r>
      <w:r>
        <w:rPr>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Subcomponent-FP (</w:t>
      </w:r>
      <w:r>
        <w:rPr>
          <w:i/>
        </w:rPr>
        <w:t xml:space="preserve">F</w:t>
      </w:r>
      <w:r>
        <w:t xml:space="preserve">(1,30) = 6.80,</w:t>
      </w:r>
      <w:r>
        <w:t xml:space="preserve"> </w:t>
      </w:r>
      <w:r>
        <w:rPr>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
        </w:rPr>
        <w:t xml:space="preserve">Figure</w:t>
      </w:r>
      <w:r>
        <w:rPr>
          <w:i/>
        </w:rPr>
        <w:t xml:space="preserve"> </w:t>
      </w:r>
      <w:r>
        <w:t xml:space="preserve">). Post-hoc comparisons based on the estimated marginal means with Tukey adjustment revealed that participants produced louder forte in the teaching condition [</w:t>
      </w:r>
      <w:r>
        <w:rPr>
          <w:i/>
        </w:rPr>
        <w:t xml:space="preserve">M</w:t>
      </w:r>
      <w:r>
        <w:t xml:space="preserve"> </w:t>
      </w:r>
      <w:r>
        <w:t xml:space="preserve">= 82.78,</w:t>
      </w:r>
      <w:r>
        <w:t xml:space="preserve"> </w:t>
      </w:r>
      <w:r>
        <w:rPr>
          <w:i/>
        </w:rPr>
        <w:t xml:space="preserve">SD</w:t>
      </w:r>
      <w:r>
        <w:t xml:space="preserve"> </w:t>
      </w:r>
      <w:r>
        <w:t xml:space="preserve">= 8.30] than in the performing condition [</w:t>
      </w:r>
      <w:r>
        <w:rPr>
          <w:i/>
        </w:rPr>
        <w:t xml:space="preserve">M</w:t>
      </w:r>
      <w:r>
        <w:t xml:space="preserve"> </w:t>
      </w:r>
      <w:r>
        <w:t xml:space="preserve">= 81.66,</w:t>
      </w:r>
      <w:r>
        <w:t xml:space="preserve"> </w:t>
      </w:r>
      <w:r>
        <w:rPr>
          <w:i/>
        </w:rPr>
        <w:t xml:space="preserve">SD</w:t>
      </w:r>
      <w:r>
        <w:t xml:space="preserve"> </w:t>
      </w:r>
      <w:r>
        <w:t xml:space="preserve">= 7.43] (</w:t>
      </w:r>
      <w:r>
        <w:rPr>
          <w:i/>
        </w:rPr>
        <w:t xml:space="preserve">p</w:t>
      </w:r>
      <w:r>
        <w:t xml:space="preserve"> </w:t>
      </w:r>
      <w:r>
        <w:t xml:space="preserve">= 0.021) while there was no significant difference in piano between the teaching [</w:t>
      </w:r>
      <w:r>
        <w:rPr>
          <w:i/>
        </w:rPr>
        <w:t xml:space="preserve">M</w:t>
      </w:r>
      <w:r>
        <w:t xml:space="preserve"> </w:t>
      </w:r>
      <w:r>
        <w:t xml:space="preserve">= 60.63,</w:t>
      </w:r>
      <w:r>
        <w:t xml:space="preserve"> </w:t>
      </w:r>
      <w:r>
        <w:rPr>
          <w:i/>
        </w:rPr>
        <w:t xml:space="preserve">SD</w:t>
      </w:r>
      <w:r>
        <w:t xml:space="preserve"> </w:t>
      </w:r>
      <w:r>
        <w:t xml:space="preserve">= 5.07] and performing condition[</w:t>
      </w:r>
      <w:r>
        <w:rPr>
          <w:i/>
        </w:rPr>
        <w:t xml:space="preserve">M</w:t>
      </w:r>
      <w:r>
        <w:t xml:space="preserve"> </w:t>
      </w:r>
      <w:r>
        <w:t xml:space="preserve">= 60.99,</w:t>
      </w:r>
      <w:r>
        <w:t xml:space="preserve"> </w:t>
      </w:r>
      <w:r>
        <w:rPr>
          <w:i/>
        </w:rPr>
        <w:t xml:space="preserve">SD</w:t>
      </w:r>
      <w:r>
        <w:t xml:space="preserve"> </w:t>
      </w:r>
      <w:r>
        <w:t xml:space="preserve">= 4.40] (</w:t>
      </w:r>
      <w:r>
        <w:rPr>
          <w:i/>
        </w:rPr>
        <w:t xml:space="preserve">p</w:t>
      </w:r>
      <w:r>
        <w:t xml:space="preserve"> </w:t>
      </w:r>
      <w:r>
        <w:t xml:space="preserve">= 0.45).</w:t>
      </w:r>
    </w:p>
    <w:bookmarkEnd w:id="33"/>
    <w:bookmarkStart w:id="34" w:name="kv-transition-points"/>
    <w:p>
      <w:pPr>
        <w:pStyle w:val="berschrift3"/>
      </w:pPr>
      <w:r>
        <w:t xml:space="preserve">2.3.3. 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in order to make a contrast between forte and piano. We calculated a KV difference for each interval by subtracting the KV value of the current note from that of the following note. Outliers were also removed with the same criteria for other dependent variables and less than 5 % were excluded from data analysis. A two-way repeated-measures ANOVA with the factors Condition (teaching vs. performing) and Subcomponent-FP (FtoP vs. PtoF) showed that there was a significant main effect of Subcomponent-FP (</w:t>
      </w:r>
      <w:r>
        <w:rPr>
          <w:i/>
        </w:rPr>
        <w:t xml:space="preserve">F</w:t>
      </w:r>
      <w:r>
        <w:t xml:space="preserve">(1,30) = 224,</w:t>
      </w:r>
      <w:r>
        <w:t xml:space="preserve"> </w:t>
      </w:r>
      <w:r>
        <w:rPr>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of Condition and Subcomponent-FP (</w:t>
      </w:r>
      <w:r>
        <w:rPr>
          <w:i/>
        </w:rPr>
        <w:t xml:space="preserve">F</w:t>
      </w:r>
      <w:r>
        <w:t xml:space="preserve">(1,30) = 25.74,</w:t>
      </w:r>
      <w:r>
        <w:t xml:space="preserve"> </w:t>
      </w:r>
      <w:r>
        <w:rPr>
          <w:i/>
        </w:rPr>
        <w:t xml:space="preserve">p</w:t>
      </w:r>
      <w:r>
        <w:t xml:space="preserve"> </w:t>
      </w:r>
      <w:r>
        <w:t xml:space="preserve">&lt; 0.001,</w:t>
      </w:r>
      <w:r>
        <w:t xml:space="preserve"> </w:t>
      </w:r>
      <m:oMath>
        <m:sSubSup>
          <m:e>
            <m:r>
              <m:t>η</m:t>
            </m:r>
          </m:e>
          <m:sub>
            <m:r>
              <m:t>G</m:t>
            </m:r>
          </m:sub>
          <m:sup>
            <m:r>
              <m:t>2</m:t>
            </m:r>
          </m:sup>
        </m:sSubSup>
      </m:oMath>
      <w:r>
        <w:t xml:space="preserve"> </w:t>
      </w:r>
      <w:r>
        <w:t xml:space="preserve">= 0.032;</w:t>
      </w:r>
      <w:r>
        <w:t xml:space="preserve"> </w:t>
      </w:r>
      <w:r>
        <w:rPr>
          <w:i/>
        </w:rPr>
        <w:t xml:space="preserve">Figure</w:t>
      </w:r>
      <w:r>
        <w:rPr>
          <w:i/>
        </w:rPr>
        <w:t xml:space="preserve"> </w:t>
      </w:r>
      <w:r>
        <w:t xml:space="preserve">). Post-hoc comparisons based on the estimated marginal means with Tukey adjustment showed that there was a larger KV difference when the expressive notation changed from forte to piano and from piano to forte in the teaching condition [FtoP;</w:t>
      </w:r>
      <w:r>
        <w:t xml:space="preserve"> </w:t>
      </w:r>
      <w:r>
        <w:rPr>
          <w:i/>
        </w:rPr>
        <w:t xml:space="preserve">M</w:t>
      </w:r>
      <w:r>
        <w:t xml:space="preserve"> </w:t>
      </w:r>
      <w:r>
        <w:t xml:space="preserve">= -14.06,</w:t>
      </w:r>
      <w:r>
        <w:t xml:space="preserve"> </w:t>
      </w:r>
      <w:r>
        <w:rPr>
          <w:i/>
        </w:rPr>
        <w:t xml:space="preserve">SD</w:t>
      </w:r>
      <w:r>
        <w:t xml:space="preserve"> </w:t>
      </w:r>
      <w:r>
        <w:t xml:space="preserve">= 7.20, PtoF;</w:t>
      </w:r>
      <w:r>
        <w:t xml:space="preserve"> </w:t>
      </w:r>
      <w:r>
        <w:rPr>
          <w:i/>
        </w:rPr>
        <w:t xml:space="preserve">M</w:t>
      </w:r>
      <w:r>
        <w:t xml:space="preserve"> </w:t>
      </w:r>
      <w:r>
        <w:t xml:space="preserve">= 24.26,</w:t>
      </w:r>
      <w:r>
        <w:t xml:space="preserve"> </w:t>
      </w:r>
      <w:r>
        <w:rPr>
          <w:i/>
        </w:rPr>
        <w:t xml:space="preserve">SD</w:t>
      </w:r>
      <w:r>
        <w:t xml:space="preserve"> </w:t>
      </w:r>
      <w:r>
        <w:t xml:space="preserve">= 9.75] than in the performing condition [FtoP;</w:t>
      </w:r>
      <w:r>
        <w:t xml:space="preserve"> </w:t>
      </w:r>
      <w:r>
        <w:rPr>
          <w:i/>
        </w:rPr>
        <w:t xml:space="preserve">M</w:t>
      </w:r>
      <w:r>
        <w:t xml:space="preserve"> </w:t>
      </w:r>
      <w:r>
        <w:t xml:space="preserve">= -11.69,</w:t>
      </w:r>
      <w:r>
        <w:t xml:space="preserve"> </w:t>
      </w:r>
      <w:r>
        <w:rPr>
          <w:i/>
        </w:rPr>
        <w:t xml:space="preserve">SD</w:t>
      </w:r>
      <w:r>
        <w:t xml:space="preserve"> </w:t>
      </w:r>
      <w:r>
        <w:t xml:space="preserve">= 5.97, PtoF;</w:t>
      </w:r>
      <w:r>
        <w:t xml:space="preserve"> </w:t>
      </w:r>
      <w:r>
        <w:rPr>
          <w:i/>
        </w:rPr>
        <w:t xml:space="preserve">M</w:t>
      </w:r>
      <w:r>
        <w:t xml:space="preserve"> </w:t>
      </w:r>
      <w:r>
        <w:t xml:space="preserve">= 20.88,</w:t>
      </w:r>
      <w:r>
        <w:t xml:space="preserve"> </w:t>
      </w:r>
      <w:r>
        <w:rPr>
          <w:i/>
        </w:rPr>
        <w:t xml:space="preserve">SD</w:t>
      </w:r>
      <w:r>
        <w:t xml:space="preserve"> </w:t>
      </w:r>
      <w:r>
        <w:t xml:space="preserve">= 8.67] (FtoP;</w:t>
      </w:r>
      <w:r>
        <w:t xml:space="preserve"> </w:t>
      </w:r>
      <w:r>
        <w:rPr>
          <w:i/>
        </w:rPr>
        <w:t xml:space="preserve">p</w:t>
      </w:r>
      <w:r>
        <w:t xml:space="preserve"> </w:t>
      </w:r>
      <w:r>
        <w:t xml:space="preserve">= 0.002, PtoF;</w:t>
      </w:r>
      <w:r>
        <w:t xml:space="preserve"> </w:t>
      </w:r>
      <w:r>
        <w:rPr>
          <w:i/>
        </w:rPr>
        <w:t xml:space="preserve">p</w:t>
      </w:r>
      <w:r>
        <w:t xml:space="preserve"> </w:t>
      </w:r>
      <w:r>
        <w:t xml:space="preserve">&lt; 0.001).</w:t>
      </w:r>
    </w:p>
    <w:bookmarkEnd w:id="34"/>
    <w:bookmarkStart w:id="35" w:name="key-overlap-time-kot-1"/>
    <w:p>
      <w:pPr>
        <w:pStyle w:val="berschrift3"/>
      </w:pPr>
      <w:r>
        <w:t xml:space="preserve">2.3.4. Key-Overlap Time (KOT).</w:t>
      </w:r>
    </w:p>
    <w:p>
      <w:pPr>
        <w:pStyle w:val="FirstParagraph"/>
      </w:pPr>
      <w:r>
        <w:t xml:space="preserve">A two-way repeated-measures ANOVA with the factors Condition (teaching vs. performing) and Subcomponent-FP (forte vs. piano) revealed that there was a significant main effect of Subcomponent-FP (</w:t>
      </w:r>
      <w:r>
        <w:rPr>
          <w:i/>
        </w:rPr>
        <w:t xml:space="preserve">F</w:t>
      </w:r>
      <w:r>
        <w:t xml:space="preserve">(1,30) = 377,</w:t>
      </w:r>
      <w:r>
        <w:t xml:space="preserve"> </w:t>
      </w:r>
      <w:r>
        <w:rPr>
          <w:i/>
        </w:rPr>
        <w:t xml:space="preserve">p</w:t>
      </w:r>
      <w:r>
        <w:t xml:space="preserve"> </w:t>
      </w:r>
      <w:r>
        <w:t xml:space="preserve">&lt; 0.001,</w:t>
      </w:r>
      <w:r>
        <w:t xml:space="preserve"> </w:t>
      </w:r>
      <m:oMath>
        <m:sSubSup>
          <m:e>
            <m:r>
              <m:t>η</m:t>
            </m:r>
          </m:e>
          <m:sub>
            <m:r>
              <m:t>G</m:t>
            </m:r>
          </m:sub>
          <m:sup>
            <m:r>
              <m:t>2</m:t>
            </m:r>
          </m:sup>
        </m:sSubSup>
      </m:oMath>
      <w:r>
        <w:t xml:space="preserve"> </w:t>
      </w:r>
      <w:r>
        <w:t xml:space="preserve">= 0.31;</w:t>
      </w:r>
      <w:r>
        <w:t xml:space="preserve"> </w:t>
      </w:r>
      <w:r>
        <w:rPr>
          <w:i/>
        </w:rPr>
        <w:t xml:space="preserve">Figure</w:t>
      </w:r>
      <w:r>
        <w:rPr>
          <w:i/>
        </w:rPr>
        <w:t xml:space="preserve"> </w:t>
      </w:r>
      <w:r>
        <w:t xml:space="preserve">), reflecting more key overlap for forte notes compared to piano notes. Neither the main effect of Condition (</w:t>
      </w:r>
      <w:r>
        <w:rPr>
          <w:i/>
        </w:rPr>
        <w:t xml:space="preserve">F</w:t>
      </w:r>
      <w:r>
        <w:t xml:space="preserve">(1,30) = 0.42,</w:t>
      </w:r>
      <w:r>
        <w:t xml:space="preserve"> </w:t>
      </w:r>
      <w:r>
        <w:rPr>
          <w:i/>
        </w:rPr>
        <w:t xml:space="preserve">p</w:t>
      </w:r>
      <w:r>
        <w:t xml:space="preserve"> </w:t>
      </w:r>
      <w:r>
        <w:t xml:space="preserve">= 0.520,</w:t>
      </w:r>
      <w:r>
        <w:t xml:space="preserve"> </w:t>
      </w:r>
      <m:oMath>
        <m:sSubSup>
          <m:e>
            <m:r>
              <m:t>η</m:t>
            </m:r>
          </m:e>
          <m:sub>
            <m:r>
              <m:t>G</m:t>
            </m:r>
          </m:sub>
          <m:sup>
            <m:r>
              <m:t>2</m:t>
            </m:r>
          </m:sup>
        </m:sSubSup>
      </m:oMath>
      <w:r>
        <w:t xml:space="preserve"> </w:t>
      </w:r>
      <w:r>
        <w:t xml:space="preserve">= 0.00) nor the interaction between Condition and Subcomponent-FP (</w:t>
      </w:r>
      <w:r>
        <w:rPr>
          <w:i/>
        </w:rPr>
        <w:t xml:space="preserve">F</w:t>
      </w:r>
      <w:r>
        <w:t xml:space="preserve">(1,30) = 0.000,</w:t>
      </w:r>
      <w:r>
        <w:t xml:space="preserve"> </w:t>
      </w:r>
      <w:r>
        <w:rPr>
          <w:i/>
        </w:rPr>
        <w:t xml:space="preserve">p</w:t>
      </w:r>
      <w:r>
        <w:t xml:space="preserve"> </w:t>
      </w:r>
      <w:r>
        <w:t xml:space="preserve">= 0.99,</w:t>
      </w:r>
      <w:r>
        <w:t xml:space="preserve"> </w:t>
      </w:r>
      <m:oMath>
        <m:sSubSup>
          <m:e>
            <m:r>
              <m:t>η</m:t>
            </m:r>
          </m:e>
          <m:sub>
            <m:r>
              <m:t>G</m:t>
            </m:r>
          </m:sub>
          <m:sup>
            <m:r>
              <m:t>2</m:t>
            </m:r>
          </m:sup>
        </m:sSubSup>
      </m:oMath>
      <w:r>
        <w:t xml:space="preserve"> </w:t>
      </w:r>
      <w:r>
        <w:t xml:space="preserve">= 0.000).</w:t>
      </w:r>
    </w:p>
    <w:bookmarkEnd w:id="35"/>
    <w:bookmarkEnd w:id="36"/>
    <w:bookmarkStart w:id="40" w:name="discussion"/>
    <w:p>
      <w:pPr>
        <w:pStyle w:val="berschrift2"/>
      </w:pPr>
      <w:r>
        <w:t xml:space="preserve">2.4. Discussion</w:t>
      </w:r>
    </w:p>
    <w:p>
      <w:pPr>
        <w:pStyle w:val="FirstParagraph"/>
      </w:pPr>
      <w:r>
        <w:t xml:space="preserve">The findings from Experiment 1 indicated that skilled pianists were able to modify their performance for teaching purposes. For IOIs (tempo), we found a small but significant difference only when playing the piece with the notated articulation. This could be due to the leading metronome, which was given prior to each performance. As participants tried to follow the ideal tempo through their performances, it was possible that there was only a tiny difference between the two conditions. Another possibility could be that slower performance may be more or only beneficial to highlight the relation between two notes (i.e. to what extent two notes overlap) when teaching articulation whereas such relation was irrelevant when teaching dynamics. With regard to KOT (articulation) and KV (dynamics), participants successfully highlight the relevant aspects of the techniques. Specifically, they produced shorter staccato when teaching articulation and produced louder forte when teaching dynamics. Moreover, our exploratory analysis demonstrated that participants made a larger contrast in dynamics at transition points where one of two subcomponents moved to the other (i.e., forte to piano or piano to forte). Importantly, participants did not modulate their performance in term of irrelevant aspects of the techniques for teaching purposes (e.g., modulating the smoothness of sound while teaching dynamics). These findings confirmed that participants modulated their performance in systematic and fine-grained ways in order to teach expressive techniques in a simple musical scale.</w:t>
      </w:r>
    </w:p>
    <w:p>
      <w:pPr>
        <w:pStyle w:val="Textkrper"/>
      </w:pPr>
      <w:r>
        <w:t xml:space="preserve">One of the limitations of Experiment 1 is that we employed a simple musical scale, which was suitable to gain an experimental control. However the stimulus was not a naturalistic piece to implement artistic expressions. In Experiment 2, we chose one piece of music from actual piano pieces and modified it for the purpose of the experiment. We predict that participants will played more slowly regardless of the techniques to be taught or only when teaching articulation based on the finding from Experiment 1. Also, we expect that participants will be able to highlight only the relevant aspects of the techniques to be taught. More precisely, they should be able to produce longer legato and shorter staccato while teaching articulation. When teaching dynamics, they should be able to produce louder forte and softer piano. Given the findings we observed in Experiment 1, participants will make a larger contrast between forte and piano at transition points.</w:t>
      </w:r>
    </w:p>
    <w:p>
      <w:pPr>
        <w:pStyle w:val="CaptionedFigure"/>
      </w:pPr>
      <w:r>
        <w:drawing>
          <wp:inline>
            <wp:extent cx="5969000" cy="2984500"/>
            <wp:effectExtent b="0" l="0" r="0" t="0"/>
            <wp:docPr descr="Figure 2:.  Experiment 1: IOIs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1-1.png" id="0" name="Picture"/>
                    <pic:cNvPicPr>
                      <a:picLocks noChangeArrowheads="1" noChangeAspect="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w:t>
      </w:r>
      <w:r>
        <w:t xml:space="preserve">Experiment 1: IOIs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t-1-1.png" id="0" name="Picture"/>
                    <pic:cNvPicPr>
                      <a:picLocks noChangeArrowheads="1" noChangeAspect="1"/>
                    </pic:cNvPicPr>
                  </pic:nvPicPr>
                  <pic:blipFill>
                    <a:blip r:embed="rId3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1-1.png" id="0" name="Picture"/>
                    <pic:cNvPicPr>
                      <a:picLocks noChangeArrowheads="1" noChangeAspect="1"/>
                    </pic:cNvPicPr>
                  </pic:nvPicPr>
                  <pic:blipFill>
                    <a:blip r:embed="rId39"/>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40"/>
    <w:bookmarkEnd w:id="41"/>
    <w:bookmarkStart w:id="62" w:name="experiment-2"/>
    <w:p>
      <w:pPr>
        <w:pStyle w:val="berschrift1"/>
      </w:pPr>
      <w:r>
        <w:t xml:space="preserve">3. Experiment 2</w:t>
      </w:r>
    </w:p>
    <w:bookmarkStart w:id="47" w:name="method-1"/>
    <w:p>
      <w:pPr>
        <w:pStyle w:val="berschrift2"/>
      </w:pPr>
      <w:r>
        <w:t xml:space="preserve">3.1. Method</w:t>
      </w:r>
    </w:p>
    <w:bookmarkStart w:id="42" w:name="participants-1"/>
    <w:p>
      <w:pPr>
        <w:pStyle w:val="berschrift3"/>
      </w:pPr>
      <w:r>
        <w:t xml:space="preserve">3.1.1. Participants.</w:t>
      </w:r>
    </w:p>
    <w:p>
      <w:pPr>
        <w:pStyle w:val="FirstParagraph"/>
      </w:pPr>
      <w:r>
        <w:t xml:space="preserve">We recruited 21 piano experts who already had a degree in (above bachelor or equivalent) in piano performance/teaching or were studying piano performance at a music school at the time of recruitment. For data analysis, we excluded 1 participants due to insufficient motor skills (1) and an overall deviated tempo (1; outside 2 standard deviations from the average tempo across participants). Nineteen participants (9 female) were included in data analysis. Most participants were right-handed (left; 2). They had 15.65 years of practice on average (</w:t>
      </w:r>
      <w:r>
        <w:rPr>
          <w:i/>
        </w:rPr>
        <w:t xml:space="preserve">SD</w:t>
      </w:r>
      <w:r>
        <w:t xml:space="preserve"> </w:t>
      </w:r>
      <w:r>
        <w:t xml:space="preserve">= 5.67).</w:t>
      </w:r>
    </w:p>
    <w:bookmarkEnd w:id="42"/>
    <w:bookmarkStart w:id="43" w:name="apparatus-and-stimuli-1"/>
    <w:p>
      <w:pPr>
        <w:pStyle w:val="berschrift3"/>
      </w:pPr>
      <w:r>
        <w:t xml:space="preserve">3.1.2. Apparatus and stimuli.</w:t>
      </w:r>
    </w:p>
    <w:p>
      <w:pPr>
        <w:pStyle w:val="FirstParagraph"/>
      </w:pPr>
      <w:r>
        <w:t xml:space="preserve">The same apparatus as Experiment 1 was used. We selected Clementi’s Sonatina Op.36 (No.3) in C major as a stimulus because it contained our targeted expressions (i.e., articulation, dynamics) and was relatively simple in terms of motor skills. The first 12 measures of the original piece was used and modified so that it had the almost equal number of data points for each dependent variable. The stimulus consisted of a 12-measure isochronous melody notated in 4/4 meter. Non-expressive sheet was used for the purpose of practice (</w:t>
      </w:r>
      <w:r>
        <w:rPr>
          <w:i/>
        </w:rPr>
        <w:t xml:space="preserve">Figure</w:t>
      </w:r>
      <w:r>
        <w:rPr>
          <w:i/>
        </w:rPr>
        <w:t xml:space="preserve"> </w:t>
      </w:r>
      <w:r>
        <w:rPr>
          <w:i/>
        </w:rPr>
        <w:t xml:space="preserve">, A</w:t>
      </w:r>
      <w:r>
        <w:t xml:space="preserve">). Expressive notations were added to the non-expressive sheet music for the experiment (</w:t>
      </w:r>
      <w:r>
        <w:rPr>
          <w:i/>
        </w:rPr>
        <w:t xml:space="preserve">Figure</w:t>
      </w:r>
      <w:r>
        <w:rPr>
          <w:i/>
        </w:rPr>
        <w:t xml:space="preserve"> </w:t>
      </w:r>
      <w:r>
        <w:rPr>
          <w:i/>
        </w:rPr>
        <w:t xml:space="preserve">, B-C</w:t>
      </w:r>
      <w:r>
        <w:t xml:space="preserve">). These excerpts were confirmed to be musically natural by a doctoral student in piano performance at Liszt Ferenc Academy of Music in Hungary. The fingering was also assigned and confirmed by the same doctoral student.</w:t>
      </w:r>
    </w:p>
    <w:bookmarkEnd w:id="43"/>
    <w:bookmarkStart w:id="44" w:name="procedure-2"/>
    <w:p>
      <w:pPr>
        <w:pStyle w:val="berschrift3"/>
      </w:pPr>
      <w:r>
        <w:t xml:space="preserve">3.1.3. Procedure.</w:t>
      </w:r>
    </w:p>
    <w:p>
      <w:pPr>
        <w:pStyle w:val="FirstParagraph"/>
      </w:pPr>
      <w:r>
        <w:t xml:space="preserve">We employed the same procedure as Experiment 1 with several modifications. First, all participants were required to memorise the piece without expressive notations (i.e.,</w:t>
      </w:r>
      <w:r>
        <w:t xml:space="preserve"> </w:t>
      </w:r>
      <w:r>
        <w:rPr>
          <w:i/>
        </w:rPr>
        <w:t xml:space="preserve">Figure</w:t>
      </w:r>
      <w:r>
        <w:rPr>
          <w:i/>
        </w:rPr>
        <w:t xml:space="preserve"> </w:t>
      </w:r>
      <w:r>
        <w:rPr>
          <w:i/>
        </w:rPr>
        <w:t xml:space="preserve">, A</w:t>
      </w:r>
      <w:r>
        <w:t xml:space="preserve">) prior to the experiment. Second, we modified the wording of instructions for the performing condition so that both instructions had the same focus on expressive notations (see details in</w:t>
      </w:r>
      <w:r>
        <w:t xml:space="preserve"> </w:t>
      </w:r>
      <w:hyperlink w:anchor="supplemental">
        <w:r>
          <w:rPr>
            <w:rStyle w:val="Hyperlink"/>
            <w:i/>
          </w:rPr>
          <w:t xml:space="preserve">Supplemental Materials</w:t>
        </w:r>
      </w:hyperlink>
      <w:r>
        <w:t xml:space="preserve">). Third, participants could choose their preferred tempo from one of the 3 options (100, 110 and 120 beats per minute) as a leading metronome. In order to make sure that participants memorised the piece and had sufficient motor skills, we asked participants to perform the piece without looking at the non-expressive sheet music. As Experiment 1, those who could not perform the piece twice consecutively within 5 attempts were excluded from data analysis (as a result, one participant was excluded). The rest of the procedure was identical to Experiment 1.</w:t>
      </w:r>
    </w:p>
    <w:bookmarkEnd w:id="44"/>
    <w:bookmarkStart w:id="46" w:name="design-and-data-analysis-1"/>
    <w:p>
      <w:pPr>
        <w:pStyle w:val="berschrift3"/>
      </w:pPr>
      <w:r>
        <w:t xml:space="preserve">3.1.4. Design and data analysis.</w:t>
      </w:r>
    </w:p>
    <w:p>
      <w:pPr>
        <w:pStyle w:val="FirstParagraph"/>
      </w:pPr>
      <w:r>
        <w:t xml:space="preserve">Data cleaning, preprocessing and statistical analysis were almost identical as Experiment 1. For statistical analysis, only 8th notes with expressive notations were included. As a result, only one 8th note in the 4th measure without any expression was not included to calculate dependent variables. IOIs were normalised by their preferred tempo because each participant chose different tempi from the 3 options. Key-overlap Ratio (KOR) was calculated by dividing KOT by the mean IOI of each performance in order to normalise KOT due to a different tempo for each participant.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sheet music. With the same method as Experiment 1, pitch errors were removed manually. For onsets, 3.32% of the trials contained at least one pitch error (extra notes; 1.66%, missing notes; 1.57%, substituted notes; 0.09%). For offsets, 5.11% of the trials contained at least one pitch error (extra notes; 1.66%, missing notes; 1.57%, substituted notes; 1.88%). Removed outliers (i.e., responses outside 3 standard deviations from the mean) were less than 5% of overall responses for each dependent variable.</w:t>
      </w:r>
    </w:p>
    <w:p>
      <w:pPr>
        <w:pStyle w:val="CaptionedFigure"/>
      </w:pPr>
      <w:r>
        <w:drawing>
          <wp:inline>
            <wp:extent cx="5969000" cy="7494277"/>
            <wp:effectExtent b="0" l="0" r="0" t="0"/>
            <wp:docPr descr="Figure 5:.  (A)Non-expressive sheet music. (B)Articulation. The curved line (slur) indicates legato and the dots indicate staccato. (C)Dynamics. The symbol f' denotes forte and the symbolp’ denotes piano. For data analysis, only the 8th notes were included." title="" id="1" name="Picture"/>
            <a:graphic>
              <a:graphicData uri="http://schemas.openxmlformats.org/drawingml/2006/picture">
                <pic:pic>
                  <pic:nvPicPr>
                    <pic:cNvPr descr="manuscript_files/figure-docx/stim-2-1.png" id="0" name="Picture"/>
                    <pic:cNvPicPr>
                      <a:picLocks noChangeArrowheads="1" noChangeAspect="1"/>
                    </pic:cNvPicPr>
                  </pic:nvPicPr>
                  <pic:blipFill>
                    <a:blip r:embed="rId45"/>
                    <a:stretch>
                      <a:fillRect/>
                    </a:stretch>
                  </pic:blipFill>
                  <pic:spPr bwMode="auto">
                    <a:xfrm>
                      <a:off x="0" y="0"/>
                      <a:ext cx="5969000" cy="749427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46"/>
    <w:bookmarkEnd w:id="47"/>
    <w:bookmarkStart w:id="51" w:name="results-articulation-1"/>
    <w:p>
      <w:pPr>
        <w:pStyle w:val="berschrift2"/>
      </w:pPr>
      <w:r>
        <w:t xml:space="preserve">3.2. Results (Articulation)</w:t>
      </w:r>
    </w:p>
    <w:p>
      <w:pPr>
        <w:pStyle w:val="FirstParagraph"/>
      </w:pPr>
      <w:r>
        <w:t xml:space="preserve">As Experiment 1, we first report results for performance of the piece with the notated expression of articulation (</w:t>
      </w:r>
      <w:r>
        <w:rPr>
          <w:i/>
        </w:rPr>
        <w:t xml:space="preserve">Figure</w:t>
      </w:r>
      <w:r>
        <w:rPr>
          <w:i/>
        </w:rPr>
        <w:t xml:space="preserve"> </w:t>
      </w:r>
      <w:r>
        <w:rPr>
          <w:i/>
        </w:rPr>
        <w:t xml:space="preserve">, B</w:t>
      </w:r>
      <w:r>
        <w:t xml:space="preserve">), followed by performance of the piece with the notated expression of dynamics (</w:t>
      </w:r>
      <w:r>
        <w:rPr>
          <w:i/>
        </w:rPr>
        <w:t xml:space="preserve">Figure</w:t>
      </w:r>
      <w:r>
        <w:rPr>
          <w:i/>
        </w:rPr>
        <w:t xml:space="preserve"> </w:t>
      </w:r>
      <w:r>
        <w:rPr>
          <w:i/>
        </w:rPr>
        <w:t xml:space="preserve">, C</w:t>
      </w:r>
      <w:r>
        <w:t xml:space="preserve">).</w:t>
      </w:r>
    </w:p>
    <w:bookmarkStart w:id="48" w:name="interonset-intervals-iois-2"/>
    <w:p>
      <w:pPr>
        <w:pStyle w:val="berschrift3"/>
      </w:pPr>
      <w:r>
        <w:t xml:space="preserve">3.2.1. Interonset Intervals (IOIs).</w:t>
      </w:r>
    </w:p>
    <w:p>
      <w:pPr>
        <w:pStyle w:val="FirstParagraph"/>
      </w:pPr>
      <w:r>
        <w:t xml:space="preserve">A paired-sample</w:t>
      </w:r>
      <w:r>
        <w:t xml:space="preserve"> </w:t>
      </w:r>
      <w:r>
        <w:rPr>
          <w:i/>
        </w:rPr>
        <w:t xml:space="preserve">t</w:t>
      </w:r>
      <w:r>
        <w:t xml:space="preserve">-test showed that participants played more slowly in the teaching condition [</w:t>
      </w:r>
      <w:r>
        <w:rPr>
          <w:i/>
        </w:rPr>
        <w:t xml:space="preserve">M</w:t>
      </w:r>
      <w:r>
        <w:t xml:space="preserve"> </w:t>
      </w:r>
      <w:r>
        <w:t xml:space="preserve">= 0.97,</w:t>
      </w:r>
      <w:r>
        <w:t xml:space="preserve"> </w:t>
      </w:r>
      <w:r>
        <w:rPr>
          <w:i/>
        </w:rPr>
        <w:t xml:space="preserve">SD</w:t>
      </w:r>
      <w:r>
        <w:t xml:space="preserve"> </w:t>
      </w:r>
      <w:r>
        <w:t xml:space="preserve">= 0.042] than in the performing condition [</w:t>
      </w:r>
      <w:r>
        <w:rPr>
          <w:i/>
        </w:rPr>
        <w:t xml:space="preserve">M</w:t>
      </w:r>
      <w:r>
        <w:t xml:space="preserve"> </w:t>
      </w:r>
      <w:r>
        <w:t xml:space="preserve">= 0.96,</w:t>
      </w:r>
      <w:r>
        <w:t xml:space="preserve"> </w:t>
      </w:r>
      <w:r>
        <w:rPr>
          <w:i/>
        </w:rPr>
        <w:t xml:space="preserve">SD</w:t>
      </w:r>
      <w:r>
        <w:t xml:space="preserve"> </w:t>
      </w:r>
      <w:r>
        <w:t xml:space="preserve">= 0.034] while playing the piece with notated articulation (</w:t>
      </w:r>
      <w:r>
        <w:rPr>
          <w:i/>
        </w:rPr>
        <w:t xml:space="preserve">t</w:t>
      </w:r>
      <w:r>
        <w:t xml:space="preserve">(18) = 2.64</w:t>
      </w:r>
      <w:r>
        <w:t xml:space="preserve"> </w:t>
      </w:r>
      <w:r>
        <w:t xml:space="preserve">,</w:t>
      </w:r>
      <w:r>
        <w:t xml:space="preserve"> </w:t>
      </w:r>
      <w:r>
        <w:rPr>
          <w:i/>
        </w:rPr>
        <w:t xml:space="preserve">p</w:t>
      </w:r>
      <w:r>
        <w:t xml:space="preserve"> </w:t>
      </w:r>
      <w:r>
        <w:t xml:space="preserve">= 0.017;</w:t>
      </w:r>
      <w:r>
        <w:t xml:space="preserve"> </w:t>
      </w:r>
      <w:r>
        <w:rPr>
          <w:i/>
        </w:rPr>
        <w:t xml:space="preserve">Figure</w:t>
      </w:r>
      <w:r>
        <w:rPr>
          <w:i/>
        </w:rPr>
        <w:t xml:space="preserve"> </w:t>
      </w:r>
      <w:r>
        <w:t xml:space="preserve">). A Wiscoxon Signed-rank test also confirmed that there was a significant difference between the two condition (</w:t>
      </w:r>
      <w:r>
        <w:rPr>
          <w:i/>
        </w:rPr>
        <w:t xml:space="preserve">p</w:t>
      </w:r>
      <w:r>
        <w:t xml:space="preserve"> </w:t>
      </w:r>
      <w:r>
        <w:t xml:space="preserve">= 0.026).</w:t>
      </w:r>
    </w:p>
    <w:bookmarkEnd w:id="48"/>
    <w:bookmarkStart w:id="49" w:name="key-overlap-ratio-kor"/>
    <w:p>
      <w:pPr>
        <w:pStyle w:val="berschrift3"/>
      </w:pPr>
      <w:r>
        <w:t xml:space="preserve">3.2.2. Key-Overlap Ratio (KOR).</w:t>
      </w:r>
    </w:p>
    <w:p>
      <w:pPr>
        <w:pStyle w:val="FirstParagraph"/>
      </w:pPr>
      <w:r>
        <w:t xml:space="preserve">A two-way repeated-measures ANOVA with the factors Condition (teaching vs. performing) and Subcomponent-LS (legato vs. staccato) showed that there was a significant main effect of Subcomponent-LS (</w:t>
      </w:r>
      <w:r>
        <w:rPr>
          <w:i/>
        </w:rPr>
        <w:t xml:space="preserve">F</w:t>
      </w:r>
      <w:r>
        <w:t xml:space="preserve">(1,18) = 2324,</w:t>
      </w:r>
      <w:r>
        <w:t xml:space="preserve"> </w:t>
      </w:r>
      <w:r>
        <w:rPr>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Subcomponent-LS (</w:t>
      </w:r>
      <w:r>
        <w:rPr>
          <w:i/>
        </w:rPr>
        <w:t xml:space="preserve">F</w:t>
      </w:r>
      <w:r>
        <w:t xml:space="preserve">(1,18) = 6.90,</w:t>
      </w:r>
      <w:r>
        <w:t xml:space="preserve"> </w:t>
      </w:r>
      <w:r>
        <w:rPr>
          <w:i/>
        </w:rPr>
        <w:t xml:space="preserve">p</w:t>
      </w:r>
      <w:r>
        <w:t xml:space="preserve"> </w:t>
      </w:r>
      <w:r>
        <w:t xml:space="preserve">= 0.017,</w:t>
      </w:r>
      <w:r>
        <w:t xml:space="preserve"> </w:t>
      </w:r>
      <m:oMath>
        <m:sSubSup>
          <m:e>
            <m:r>
              <m:t>η</m:t>
            </m:r>
          </m:e>
          <m:sub>
            <m:r>
              <m:t>G</m:t>
            </m:r>
          </m:sub>
          <m:sup>
            <m:r>
              <m:t>2</m:t>
            </m:r>
          </m:sup>
        </m:sSubSup>
      </m:oMath>
      <w:r>
        <w:t xml:space="preserve"> </w:t>
      </w:r>
      <w:r>
        <w:t xml:space="preserve">= 0.01;</w:t>
      </w:r>
      <w:r>
        <w:t xml:space="preserve"> </w:t>
      </w:r>
      <w:r>
        <w:rPr>
          <w:i/>
        </w:rPr>
        <w:t xml:space="preserve">Figure</w:t>
      </w:r>
      <w:r>
        <w:rPr>
          <w:i/>
        </w:rPr>
        <w:t xml:space="preserve"> </w:t>
      </w:r>
      <w:r>
        <w:t xml:space="preserve">). Post-hoc comparisons based on the estimated marginal means with Tukey adjustment showed that participants produced shorter staccato in the teaching condition [</w:t>
      </w:r>
      <w:r>
        <w:rPr>
          <w:i/>
        </w:rPr>
        <w:t xml:space="preserve">M</w:t>
      </w:r>
      <w:r>
        <w:t xml:space="preserve"> </w:t>
      </w:r>
      <w:r>
        <w:t xml:space="preserve">= -0.77,</w:t>
      </w:r>
      <w:r>
        <w:t xml:space="preserve"> </w:t>
      </w:r>
      <w:r>
        <w:rPr>
          <w:i/>
        </w:rPr>
        <w:t xml:space="preserve">SD</w:t>
      </w:r>
      <w:r>
        <w:t xml:space="preserve"> </w:t>
      </w:r>
      <w:r>
        <w:t xml:space="preserve">= 0.06] than in the performing condition [</w:t>
      </w:r>
      <w:r>
        <w:rPr>
          <w:i/>
        </w:rPr>
        <w:t xml:space="preserve">M</w:t>
      </w:r>
      <w:r>
        <w:t xml:space="preserve"> </w:t>
      </w:r>
      <w:r>
        <w:t xml:space="preserve">= -0.74,</w:t>
      </w:r>
      <w:r>
        <w:t xml:space="preserve"> </w:t>
      </w:r>
      <w:r>
        <w:rPr>
          <w:i/>
        </w:rPr>
        <w:t xml:space="preserve">SD</w:t>
      </w:r>
      <w:r>
        <w:t xml:space="preserve"> </w:t>
      </w:r>
      <w:r>
        <w:t xml:space="preserve">= 0.04] (</w:t>
      </w:r>
      <w:r>
        <w:rPr>
          <w:i/>
        </w:rPr>
        <w:t xml:space="preserve">p</w:t>
      </w:r>
      <w:r>
        <w:t xml:space="preserve"> </w:t>
      </w:r>
      <w:r>
        <w:t xml:space="preserve">= 0.001) while there was no significant difference in legato between the teaching [</w:t>
      </w:r>
      <w:r>
        <w:rPr>
          <w:i/>
        </w:rPr>
        <w:t xml:space="preserve">M</w:t>
      </w:r>
      <w:r>
        <w:t xml:space="preserve"> </w:t>
      </w:r>
      <w:r>
        <w:t xml:space="preserve">= 0.12,</w:t>
      </w:r>
      <w:r>
        <w:t xml:space="preserve"> </w:t>
      </w:r>
      <w:r>
        <w:rPr>
          <w:i/>
        </w:rPr>
        <w:t xml:space="preserve">SD</w:t>
      </w:r>
      <w:r>
        <w:t xml:space="preserve"> </w:t>
      </w:r>
      <w:r>
        <w:t xml:space="preserve">= 0.07] and performing condition[</w:t>
      </w:r>
      <w:r>
        <w:rPr>
          <w:i/>
        </w:rPr>
        <w:t xml:space="preserve">M</w:t>
      </w:r>
      <w:r>
        <w:t xml:space="preserve"> </w:t>
      </w:r>
      <w:r>
        <w:t xml:space="preserve">= 0.12,</w:t>
      </w:r>
      <w:r>
        <w:t xml:space="preserve"> </w:t>
      </w:r>
      <w:r>
        <w:rPr>
          <w:i/>
        </w:rPr>
        <w:t xml:space="preserve">SD</w:t>
      </w:r>
      <w:r>
        <w:t xml:space="preserve"> </w:t>
      </w:r>
      <w:r>
        <w:t xml:space="preserve">= 0.07] (</w:t>
      </w:r>
      <w:r>
        <w:rPr>
          <w:i/>
        </w:rPr>
        <w:t xml:space="preserve">p</w:t>
      </w:r>
      <w:r>
        <w:t xml:space="preserve"> </w:t>
      </w:r>
      <w:r>
        <w:t xml:space="preserve">= 0.85).</w:t>
      </w:r>
    </w:p>
    <w:bookmarkEnd w:id="49"/>
    <w:bookmarkStart w:id="50" w:name="key-velocity-kv-2"/>
    <w:p>
      <w:pPr>
        <w:pStyle w:val="berschrift3"/>
      </w:pPr>
      <w:r>
        <w:t xml:space="preserve">3.2.3. Key Velocity (KV).</w:t>
      </w:r>
    </w:p>
    <w:p>
      <w:pPr>
        <w:pStyle w:val="FirstParagraph"/>
      </w:pPr>
      <w:r>
        <w:t xml:space="preserve">A two-way repeated-measures ANOVA with the factors Condition (teaching vs. performing) and Subcomponent-LS (legato vs. staccato) showed that there was a significant main effect of Subcomponent-LS (</w:t>
      </w:r>
      <w:r>
        <w:rPr>
          <w:i/>
        </w:rPr>
        <w:t xml:space="preserve">F</w:t>
      </w:r>
      <w:r>
        <w:t xml:space="preserve">(1,18) = 8.15,</w:t>
      </w:r>
      <w:r>
        <w:t xml:space="preserve"> </w:t>
      </w:r>
      <w:r>
        <w:rPr>
          <w:i/>
        </w:rPr>
        <w:t xml:space="preserve">p</w:t>
      </w:r>
      <w:r>
        <w:t xml:space="preserve"> </w:t>
      </w:r>
      <w:r>
        <w:t xml:space="preserve">= 0.011,</w:t>
      </w:r>
      <w:r>
        <w:t xml:space="preserve"> </w:t>
      </w:r>
      <m:oMath>
        <m:sSubSup>
          <m:e>
            <m:r>
              <m:t>η</m:t>
            </m:r>
          </m:e>
          <m:sub>
            <m:r>
              <m:t>G</m:t>
            </m:r>
          </m:sub>
          <m:sup>
            <m:r>
              <m:t>2</m:t>
            </m:r>
          </m:sup>
        </m:sSubSup>
      </m:oMath>
      <w:r>
        <w:t xml:space="preserve"> </w:t>
      </w:r>
      <w:r>
        <w:t xml:space="preserve">= 0.04;</w:t>
      </w:r>
      <w:r>
        <w:t xml:space="preserve"> </w:t>
      </w:r>
      <w:r>
        <w:rPr>
          <w:i/>
        </w:rPr>
        <w:t xml:space="preserve">Figure</w:t>
      </w:r>
      <w:r>
        <w:rPr>
          <w:i/>
        </w:rPr>
        <w:t xml:space="preserve"> </w:t>
      </w:r>
      <w:r>
        <w:t xml:space="preserve">), reflecting louder sound for legato notes compared to staccato notes. Neither the main effect of Condition (</w:t>
      </w:r>
      <w:r>
        <w:rPr>
          <w:i/>
        </w:rPr>
        <w:t xml:space="preserve">F</w:t>
      </w:r>
      <w:r>
        <w:t xml:space="preserve">(1,18) = 0.46,</w:t>
      </w:r>
      <w:r>
        <w:t xml:space="preserve"> </w:t>
      </w:r>
      <w:r>
        <w:rPr>
          <w:i/>
        </w:rPr>
        <w:t xml:space="preserve">p</w:t>
      </w:r>
      <w:r>
        <w:t xml:space="preserve"> </w:t>
      </w:r>
      <w:r>
        <w:t xml:space="preserve">= 0.51,</w:t>
      </w:r>
      <w:r>
        <w:t xml:space="preserve"> </w:t>
      </w:r>
      <m:oMath>
        <m:sSubSup>
          <m:e>
            <m:r>
              <m:t>η</m:t>
            </m:r>
          </m:e>
          <m:sub>
            <m:r>
              <m:t>G</m:t>
            </m:r>
          </m:sub>
          <m:sup>
            <m:r>
              <m:t>2</m:t>
            </m:r>
          </m:sup>
        </m:sSubSup>
      </m:oMath>
      <w:r>
        <w:t xml:space="preserve"> </w:t>
      </w:r>
      <w:r>
        <w:t xml:space="preserve">= 0.001) nor the interaction between Condition and Subcomponent-LS (</w:t>
      </w:r>
      <w:r>
        <w:rPr>
          <w:i/>
        </w:rPr>
        <w:t xml:space="preserve">F</w:t>
      </w:r>
      <w:r>
        <w:t xml:space="preserve">(1,18) = 8.15,</w:t>
      </w:r>
      <w:r>
        <w:t xml:space="preserve"> </w:t>
      </w:r>
      <w:r>
        <w:rPr>
          <w:i/>
        </w:rPr>
        <w:t xml:space="preserve">p</w:t>
      </w:r>
      <w:r>
        <w:t xml:space="preserve"> </w:t>
      </w:r>
      <w:r>
        <w:t xml:space="preserve">= 0.80,</w:t>
      </w:r>
      <w:r>
        <w:t xml:space="preserve"> </w:t>
      </w:r>
      <m:oMath>
        <m:sSubSup>
          <m:e>
            <m:r>
              <m:t>η</m:t>
            </m:r>
          </m:e>
          <m:sub>
            <m:r>
              <m:t>G</m:t>
            </m:r>
          </m:sub>
          <m:sup>
            <m:r>
              <m:t>2</m:t>
            </m:r>
          </m:sup>
        </m:sSubSup>
      </m:oMath>
      <w:r>
        <w:t xml:space="preserve"> </w:t>
      </w:r>
      <w:r>
        <w:t xml:space="preserve">= 0.000).</w:t>
      </w:r>
    </w:p>
    <w:bookmarkEnd w:id="50"/>
    <w:bookmarkEnd w:id="51"/>
    <w:bookmarkStart w:id="56" w:name="results-dynamics-1"/>
    <w:p>
      <w:pPr>
        <w:pStyle w:val="berschrift2"/>
      </w:pPr>
      <w:r>
        <w:t xml:space="preserve">3.3. Results (Dynamics)</w:t>
      </w:r>
    </w:p>
    <w:bookmarkStart w:id="52" w:name="interonset-intervals-iois-3"/>
    <w:p>
      <w:pPr>
        <w:pStyle w:val="berschrift3"/>
      </w:pPr>
      <w:r>
        <w:t xml:space="preserve">3.3.1. Interonset Intervals (IOIs).</w:t>
      </w:r>
    </w:p>
    <w:p>
      <w:pPr>
        <w:pStyle w:val="FirstParagraph"/>
      </w:pPr>
      <w:r>
        <w:t xml:space="preserve">A paired-sample</w:t>
      </w:r>
      <w:r>
        <w:t xml:space="preserve"> </w:t>
      </w:r>
      <w:r>
        <w:rPr>
          <w:i/>
        </w:rPr>
        <w:t xml:space="preserve">t</w:t>
      </w:r>
      <w:r>
        <w:t xml:space="preserve">-test showed no significant difference between the teaching condition [</w:t>
      </w:r>
      <w:r>
        <w:rPr>
          <w:i/>
        </w:rPr>
        <w:t xml:space="preserve">M</w:t>
      </w:r>
      <w:r>
        <w:t xml:space="preserve"> </w:t>
      </w:r>
      <w:r>
        <w:t xml:space="preserve">= 0.96,</w:t>
      </w:r>
      <w:r>
        <w:t xml:space="preserve"> </w:t>
      </w:r>
      <w:r>
        <w:rPr>
          <w:i/>
        </w:rPr>
        <w:t xml:space="preserve">SD</w:t>
      </w:r>
      <w:r>
        <w:t xml:space="preserve"> </w:t>
      </w:r>
      <w:r>
        <w:t xml:space="preserve">= 0.041] and the performing condition [</w:t>
      </w:r>
      <w:r>
        <w:rPr>
          <w:i/>
        </w:rPr>
        <w:t xml:space="preserve">M</w:t>
      </w:r>
      <w:r>
        <w:t xml:space="preserve"> </w:t>
      </w:r>
      <w:r>
        <w:t xml:space="preserve">= 0.96,</w:t>
      </w:r>
      <w:r>
        <w:t xml:space="preserve"> </w:t>
      </w:r>
      <w:r>
        <w:rPr>
          <w:i/>
        </w:rPr>
        <w:t xml:space="preserve">SD</w:t>
      </w:r>
      <w:r>
        <w:t xml:space="preserve"> </w:t>
      </w:r>
      <w:r>
        <w:t xml:space="preserve">= 0.037] while playing the piece with notated articulation (</w:t>
      </w:r>
      <w:r>
        <w:rPr>
          <w:i/>
        </w:rPr>
        <w:t xml:space="preserve">t</w:t>
      </w:r>
      <w:r>
        <w:t xml:space="preserve">(18) = 0.37,</w:t>
      </w:r>
      <w:r>
        <w:t xml:space="preserve"> </w:t>
      </w:r>
      <w:r>
        <w:rPr>
          <w:i/>
        </w:rPr>
        <w:t xml:space="preserve">p</w:t>
      </w:r>
      <w:r>
        <w:t xml:space="preserve"> </w:t>
      </w:r>
      <w:r>
        <w:t xml:space="preserve">= 0.72;</w:t>
      </w:r>
      <w:r>
        <w:t xml:space="preserve"> </w:t>
      </w:r>
      <w:r>
        <w:rPr>
          <w:i/>
        </w:rPr>
        <w:t xml:space="preserve">Figure</w:t>
      </w:r>
      <w:r>
        <w:rPr>
          <w:i/>
        </w:rPr>
        <w:t xml:space="preserve"> </w:t>
      </w:r>
      <w:r>
        <w:t xml:space="preserve">). A Wiscoxon Signed-rank test also confirmed that there was no significant difference between the two condition (</w:t>
      </w:r>
      <w:r>
        <w:rPr>
          <w:i/>
        </w:rPr>
        <w:t xml:space="preserve">p</w:t>
      </w:r>
      <w:r>
        <w:t xml:space="preserve"> </w:t>
      </w:r>
      <w:r>
        <w:t xml:space="preserve">= 0.92).</w:t>
      </w:r>
    </w:p>
    <w:bookmarkEnd w:id="52"/>
    <w:bookmarkStart w:id="53" w:name="key-velocity-kv-3"/>
    <w:p>
      <w:pPr>
        <w:pStyle w:val="berschrift3"/>
      </w:pPr>
      <w:r>
        <w:t xml:space="preserve">3.3.2. Key Velocity (KV).</w:t>
      </w:r>
    </w:p>
    <w:p>
      <w:pPr>
        <w:pStyle w:val="FirstParagraph"/>
      </w:pPr>
      <w:r>
        <w:t xml:space="preserve">A two-way repeated-measures ANOVA with the factors Condition (teaching vs. performing) and Subcomponent-FP (forte vs. piano) showed that there was a significant main effect of Subcomponent-FP (</w:t>
      </w:r>
      <w:r>
        <w:rPr>
          <w:i/>
        </w:rPr>
        <w:t xml:space="preserve">F</w:t>
      </w:r>
      <w:r>
        <w:t xml:space="preserve">(1,18) = 126,</w:t>
      </w:r>
      <w:r>
        <w:t xml:space="preserve"> </w:t>
      </w:r>
      <w:r>
        <w:rPr>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Subcomponent-FP (</w:t>
      </w:r>
      <w:r>
        <w:rPr>
          <w:i/>
        </w:rPr>
        <w:t xml:space="preserve">F</w:t>
      </w:r>
      <w:r>
        <w:t xml:space="preserve">(1,18) = 6.11,</w:t>
      </w:r>
      <w:r>
        <w:t xml:space="preserve"> </w:t>
      </w:r>
      <w:r>
        <w:rPr>
          <w:i/>
        </w:rPr>
        <w:t xml:space="preserve">p</w:t>
      </w:r>
      <w:r>
        <w:t xml:space="preserve"> </w:t>
      </w:r>
      <w:r>
        <w:t xml:space="preserve">= 0.024,</w:t>
      </w:r>
      <w:r>
        <w:t xml:space="preserve"> </w:t>
      </w:r>
      <m:oMath>
        <m:sSubSup>
          <m:e>
            <m:r>
              <m:t>η</m:t>
            </m:r>
          </m:e>
          <m:sub>
            <m:r>
              <m:t>G</m:t>
            </m:r>
          </m:sub>
          <m:sup>
            <m:r>
              <m:t>2</m:t>
            </m:r>
          </m:sup>
        </m:sSubSup>
      </m:oMath>
      <w:r>
        <w:t xml:space="preserve"> </w:t>
      </w:r>
      <w:r>
        <w:t xml:space="preserve">= 0.022;</w:t>
      </w:r>
      <w:r>
        <w:t xml:space="preserve"> </w:t>
      </w:r>
      <w:r>
        <w:rPr>
          <w:i/>
        </w:rPr>
        <w:t xml:space="preserve">Figure</w:t>
      </w:r>
      <w:r>
        <w:rPr>
          <w:i/>
        </w:rPr>
        <w:t xml:space="preserve"> </w:t>
      </w:r>
      <w:r>
        <w:t xml:space="preserve">). Post-hoc comparisons based on the estimated marginal means with Tukey adjustment revealed that participants produced louder forte and softer piano in the teaching condition [Forte;</w:t>
      </w:r>
      <w:r>
        <w:t xml:space="preserve"> </w:t>
      </w:r>
      <w:r>
        <w:rPr>
          <w:i/>
        </w:rPr>
        <w:t xml:space="preserve">M</w:t>
      </w:r>
      <w:r>
        <w:t xml:space="preserve"> </w:t>
      </w:r>
      <w:r>
        <w:t xml:space="preserve">= 82.55,</w:t>
      </w:r>
      <w:r>
        <w:t xml:space="preserve"> </w:t>
      </w:r>
      <w:r>
        <w:rPr>
          <w:i/>
        </w:rPr>
        <w:t xml:space="preserve">SD</w:t>
      </w:r>
      <w:r>
        <w:t xml:space="preserve"> </w:t>
      </w:r>
      <w:r>
        <w:t xml:space="preserve">= 8.57, Piano;</w:t>
      </w:r>
      <w:r>
        <w:t xml:space="preserve"> </w:t>
      </w:r>
      <w:r>
        <w:rPr>
          <w:i/>
        </w:rPr>
        <w:t xml:space="preserve">M</w:t>
      </w:r>
      <w:r>
        <w:t xml:space="preserve"> </w:t>
      </w:r>
      <w:r>
        <w:t xml:space="preserve">= 60.41,</w:t>
      </w:r>
      <w:r>
        <w:t xml:space="preserve"> </w:t>
      </w:r>
      <w:r>
        <w:rPr>
          <w:i/>
        </w:rPr>
        <w:t xml:space="preserve">SD</w:t>
      </w:r>
      <w:r>
        <w:t xml:space="preserve"> </w:t>
      </w:r>
      <w:r>
        <w:t xml:space="preserve">= 3.83] than in the performing condition [Forte;</w:t>
      </w:r>
      <w:r>
        <w:t xml:space="preserve"> </w:t>
      </w:r>
      <w:r>
        <w:rPr>
          <w:i/>
        </w:rPr>
        <w:t xml:space="preserve">M</w:t>
      </w:r>
      <w:r>
        <w:t xml:space="preserve"> </w:t>
      </w:r>
      <w:r>
        <w:t xml:space="preserve">= 80.71,</w:t>
      </w:r>
      <w:r>
        <w:t xml:space="preserve"> </w:t>
      </w:r>
      <w:r>
        <w:rPr>
          <w:i/>
        </w:rPr>
        <w:t xml:space="preserve">SD</w:t>
      </w:r>
      <w:r>
        <w:t xml:space="preserve"> </w:t>
      </w:r>
      <w:r>
        <w:t xml:space="preserve">= 7.53, Piano;</w:t>
      </w:r>
      <w:r>
        <w:t xml:space="preserve"> </w:t>
      </w:r>
      <w:r>
        <w:rPr>
          <w:i/>
        </w:rPr>
        <w:t xml:space="preserve">M</w:t>
      </w:r>
      <w:r>
        <w:t xml:space="preserve"> </w:t>
      </w:r>
      <w:r>
        <w:t xml:space="preserve">= 62.34,</w:t>
      </w:r>
      <w:r>
        <w:t xml:space="preserve"> </w:t>
      </w:r>
      <w:r>
        <w:rPr>
          <w:i/>
        </w:rPr>
        <w:t xml:space="preserve">SD</w:t>
      </w:r>
      <w:r>
        <w:t xml:space="preserve"> </w:t>
      </w:r>
      <w:r>
        <w:t xml:space="preserve">= 4.93] than in the performing condition (Forte;</w:t>
      </w:r>
      <w:r>
        <w:t xml:space="preserve"> </w:t>
      </w:r>
      <w:r>
        <w:rPr>
          <w:i/>
        </w:rPr>
        <w:t xml:space="preserve">p</w:t>
      </w:r>
      <w:r>
        <w:t xml:space="preserve"> </w:t>
      </w:r>
      <w:r>
        <w:t xml:space="preserve">= 0.036, Piano;</w:t>
      </w:r>
      <w:r>
        <w:t xml:space="preserve"> </w:t>
      </w:r>
      <w:r>
        <w:rPr>
          <w:i/>
        </w:rPr>
        <w:t xml:space="preserve">p</w:t>
      </w:r>
      <w:r>
        <w:t xml:space="preserve"> </w:t>
      </w:r>
      <w:r>
        <w:t xml:space="preserve">= 0.028).</w:t>
      </w:r>
    </w:p>
    <w:bookmarkEnd w:id="53"/>
    <w:bookmarkStart w:id="54" w:name="kv-transition-points-1"/>
    <w:p>
      <w:pPr>
        <w:pStyle w:val="berschrift3"/>
      </w:pPr>
      <w:r>
        <w:t xml:space="preserve">3.3.3. KV Transition Points.</w:t>
      </w:r>
    </w:p>
    <w:p>
      <w:pPr>
        <w:pStyle w:val="FirstParagraph"/>
      </w:pPr>
      <w:r>
        <w:t xml:space="preserve">A two-way repeated-measures ANOVA with the factors Condition (teaching vs. performing) and Subcomponent-FP (FtoP vs. PtoF) showed that there was a significant main effect of Subcomponent-FP (</w:t>
      </w:r>
      <w:r>
        <w:rPr>
          <w:i/>
        </w:rPr>
        <w:t xml:space="preserve">F</w:t>
      </w:r>
      <w:r>
        <w:t xml:space="preserve">(1,18) = 111,</w:t>
      </w:r>
      <w:r>
        <w:t xml:space="preserve"> </w:t>
      </w:r>
      <w:r>
        <w:rPr>
          <w:i/>
        </w:rPr>
        <w:t xml:space="preserve">p</w:t>
      </w:r>
      <w:r>
        <w:t xml:space="preserve"> </w:t>
      </w:r>
      <w:r>
        <w:t xml:space="preserve">&lt; 0.001,</w:t>
      </w:r>
      <w:r>
        <w:t xml:space="preserve"> </w:t>
      </w:r>
      <m:oMath>
        <m:sSubSup>
          <m:e>
            <m:r>
              <m:t>η</m:t>
            </m:r>
          </m:e>
          <m:sub>
            <m:r>
              <m:t>G</m:t>
            </m:r>
          </m:sub>
          <m:sup>
            <m:r>
              <m:t>2</m:t>
            </m:r>
          </m:sup>
        </m:sSubSup>
      </m:oMath>
      <w:r>
        <w:t xml:space="preserve"> </w:t>
      </w:r>
      <w:r>
        <w:t xml:space="preserve">= 0.82) and a significant interaction of Condition and Subcomponent-FP (</w:t>
      </w:r>
      <w:r>
        <w:rPr>
          <w:i/>
        </w:rPr>
        <w:t xml:space="preserve">F</w:t>
      </w:r>
      <w:r>
        <w:t xml:space="preserve">(1,18) = 9.77,</w:t>
      </w:r>
      <w:r>
        <w:t xml:space="preserve"> </w:t>
      </w:r>
      <w:r>
        <w:rPr>
          <w:i/>
        </w:rPr>
        <w:t xml:space="preserve">p</w:t>
      </w:r>
      <w:r>
        <w:t xml:space="preserve"> </w:t>
      </w:r>
      <w:r>
        <w:t xml:space="preserve">= 0.006,</w:t>
      </w:r>
      <w:r>
        <w:t xml:space="preserve"> </w:t>
      </w:r>
      <m:oMath>
        <m:sSubSup>
          <m:e>
            <m:r>
              <m:t>η</m:t>
            </m:r>
          </m:e>
          <m:sub>
            <m:r>
              <m:t>G</m:t>
            </m:r>
          </m:sub>
          <m:sup>
            <m:r>
              <m:t>2</m:t>
            </m:r>
          </m:sup>
        </m:sSubSup>
      </m:oMath>
      <w:r>
        <w:t xml:space="preserve"> </w:t>
      </w:r>
      <w:r>
        <w:t xml:space="preserve">= 0.064;</w:t>
      </w:r>
      <w:r>
        <w:t xml:space="preserve"> </w:t>
      </w:r>
      <w:r>
        <w:rPr>
          <w:i/>
        </w:rPr>
        <w:t xml:space="preserve">Figure</w:t>
      </w:r>
      <w:r>
        <w:rPr>
          <w:i/>
        </w:rPr>
        <w:t xml:space="preserve"> </w:t>
      </w:r>
      <w:r>
        <w:t xml:space="preserve">). Post-hoc comparisons based on the estimated marginal means with Tukey adjustment showed that there was a larger KV difference when the expressive notation changed from forte to piano and from piano to forte in the teaching condition [FtoP;</w:t>
      </w:r>
      <w:r>
        <w:t xml:space="preserve"> </w:t>
      </w:r>
      <w:r>
        <w:rPr>
          <w:i/>
        </w:rPr>
        <w:t xml:space="preserve">M</w:t>
      </w:r>
      <w:r>
        <w:t xml:space="preserve"> </w:t>
      </w:r>
      <w:r>
        <w:t xml:space="preserve">= -17.35,</w:t>
      </w:r>
      <w:r>
        <w:t xml:space="preserve"> </w:t>
      </w:r>
      <w:r>
        <w:rPr>
          <w:i/>
        </w:rPr>
        <w:t xml:space="preserve">SD</w:t>
      </w:r>
      <w:r>
        <w:t xml:space="preserve"> </w:t>
      </w:r>
      <w:r>
        <w:t xml:space="preserve">= 8.46, PtoF;</w:t>
      </w:r>
      <w:r>
        <w:t xml:space="preserve"> </w:t>
      </w:r>
      <w:r>
        <w:rPr>
          <w:i/>
        </w:rPr>
        <w:t xml:space="preserve">M</w:t>
      </w:r>
      <w:r>
        <w:t xml:space="preserve"> </w:t>
      </w:r>
      <w:r>
        <w:t xml:space="preserve">= 20.60,</w:t>
      </w:r>
      <w:r>
        <w:t xml:space="preserve"> </w:t>
      </w:r>
      <w:r>
        <w:rPr>
          <w:i/>
        </w:rPr>
        <w:t xml:space="preserve">SD</w:t>
      </w:r>
      <w:r>
        <w:t xml:space="preserve"> </w:t>
      </w:r>
      <w:r>
        <w:t xml:space="preserve">= 9.10] than in the performing condition [FtoP;</w:t>
      </w:r>
      <w:r>
        <w:t xml:space="preserve"> </w:t>
      </w:r>
      <w:r>
        <w:rPr>
          <w:i/>
        </w:rPr>
        <w:t xml:space="preserve">M</w:t>
      </w:r>
      <w:r>
        <w:t xml:space="preserve"> </w:t>
      </w:r>
      <w:r>
        <w:t xml:space="preserve">= -13.71,</w:t>
      </w:r>
      <w:r>
        <w:t xml:space="preserve"> </w:t>
      </w:r>
      <w:r>
        <w:rPr>
          <w:i/>
        </w:rPr>
        <w:t xml:space="preserve">SD</w:t>
      </w:r>
      <w:r>
        <w:t xml:space="preserve"> </w:t>
      </w:r>
      <w:r>
        <w:t xml:space="preserve">= 7.73, PtoF;</w:t>
      </w:r>
      <w:r>
        <w:t xml:space="preserve"> </w:t>
      </w:r>
      <w:r>
        <w:rPr>
          <w:i/>
        </w:rPr>
        <w:t xml:space="preserve">M</w:t>
      </w:r>
      <w:r>
        <w:t xml:space="preserve"> </w:t>
      </w:r>
      <w:r>
        <w:t xml:space="preserve">= 15.87,</w:t>
      </w:r>
      <w:r>
        <w:t xml:space="preserve"> </w:t>
      </w:r>
      <w:r>
        <w:rPr>
          <w:i/>
        </w:rPr>
        <w:t xml:space="preserve">SD</w:t>
      </w:r>
      <w:r>
        <w:t xml:space="preserve"> </w:t>
      </w:r>
      <w:r>
        <w:t xml:space="preserve">= 7.47] (FtoP;</w:t>
      </w:r>
      <w:r>
        <w:t xml:space="preserve"> </w:t>
      </w:r>
      <w:r>
        <w:rPr>
          <w:i/>
        </w:rPr>
        <w:t xml:space="preserve">p</w:t>
      </w:r>
      <w:r>
        <w:t xml:space="preserve"> </w:t>
      </w:r>
      <w:r>
        <w:t xml:space="preserve">= 0.017, PtoF;</w:t>
      </w:r>
      <w:r>
        <w:t xml:space="preserve"> </w:t>
      </w:r>
      <w:r>
        <w:rPr>
          <w:i/>
        </w:rPr>
        <w:t xml:space="preserve">p</w:t>
      </w:r>
      <w:r>
        <w:t xml:space="preserve"> </w:t>
      </w:r>
      <w:r>
        <w:t xml:space="preserve">= 0.003).</w:t>
      </w:r>
    </w:p>
    <w:bookmarkEnd w:id="54"/>
    <w:bookmarkStart w:id="55" w:name="key-overlap-ratio-kor-1"/>
    <w:p>
      <w:pPr>
        <w:pStyle w:val="berschrift3"/>
      </w:pPr>
      <w:r>
        <w:t xml:space="preserve">3.3.4. Key-Overlap Ratio (KOR).</w:t>
      </w:r>
    </w:p>
    <w:p>
      <w:pPr>
        <w:pStyle w:val="FirstParagraph"/>
      </w:pPr>
      <w:r>
        <w:t xml:space="preserve">A two-way repeated-measures ANOVA with the factors Condition (teaching vs. performing) and Subcomponent-FP (forte vs. piano) showed that there was a significant main effect of Subcomponent-FP (</w:t>
      </w:r>
      <w:r>
        <w:rPr>
          <w:i/>
        </w:rPr>
        <w:t xml:space="preserve">F</w:t>
      </w:r>
      <w:r>
        <w:t xml:space="preserve">(1,18) = 559,</w:t>
      </w:r>
      <w:r>
        <w:t xml:space="preserve"> </w:t>
      </w:r>
      <w:r>
        <w:rPr>
          <w:i/>
        </w:rPr>
        <w:t xml:space="preserve">p</w:t>
      </w:r>
      <w:r>
        <w:t xml:space="preserve"> </w:t>
      </w:r>
      <w:r>
        <w:t xml:space="preserve">&lt; 0.001,</w:t>
      </w:r>
      <w:r>
        <w:t xml:space="preserve"> </w:t>
      </w:r>
      <m:oMath>
        <m:sSubSup>
          <m:e>
            <m:r>
              <m:t>η</m:t>
            </m:r>
          </m:e>
          <m:sub>
            <m:r>
              <m:t>G</m:t>
            </m:r>
          </m:sub>
          <m:sup>
            <m:r>
              <m:t>2</m:t>
            </m:r>
          </m:sup>
        </m:sSubSup>
      </m:oMath>
      <w:r>
        <w:t xml:space="preserve"> </w:t>
      </w:r>
      <w:r>
        <w:t xml:space="preserve">= 0.93), reflecting more key overlap for forte notes compared to piano notes. Neither the main effect of Condition (</w:t>
      </w:r>
      <w:r>
        <w:rPr>
          <w:i/>
        </w:rPr>
        <w:t xml:space="preserve">F</w:t>
      </w:r>
      <w:r>
        <w:t xml:space="preserve">(1,18) = 0.016,</w:t>
      </w:r>
      <w:r>
        <w:t xml:space="preserve"> </w:t>
      </w:r>
      <w:r>
        <w:rPr>
          <w:i/>
        </w:rPr>
        <w:t xml:space="preserve">p</w:t>
      </w:r>
      <w:r>
        <w:t xml:space="preserve"> </w:t>
      </w:r>
      <w:r>
        <w:t xml:space="preserve">= 0.90,</w:t>
      </w:r>
      <w:r>
        <w:t xml:space="preserve"> </w:t>
      </w:r>
      <m:oMath>
        <m:sSubSup>
          <m:e>
            <m:r>
              <m:t>η</m:t>
            </m:r>
          </m:e>
          <m:sub>
            <m:r>
              <m:t>G</m:t>
            </m:r>
          </m:sub>
          <m:sup>
            <m:r>
              <m:t>2</m:t>
            </m:r>
          </m:sup>
        </m:sSubSup>
      </m:oMath>
      <w:r>
        <w:t xml:space="preserve"> </w:t>
      </w:r>
      <w:r>
        <w:t xml:space="preserve">= 0.000) nor the interaction between Condition and Subcomponent-FP (</w:t>
      </w:r>
      <w:r>
        <w:rPr>
          <w:i/>
        </w:rPr>
        <w:t xml:space="preserve">F</w:t>
      </w:r>
      <w:r>
        <w:t xml:space="preserve">(1,18) = 0.58,</w:t>
      </w:r>
      <w:r>
        <w:t xml:space="preserve"> </w:t>
      </w:r>
      <w:r>
        <w:rPr>
          <w:i/>
        </w:rPr>
        <w:t xml:space="preserve">p</w:t>
      </w:r>
      <w:r>
        <w:t xml:space="preserve"> </w:t>
      </w:r>
      <w:r>
        <w:t xml:space="preserve">= 0.46,</w:t>
      </w:r>
      <w:r>
        <w:t xml:space="preserve"> </w:t>
      </w:r>
      <m:oMath>
        <m:sSubSup>
          <m:e>
            <m:r>
              <m:t>η</m:t>
            </m:r>
          </m:e>
          <m:sub>
            <m:r>
              <m:t>G</m:t>
            </m:r>
          </m:sub>
          <m:sup>
            <m:r>
              <m:t>2</m:t>
            </m:r>
          </m:sup>
        </m:sSubSup>
      </m:oMath>
      <w:r>
        <w:t xml:space="preserve"> </w:t>
      </w:r>
      <w:r>
        <w:t xml:space="preserve">= 0.001;</w:t>
      </w:r>
      <w:r>
        <w:t xml:space="preserve"> </w:t>
      </w:r>
      <w:r>
        <w:rPr>
          <w:i/>
        </w:rPr>
        <w:t xml:space="preserve">Figure</w:t>
      </w:r>
      <w:r>
        <w:rPr>
          <w:i/>
        </w:rPr>
        <w:t xml:space="preserve"> </w:t>
      </w:r>
      <w:r>
        <w:t xml:space="preserve">).</w:t>
      </w:r>
    </w:p>
    <w:bookmarkEnd w:id="55"/>
    <w:bookmarkEnd w:id="56"/>
    <w:bookmarkStart w:id="61" w:name="discussion-1"/>
    <w:p>
      <w:pPr>
        <w:pStyle w:val="berschrift2"/>
      </w:pPr>
      <w:r>
        <w:t xml:space="preserve">3.4. Discussion</w:t>
      </w:r>
    </w:p>
    <w:p>
      <w:pPr>
        <w:pStyle w:val="FirstParagraph"/>
      </w:pPr>
      <w:r>
        <w:t xml:space="preserve">The results from Experiment 2 demonstrated that we successfully replicated our earlier findings that skilled pianists were able to modulate their performance for teaching purposes. As Experiment 1, we observed slower performance only while teaching the notated articulation. With regard to KOR (articulation), participants highlighted articulation by producing shorter staccato. Again, there was no significant difference in legato between the two conditions as Experiment 1. In term of KV (dynamics), participants produced louder forte and softer piano, which showed a clearer pattern of exaggeration compared to Experiment 1, where only softer piano was observed. Furthermore, we found that participants made a larger contrast between forte and piano bidirectionally at transition points. Importantly, participants did not modulate their performance in term of irrelevant aspects of the techniques for teaching purposes as we found in Experiment 1. To sum, Experiment 2 demonstrated consistent results of systematic and fine-grained ways of didactic performance even in a naturalistic piece of music.</w:t>
      </w:r>
    </w:p>
    <w:p>
      <w:pPr>
        <w:pStyle w:val="CaptionedFigure"/>
      </w:pPr>
      <w:r>
        <w:drawing>
          <wp:inline>
            <wp:extent cx="5969000" cy="2984500"/>
            <wp:effectExtent b="0" l="0" r="0" t="0"/>
            <wp:docPr descr="Figure 6:.  Experiment 2: Normalised IOI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2-1.png" id="0" name="Picture"/>
                    <pic:cNvPicPr>
                      <a:picLocks noChangeArrowheads="1" noChangeAspect="1"/>
                    </pic:cNvPicPr>
                  </pic:nvPicPr>
                  <pic:blipFill>
                    <a:blip r:embed="rId5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w:t>
      </w:r>
      <w:r>
        <w:t xml:space="preserve">Experiment 2: Normalised IOIs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7:.  Experiment 2: KOR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r-2-1.png" id="0" name="Picture"/>
                    <pic:cNvPicPr>
                      <a:picLocks noChangeArrowheads="1" noChangeAspect="1"/>
                    </pic:cNvPicPr>
                  </pic:nvPicPr>
                  <pic:blipFill>
                    <a:blip r:embed="rId5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w:t>
      </w:r>
      <w:r>
        <w:t xml:space="preserve">Experiment 2: KOR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2-1.png" id="0" name="Picture"/>
                    <pic:cNvPicPr>
                      <a:picLocks noChangeArrowheads="1" noChangeAspect="1"/>
                    </pic:cNvPicPr>
                  </pic:nvPicPr>
                  <pic:blipFill>
                    <a:blip r:embed="rId59"/>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8:</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diff-1.png" id="0" name="Picture"/>
                    <pic:cNvPicPr>
                      <a:picLocks noChangeArrowheads="1" noChangeAspect="1"/>
                    </pic:cNvPicPr>
                  </pic:nvPicPr>
                  <pic:blipFill>
                    <a:blip r:embed="rId60"/>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9:</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61"/>
    <w:bookmarkEnd w:id="62"/>
    <w:bookmarkStart w:id="63" w:name="general-discussion"/>
    <w:p>
      <w:pPr>
        <w:pStyle w:val="berschrift1"/>
      </w:pPr>
      <w:r>
        <w:t xml:space="preserve">4. General Discussion</w:t>
      </w:r>
    </w:p>
    <w:p>
      <w:pPr>
        <w:pStyle w:val="FirstParagraph"/>
      </w:pPr>
      <w:r>
        <w:t xml:space="preserve">The aim of the study was to investigate how expert pianists could modulate their performance in order to teach expressive artistic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In particular, they exaggerated staccato when playing with the intention to teach expressions concerning articulation, and they exaggerated changes between forte and piano (in both directions) when playing with the intention to teach expressions concerning dynamics.</w:t>
      </w:r>
    </w:p>
    <w:p>
      <w:pPr>
        <w:pStyle w:val="Textkrper"/>
      </w:pPr>
      <w:r>
        <w:t xml:space="preserve">Although participants tended to play slower in the teaching condition than in the performing condition in general, we found a significant difference only for articulation, not for dynamics. As we mentioned in Experiment 1, it could be that the metronome beats given prior to each performance discouraged participants from deviating from the prescribed tempo. Another possibility is that expression is actually best taught when leaving the tempo unchanged when it is irrelevant. This would imply that general didactic modulations like slowing down, reported in research on parent-infant interaction, might be less useful in the context of teaching expressive artistic techniques where timing itself can be used to add an expression to a performance.</w:t>
      </w:r>
    </w:p>
    <w:p>
      <w:pPr>
        <w:pStyle w:val="Textkrper"/>
      </w:pPr>
      <w:r>
        <w:t xml:space="preserve">Participants exaggerated articulation for teaching purposes by highlighting staccato. The lack of a difference for legato might stem from a ceiling effect. When participants played the piece with dynamics, there was no difference between the two conditions with regard to KOT/KOR, which indicates that participants did not modulate irrelevant properties of the sound. Also, participants made a larger contrast between forte and piano for teaching purposes to highlight the transition of dynamics. We expected there would be an overall exaggeration in KV while teaching dynamics and indeed found that participants produced louder forte and softer piano, but only in Experiment 2. The finding of making a larger contrast in dynamics at transition points suggests an effective way to highlight the technique as the loudness is determined relatively. Taken together, these findings demonstrate that expert pianists systematically modulated their sound depending on the specific technique they were trying to convey.</w:t>
      </w:r>
    </w:p>
    <w:p>
      <w:pPr>
        <w:pStyle w:val="Textkrper"/>
      </w:pPr>
      <w:r>
        <w:t xml:space="preserve">Musicians and music teachers tend to consider expressive skills as a performer’s most important skills</w:t>
      </w:r>
      <w:r>
        <w:t xml:space="preserve"> </w:t>
      </w:r>
      <w:r>
        <w:t xml:space="preserve">(Lindström, Juslin, Bresin, &amp; Williamon, 2003)</w:t>
      </w:r>
      <w:r>
        <w:t xml:space="preserve">. In the present study, experts focused on the teaching of expressions that were notated. However, expression also has other facets</w:t>
      </w:r>
      <w:r>
        <w:t xml:space="preserve"> </w:t>
      </w:r>
      <w:r>
        <w:t xml:space="preserve">(Juslin, 2003)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t xml:space="preserve"> </w:t>
      </w:r>
      <w:r>
        <w:t xml:space="preserve">(Okazaki, Muraoka, &amp; Osu, 2019)</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in order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t xml:space="preserve"> </w:t>
      </w:r>
      <w:r>
        <w:t xml:space="preserve">(Sperber &amp; Wilson, 1995)</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63"/>
    <w:bookmarkStart w:id="64" w:name="acknowledgements"/>
    <w:p>
      <w:pPr>
        <w:pStyle w:val="berschrift1"/>
      </w:pPr>
      <w:r>
        <w:t xml:space="preserve">Acknowledgements</w:t>
      </w:r>
    </w:p>
    <w:p>
      <w:pPr>
        <w:pStyle w:val="FirstParagraph"/>
      </w:pPr>
      <w:r>
        <w:t xml:space="preserve">We thank Dávid Csűrös for his help with data collection. This research was supported by the European Research Council under the European Union’s Seventh Framework Program (FP7/2007-2013)/ERC (European Research Council) grant agreement no. 609819, SOMICS, and by ERC grant agreement no. 616072, JAXPERTISE.</w:t>
      </w:r>
    </w:p>
    <w:bookmarkEnd w:id="64"/>
    <w:bookmarkStart w:id="65" w:name="declarations-of-interest"/>
    <w:p>
      <w:pPr>
        <w:pStyle w:val="berschrift1"/>
      </w:pPr>
      <w:r>
        <w:t xml:space="preserve">Declarations of interest</w:t>
      </w:r>
    </w:p>
    <w:p>
      <w:pPr>
        <w:pStyle w:val="FirstParagraph"/>
      </w:pPr>
      <w:r>
        <w:t xml:space="preserve">All authors have no conflict of interest.</w:t>
      </w:r>
    </w:p>
    <w:p>
      <w:r>
        <w:br w:type="page"/>
      </w:r>
    </w:p>
    <w:bookmarkEnd w:id="65"/>
    <w:bookmarkStart w:id="99" w:name="references"/>
    <w:p>
      <w:pPr>
        <w:pStyle w:val="berschrift1"/>
      </w:pPr>
      <w:r>
        <w:t xml:space="preserve">References</w:t>
      </w:r>
    </w:p>
    <w:bookmarkStart w:id="98" w:name="refs"/>
    <w:bookmarkStart w:id="67" w:name="ref-brand_2002"/>
    <w:p>
      <w:pPr>
        <w:pStyle w:val="Literaturverzeichnis"/>
      </w:pPr>
      <w:r>
        <w:t xml:space="preserve">Brand, R. J., Baldwin, D. A., &amp; Ashburn, L. A. (2002). Evidence for “motionese”: Modifications in mothers’ infant-directed action.</w:t>
      </w:r>
      <w:r>
        <w:t xml:space="preserve"> </w:t>
      </w:r>
      <w:r>
        <w:rPr>
          <w:i/>
        </w:rPr>
        <w:t xml:space="preserve">Developmental Science</w:t>
      </w:r>
      <w:r>
        <w:t xml:space="preserve">,</w:t>
      </w:r>
      <w:r>
        <w:t xml:space="preserve"> </w:t>
      </w:r>
      <w:r>
        <w:rPr>
          <w:i/>
        </w:rPr>
        <w:t xml:space="preserve">5</w:t>
      </w:r>
      <w:r>
        <w:t xml:space="preserve">(1), 72–83.</w:t>
      </w:r>
      <w:r>
        <w:t xml:space="preserve"> </w:t>
      </w:r>
      <w:hyperlink r:id="rId66">
        <w:r>
          <w:rPr>
            <w:rStyle w:val="Hyperlink"/>
          </w:rPr>
          <w:t xml:space="preserve">https://doi.org/10.1111/1467-7687.00211</w:t>
        </w:r>
      </w:hyperlink>
    </w:p>
    <w:bookmarkEnd w:id="67"/>
    <w:bookmarkStart w:id="69" w:name="ref-bresin_2000"/>
    <w:p>
      <w:pPr>
        <w:pStyle w:val="Literaturverzeichnis"/>
      </w:pPr>
      <w:r>
        <w:t xml:space="preserve">Bresin, R., &amp; Battel, G. U. (2000). Articulation Strategies in Expressive Piano Performance Analysis of Legato, Staccato, and Repeated Notes in Performances of the Andante Movement of Mozart’s Sonata in G Major (K 545).</w:t>
      </w:r>
      <w:r>
        <w:t xml:space="preserve"> </w:t>
      </w:r>
      <w:r>
        <w:rPr>
          <w:i/>
        </w:rPr>
        <w:t xml:space="preserve">Journal of New Music Research</w:t>
      </w:r>
      <w:r>
        <w:t xml:space="preserve">,</w:t>
      </w:r>
      <w:r>
        <w:t xml:space="preserve"> </w:t>
      </w:r>
      <w:r>
        <w:rPr>
          <w:i/>
        </w:rPr>
        <w:t xml:space="preserve">29</w:t>
      </w:r>
      <w:r>
        <w:t xml:space="preserve">(3), 211–224.</w:t>
      </w:r>
      <w:r>
        <w:t xml:space="preserve"> </w:t>
      </w:r>
      <w:hyperlink r:id="rId68">
        <w:r>
          <w:rPr>
            <w:rStyle w:val="Hyperlink"/>
          </w:rPr>
          <w:t xml:space="preserve">https://doi.org/10.1076/jnmr.29.3.211.3092</w:t>
        </w:r>
      </w:hyperlink>
    </w:p>
    <w:bookmarkEnd w:id="69"/>
    <w:bookmarkStart w:id="71" w:name="ref-campisi_2013"/>
    <w:p>
      <w:pPr>
        <w:pStyle w:val="Literaturverzeichnis"/>
      </w:pPr>
      <w:r>
        <w:t xml:space="preserve">Campisi, E., &amp; Özyürek, A. (2013). Iconicity as a communicative strategy: Recipient design in multimodal demonstrations for adults and children.</w:t>
      </w:r>
      <w:r>
        <w:t xml:space="preserve"> </w:t>
      </w:r>
      <w:r>
        <w:rPr>
          <w:i/>
        </w:rPr>
        <w:t xml:space="preserve">Journal of Pragmatics</w:t>
      </w:r>
      <w:r>
        <w:t xml:space="preserve">,</w:t>
      </w:r>
      <w:r>
        <w:t xml:space="preserve"> </w:t>
      </w:r>
      <w:r>
        <w:rPr>
          <w:i/>
        </w:rPr>
        <w:t xml:space="preserve">47</w:t>
      </w:r>
      <w:r>
        <w:t xml:space="preserve">(1), 14–27.</w:t>
      </w:r>
      <w:r>
        <w:t xml:space="preserve"> </w:t>
      </w:r>
      <w:hyperlink r:id="rId70">
        <w:r>
          <w:rPr>
            <w:rStyle w:val="Hyperlink"/>
          </w:rPr>
          <w:t xml:space="preserve">https://doi.org/10.1016/j.pragma.2012.12.007</w:t>
        </w:r>
      </w:hyperlink>
    </w:p>
    <w:bookmarkEnd w:id="71"/>
    <w:bookmarkStart w:id="73" w:name="ref-csibra_2009"/>
    <w:p>
      <w:pPr>
        <w:pStyle w:val="Literaturverzeichnis"/>
      </w:pPr>
      <w:r>
        <w:t xml:space="preserve">Csibra, G., &amp; Gergely, G. (2009). Natural pedagogy.</w:t>
      </w:r>
      <w:r>
        <w:t xml:space="preserve"> </w:t>
      </w:r>
      <w:r>
        <w:rPr>
          <w:i/>
        </w:rPr>
        <w:t xml:space="preserve">Trends in Cognitive Sciences</w:t>
      </w:r>
      <w:r>
        <w:t xml:space="preserve">,</w:t>
      </w:r>
      <w:r>
        <w:t xml:space="preserve"> </w:t>
      </w:r>
      <w:r>
        <w:rPr>
          <w:i/>
        </w:rPr>
        <w:t xml:space="preserve">13</w:t>
      </w:r>
      <w:r>
        <w:t xml:space="preserve">(4), 148–153.</w:t>
      </w:r>
      <w:r>
        <w:t xml:space="preserve"> </w:t>
      </w:r>
      <w:hyperlink r:id="rId72">
        <w:r>
          <w:rPr>
            <w:rStyle w:val="Hyperlink"/>
          </w:rPr>
          <w:t xml:space="preserve">https://doi.org/10.1016/j.tics.2009.01.005</w:t>
        </w:r>
      </w:hyperlink>
    </w:p>
    <w:bookmarkEnd w:id="73"/>
    <w:bookmarkStart w:id="75" w:name="ref-fernald_1985"/>
    <w:p>
      <w:pPr>
        <w:pStyle w:val="Literaturverzeichnis"/>
      </w:pPr>
      <w:r>
        <w:t xml:space="preserve">Fernald, A. (1985). Four-month-old infants prefer to listen to motherese.</w:t>
      </w:r>
      <w:r>
        <w:t xml:space="preserve"> </w:t>
      </w:r>
      <w:r>
        <w:rPr>
          <w:i/>
        </w:rPr>
        <w:t xml:space="preserve">Infant Behavior and Development</w:t>
      </w:r>
      <w:r>
        <w:t xml:space="preserve">,</w:t>
      </w:r>
      <w:r>
        <w:t xml:space="preserve"> </w:t>
      </w:r>
      <w:r>
        <w:rPr>
          <w:i/>
        </w:rPr>
        <w:t xml:space="preserve">8</w:t>
      </w:r>
      <w:r>
        <w:t xml:space="preserve">(2), 181–195.</w:t>
      </w:r>
      <w:r>
        <w:t xml:space="preserve"> </w:t>
      </w:r>
      <w:hyperlink r:id="rId74">
        <w:r>
          <w:rPr>
            <w:rStyle w:val="Hyperlink"/>
          </w:rPr>
          <w:t xml:space="preserve">https://doi.org/10.1016/S0163-6383(85)80005-9</w:t>
        </w:r>
      </w:hyperlink>
    </w:p>
    <w:bookmarkEnd w:id="75"/>
    <w:bookmarkStart w:id="77" w:name="ref-fukuyama_2015"/>
    <w:p>
      <w:pPr>
        <w:pStyle w:val="Literaturverzeichnis"/>
      </w:pPr>
      <w:r>
        <w:t xml:space="preserve">Fukuyama, H., Qin, S., Kanakogi, Y., Nagai, Y., Asada, M., &amp; Myowa-Yamakoshi, M. (2015). Infant’s action skill dynamically modulates parental action demonstration in the dyadic interaction.</w:t>
      </w:r>
      <w:r>
        <w:t xml:space="preserve"> </w:t>
      </w:r>
      <w:r>
        <w:rPr>
          <w:i/>
        </w:rPr>
        <w:t xml:space="preserve">Developmental Science</w:t>
      </w:r>
      <w:r>
        <w:t xml:space="preserve">,</w:t>
      </w:r>
      <w:r>
        <w:t xml:space="preserve"> </w:t>
      </w:r>
      <w:r>
        <w:rPr>
          <w:i/>
        </w:rPr>
        <w:t xml:space="preserve">18</w:t>
      </w:r>
      <w:r>
        <w:t xml:space="preserve">(6), 1006–1013.</w:t>
      </w:r>
      <w:r>
        <w:t xml:space="preserve"> </w:t>
      </w:r>
      <w:hyperlink r:id="rId76">
        <w:r>
          <w:rPr>
            <w:rStyle w:val="Hyperlink"/>
          </w:rPr>
          <w:t xml:space="preserve">https://doi.org/10.1111/desc.12270</w:t>
        </w:r>
      </w:hyperlink>
    </w:p>
    <w:bookmarkEnd w:id="77"/>
    <w:bookmarkStart w:id="78" w:name="ref-NIPS2016_6413"/>
    <w:p>
      <w:pPr>
        <w:pStyle w:val="Literaturverzeichnis"/>
      </w:pPr>
      <w:r>
        <w:t xml:space="preserve">Ho, M. K., Littman, M., MacGlashan, J., Cushman, F., &amp; Austerweil, J. L. (2016). Showing versus doing: Teaching by demonstration. In D. D. Lee, M. Sugiyama, U. V. Luxburg, I. Guyon, &amp; R. Garnett (Eds.),</w:t>
      </w:r>
      <w:r>
        <w:t xml:space="preserve"> </w:t>
      </w:r>
      <w:r>
        <w:rPr>
          <w:i/>
        </w:rPr>
        <w:t xml:space="preserve">Advances in neural information processing systems 29</w:t>
      </w:r>
      <w:r>
        <w:t xml:space="preserve"> </w:t>
      </w:r>
      <w:r>
        <w:t xml:space="preserve">(pp. 3027–3035). Curran Associates, Inc.</w:t>
      </w:r>
    </w:p>
    <w:bookmarkEnd w:id="78"/>
    <w:bookmarkStart w:id="80" w:name="ref-juslin_2003"/>
    <w:p>
      <w:pPr>
        <w:pStyle w:val="Literaturverzeichnis"/>
      </w:pPr>
      <w:r>
        <w:t xml:space="preserve">Juslin, P. N. (2003). Five Facets of Musical Expression: A Psychologist’s Perspective on Music Performance.</w:t>
      </w:r>
      <w:r>
        <w:t xml:space="preserve"> </w:t>
      </w:r>
      <w:r>
        <w:rPr>
          <w:i/>
        </w:rPr>
        <w:t xml:space="preserve">Psychology of Music</w:t>
      </w:r>
      <w:r>
        <w:t xml:space="preserve">,</w:t>
      </w:r>
      <w:r>
        <w:t xml:space="preserve"> </w:t>
      </w:r>
      <w:r>
        <w:rPr>
          <w:i/>
        </w:rPr>
        <w:t xml:space="preserve">31</w:t>
      </w:r>
      <w:r>
        <w:t xml:space="preserve">(3), 273–302.</w:t>
      </w:r>
      <w:r>
        <w:t xml:space="preserve"> </w:t>
      </w:r>
      <w:hyperlink r:id="rId79">
        <w:r>
          <w:rPr>
            <w:rStyle w:val="Hyperlink"/>
          </w:rPr>
          <w:t xml:space="preserve">https://doi.org/10.1177/03057356030313003</w:t>
        </w:r>
      </w:hyperlink>
    </w:p>
    <w:bookmarkEnd w:id="80"/>
    <w:bookmarkStart w:id="82" w:name="ref-lindstrom_2003"/>
    <w:p>
      <w:pPr>
        <w:pStyle w:val="Literaturverzeichnis"/>
      </w:pPr>
      <w:r>
        <w:t xml:space="preserve">Lindström, E., Juslin, P. N., Bresin, R., &amp; Williamon, A. (2003). “Expressivity comes from within your soul”: A questionnaire study of music students’ perspectives on expressivity.</w:t>
      </w:r>
      <w:r>
        <w:t xml:space="preserve"> </w:t>
      </w:r>
      <w:r>
        <w:rPr>
          <w:i/>
        </w:rPr>
        <w:t xml:space="preserve">Research Studies in Music Education</w:t>
      </w:r>
      <w:r>
        <w:t xml:space="preserve">,</w:t>
      </w:r>
      <w:r>
        <w:t xml:space="preserve"> </w:t>
      </w:r>
      <w:r>
        <w:rPr>
          <w:i/>
        </w:rPr>
        <w:t xml:space="preserve">20</w:t>
      </w:r>
      <w:r>
        <w:t xml:space="preserve">(1), 23–47.</w:t>
      </w:r>
      <w:r>
        <w:t xml:space="preserve"> </w:t>
      </w:r>
      <w:hyperlink r:id="rId81">
        <w:r>
          <w:rPr>
            <w:rStyle w:val="Hyperlink"/>
          </w:rPr>
          <w:t xml:space="preserve">https://doi.org/10.1177/1321103X030200010201</w:t>
        </w:r>
      </w:hyperlink>
    </w:p>
    <w:bookmarkEnd w:id="82"/>
    <w:bookmarkStart w:id="84" w:name="ref-mcellin_2017"/>
    <w:p>
      <w:pPr>
        <w:pStyle w:val="Literaturverzeichnis"/>
      </w:pPr>
      <w:r>
        <w:t xml:space="preserve">McEllin, L., Knoblich, G., &amp; Sebanz, N. (2017). Distinct kinematic markers of demonstration and joint action coordination? Evidence from virtual xylophone playing.</w:t>
      </w:r>
      <w:r>
        <w:t xml:space="preserve"> </w:t>
      </w:r>
      <w:r>
        <w:rPr>
          <w:i/>
        </w:rPr>
        <w:t xml:space="preserve">Journal of Experimental Psychology: Human Perception and Performance</w:t>
      </w:r>
      <w:r>
        <w:t xml:space="preserve">,</w:t>
      </w:r>
      <w:r>
        <w:t xml:space="preserve"> </w:t>
      </w:r>
      <w:r>
        <w:rPr>
          <w:i/>
        </w:rPr>
        <w:t xml:space="preserve">44</w:t>
      </w:r>
      <w:r>
        <w:t xml:space="preserve">(6), 885.</w:t>
      </w:r>
      <w:r>
        <w:t xml:space="preserve"> </w:t>
      </w:r>
      <w:hyperlink r:id="rId83">
        <w:r>
          <w:rPr>
            <w:rStyle w:val="Hyperlink"/>
          </w:rPr>
          <w:t xml:space="preserve">https://doi.org/10.1037/xhp0000505</w:t>
        </w:r>
      </w:hyperlink>
    </w:p>
    <w:bookmarkEnd w:id="84"/>
    <w:bookmarkStart w:id="86" w:name="ref-okazaki_2019"/>
    <w:p>
      <w:pPr>
        <w:pStyle w:val="Literaturverzeichnis"/>
      </w:pPr>
      <w:r>
        <w:t xml:space="preserve">Okazaki, S., Muraoka, Y., &amp; Osu, R. (2019). Teacher-learner interaction quantifies scaffolding behaviour in imitation learning.</w:t>
      </w:r>
      <w:r>
        <w:t xml:space="preserve"> </w:t>
      </w:r>
      <w:r>
        <w:rPr>
          <w:i/>
        </w:rPr>
        <w:t xml:space="preserve">Scientific Reports</w:t>
      </w:r>
      <w:r>
        <w:t xml:space="preserve">,</w:t>
      </w:r>
      <w:r>
        <w:t xml:space="preserve"> </w:t>
      </w:r>
      <w:r>
        <w:rPr>
          <w:i/>
        </w:rPr>
        <w:t xml:space="preserve">9</w:t>
      </w:r>
      <w:r>
        <w:t xml:space="preserve">(1), 1–13.</w:t>
      </w:r>
      <w:r>
        <w:t xml:space="preserve"> </w:t>
      </w:r>
      <w:hyperlink r:id="rId85">
        <w:r>
          <w:rPr>
            <w:rStyle w:val="Hyperlink"/>
          </w:rPr>
          <w:t xml:space="preserve">https://doi.org/10.1038/s41598-019-44049-x</w:t>
        </w:r>
      </w:hyperlink>
    </w:p>
    <w:bookmarkEnd w:id="86"/>
    <w:bookmarkStart w:id="88" w:name="ref-schaik_2019"/>
    <w:p>
      <w:pPr>
        <w:pStyle w:val="Literaturverzeichnis"/>
      </w:pPr>
      <w:r>
        <w:t xml:space="preserve">Schaik, J. E. van, Meyer, M., Ham, C. R. van, &amp; Hunnius, S. (2019). Motion tracking of parents’ infant- versus adult-directed actions reveals general and action-specific modulations.</w:t>
      </w:r>
      <w:r>
        <w:t xml:space="preserve"> </w:t>
      </w:r>
      <w:r>
        <w:rPr>
          <w:i/>
        </w:rPr>
        <w:t xml:space="preserve">Developmental Science</w:t>
      </w:r>
      <w:r>
        <w:t xml:space="preserve">,</w:t>
      </w:r>
      <w:r>
        <w:t xml:space="preserve"> </w:t>
      </w:r>
      <w:r>
        <w:rPr>
          <w:i/>
        </w:rPr>
        <w:t xml:space="preserve">0</w:t>
      </w:r>
      <w:r>
        <w:t xml:space="preserve">(0), e12869.</w:t>
      </w:r>
      <w:r>
        <w:t xml:space="preserve"> </w:t>
      </w:r>
      <w:hyperlink r:id="rId87">
        <w:r>
          <w:rPr>
            <w:rStyle w:val="Hyperlink"/>
          </w:rPr>
          <w:t xml:space="preserve">https://doi.org/10.1111/desc.12869</w:t>
        </w:r>
      </w:hyperlink>
    </w:p>
    <w:bookmarkEnd w:id="88"/>
    <w:bookmarkStart w:id="90" w:name="ref-sloboda_2000"/>
    <w:p>
      <w:pPr>
        <w:pStyle w:val="Literaturverzeichnis"/>
      </w:pPr>
      <w:r>
        <w:t xml:space="preserve">Sloboda, J. A. (2000). Individual differences in music performance.</w:t>
      </w:r>
      <w:r>
        <w:t xml:space="preserve"> </w:t>
      </w:r>
      <w:r>
        <w:rPr>
          <w:i/>
        </w:rPr>
        <w:t xml:space="preserve">Trends in Cognitive Sciences</w:t>
      </w:r>
      <w:r>
        <w:t xml:space="preserve">,</w:t>
      </w:r>
      <w:r>
        <w:t xml:space="preserve"> </w:t>
      </w:r>
      <w:r>
        <w:rPr>
          <w:i/>
        </w:rPr>
        <w:t xml:space="preserve">4</w:t>
      </w:r>
      <w:r>
        <w:t xml:space="preserve">(10), 397–403.</w:t>
      </w:r>
      <w:r>
        <w:t xml:space="preserve"> </w:t>
      </w:r>
      <w:hyperlink r:id="rId89">
        <w:r>
          <w:rPr>
            <w:rStyle w:val="Hyperlink"/>
          </w:rPr>
          <w:t xml:space="preserve">https://doi.org/10.1016/S1364-6613(00)01531-X</w:t>
        </w:r>
      </w:hyperlink>
    </w:p>
    <w:bookmarkEnd w:id="90"/>
    <w:bookmarkStart w:id="91" w:name="ref-sperber_1995"/>
    <w:p>
      <w:pPr>
        <w:pStyle w:val="Literaturverzeichnis"/>
      </w:pPr>
      <w:r>
        <w:t xml:space="preserve">Sperber, D., &amp; Wilson, D. (1995).</w:t>
      </w:r>
      <w:r>
        <w:t xml:space="preserve"> </w:t>
      </w:r>
      <w:r>
        <w:rPr>
          <w:i/>
        </w:rPr>
        <w:t xml:space="preserve">Relevance: Communication and cognition, 2nd ed</w:t>
      </w:r>
      <w:r>
        <w:t xml:space="preserve">. Malden: Blackwell Publishing.</w:t>
      </w:r>
    </w:p>
    <w:bookmarkEnd w:id="91"/>
    <w:bookmarkStart w:id="93" w:name="ref-thornton_2008"/>
    <w:p>
      <w:pPr>
        <w:pStyle w:val="Literaturverzeichnis"/>
      </w:pPr>
      <w:r>
        <w:t xml:space="preserve">Thornton, A., &amp; Raihani, N. J. (2008). The evolution of teaching.</w:t>
      </w:r>
      <w:r>
        <w:t xml:space="preserve"> </w:t>
      </w:r>
      <w:r>
        <w:rPr>
          <w:i/>
        </w:rPr>
        <w:t xml:space="preserve">Animal Behaviour</w:t>
      </w:r>
      <w:r>
        <w:t xml:space="preserve">,</w:t>
      </w:r>
      <w:r>
        <w:t xml:space="preserve"> </w:t>
      </w:r>
      <w:r>
        <w:rPr>
          <w:i/>
        </w:rPr>
        <w:t xml:space="preserve">75</w:t>
      </w:r>
      <w:r>
        <w:t xml:space="preserve">(6), 1823–1836.</w:t>
      </w:r>
      <w:r>
        <w:t xml:space="preserve"> </w:t>
      </w:r>
      <w:hyperlink r:id="rId92">
        <w:r>
          <w:rPr>
            <w:rStyle w:val="Hyperlink"/>
          </w:rPr>
          <w:t xml:space="preserve">https://doi.org/10.1016/j.anbehav.2007.12.014</w:t>
        </w:r>
      </w:hyperlink>
    </w:p>
    <w:bookmarkEnd w:id="93"/>
    <w:bookmarkStart w:id="95" w:name="ref-tomasello_2016"/>
    <w:p>
      <w:pPr>
        <w:pStyle w:val="Literaturverzeichnis"/>
      </w:pPr>
      <w:r>
        <w:t xml:space="preserve">Tomasello, M. (2016). The ontogeny of cultural learning.</w:t>
      </w:r>
      <w:r>
        <w:t xml:space="preserve"> </w:t>
      </w:r>
      <w:r>
        <w:rPr>
          <w:i/>
        </w:rPr>
        <w:t xml:space="preserve">Current Opinion in Psychology</w:t>
      </w:r>
      <w:r>
        <w:t xml:space="preserve">,</w:t>
      </w:r>
      <w:r>
        <w:t xml:space="preserve"> </w:t>
      </w:r>
      <w:r>
        <w:rPr>
          <w:i/>
        </w:rPr>
        <w:t xml:space="preserve">8</w:t>
      </w:r>
      <w:r>
        <w:t xml:space="preserve">, 1–4.</w:t>
      </w:r>
      <w:r>
        <w:t xml:space="preserve"> </w:t>
      </w:r>
      <w:hyperlink r:id="rId94">
        <w:r>
          <w:rPr>
            <w:rStyle w:val="Hyperlink"/>
          </w:rPr>
          <w:t xml:space="preserve">https://doi.org/10.1016/j.copsyc.2015.09.008</w:t>
        </w:r>
      </w:hyperlink>
    </w:p>
    <w:bookmarkEnd w:id="95"/>
    <w:bookmarkStart w:id="97" w:name="ref-uther_2007"/>
    <w:p>
      <w:pPr>
        <w:pStyle w:val="Literaturverzeichnis"/>
      </w:pPr>
      <w:r>
        <w:t xml:space="preserve">Uther, M., Knoll, M. A., &amp; Burnham, D. (2007). Do you speak E-NG-L-I-SH? A comparison of foreigner- and infant-directed speech.</w:t>
      </w:r>
      <w:r>
        <w:t xml:space="preserve"> </w:t>
      </w:r>
      <w:r>
        <w:rPr>
          <w:i/>
        </w:rPr>
        <w:t xml:space="preserve">Speech Communication</w:t>
      </w:r>
      <w:r>
        <w:t xml:space="preserve">,</w:t>
      </w:r>
      <w:r>
        <w:t xml:space="preserve"> </w:t>
      </w:r>
      <w:r>
        <w:rPr>
          <w:i/>
        </w:rPr>
        <w:t xml:space="preserve">49</w:t>
      </w:r>
      <w:r>
        <w:t xml:space="preserve">(1), 2–7.</w:t>
      </w:r>
      <w:r>
        <w:t xml:space="preserve"> </w:t>
      </w:r>
      <w:hyperlink r:id="rId96">
        <w:r>
          <w:rPr>
            <w:rStyle w:val="Hyperlink"/>
          </w:rPr>
          <w:t xml:space="preserve">https://doi.org/10.1016/j.specom.2006.10.003</w:t>
        </w:r>
      </w:hyperlink>
    </w:p>
    <w:bookmarkEnd w:id="97"/>
    <w:bookmarkEnd w:id="98"/>
    <w:bookmarkEnd w:id="99"/>
    <w:bookmarkStart w:id="103" w:name="supplementary"/>
    <w:p>
      <w:pPr>
        <w:pStyle w:val="berschrift1"/>
      </w:pPr>
      <w:r>
        <w:t xml:space="preserve">Supplementary Materials</w:t>
      </w:r>
    </w:p>
    <w:bookmarkStart w:id="102" w:name="instructions"/>
    <w:p>
      <w:pPr>
        <w:pStyle w:val="berschrift2"/>
      </w:pPr>
      <w:r>
        <w:t xml:space="preserve">Instructions</w:t>
      </w:r>
    </w:p>
    <w:bookmarkStart w:id="100" w:name="experiment-1-1"/>
    <w:p>
      <w:pPr>
        <w:pStyle w:val="berschrift3"/>
      </w:pPr>
      <w:r>
        <w:t xml:space="preserve">Experiment 1.</w:t>
      </w:r>
    </w:p>
    <w:p>
      <w:pPr>
        <w:pStyle w:val="FirstParagraph"/>
      </w:pPr>
      <w:r>
        <w:t xml:space="preserve">In the teaching condition, participants were shown with the following instruction on a computer monitor (Italic sentences were highlighted with a yellow colour on a black background); Now, play what you practised as if you were teaching it to students. Students already know how to produce the sequence of the tones and now are trying to</w:t>
      </w:r>
      <w:r>
        <w:t xml:space="preserve"> </w:t>
      </w:r>
      <w:r>
        <w:rPr>
          <w:i/>
        </w:rPr>
        <w:t xml:space="preserve">learn how to perform the piece expressively</w:t>
      </w:r>
      <w:r>
        <w:t xml:space="preserve"> </w:t>
      </w:r>
      <w:r>
        <w:t xml:space="preserve">by listening to your performance.</w:t>
      </w:r>
      <w:r>
        <w:t xml:space="preserve"> </w:t>
      </w:r>
      <w:r>
        <w:rPr>
          <w:i/>
        </w:rPr>
        <w:t xml:space="preserve">Do your best as a teacher to produce the piece according to the notation that you just practised</w:t>
      </w:r>
      <w:r>
        <w:t xml:space="preserve">.</w:t>
      </w:r>
    </w:p>
    <w:p>
      <w:pPr>
        <w:pStyle w:val="Textkrper"/>
      </w:pPr>
      <w:r>
        <w:t xml:space="preserve">In the performing condition, participants were displayed with the following instruction on a computer monitor monitor; Now, play what you practised as if you were performing it to an audience.</w:t>
      </w:r>
      <w:r>
        <w:t xml:space="preserve"> </w:t>
      </w:r>
      <w:r>
        <w:rPr>
          <w:i/>
        </w:rPr>
        <w:t xml:space="preserve">Do your best as a performer to produce the piece according to the notation that you just practised</w:t>
      </w:r>
      <w:r>
        <w:t xml:space="preserve">.</w:t>
      </w:r>
    </w:p>
    <w:bookmarkEnd w:id="100"/>
    <w:bookmarkStart w:id="101" w:name="experiment-2-1"/>
    <w:p>
      <w:pPr>
        <w:pStyle w:val="berschrift3"/>
      </w:pPr>
      <w:r>
        <w:t xml:space="preserve">Experiment 2.</w:t>
      </w:r>
    </w:p>
    <w:p>
      <w:pPr>
        <w:pStyle w:val="FirstParagraph"/>
      </w:pPr>
      <w:r>
        <w:t xml:space="preserve">In the teaching condition, we gave participants the exact same instruction as Experiment 1.</w:t>
      </w:r>
    </w:p>
    <w:p>
      <w:pPr>
        <w:pStyle w:val="Textkrper"/>
      </w:pPr>
      <w:r>
        <w:t xml:space="preserve">In the performing condition, participants were displayed with the following instruction on a computer monitor; Now, play what you practised as if you were performing it to an audience.</w:t>
      </w:r>
      <w:r>
        <w:t xml:space="preserve"> </w:t>
      </w:r>
      <w:r>
        <w:rPr>
          <w:i/>
        </w:rPr>
        <w:t xml:space="preserve">Perform the piece expressively with your interpretation</w:t>
      </w:r>
      <w:r>
        <w:t xml:space="preserve">.</w:t>
      </w:r>
      <w:r>
        <w:t xml:space="preserve"> </w:t>
      </w:r>
      <w:r>
        <w:rPr>
          <w:i/>
        </w:rPr>
        <w:t xml:space="preserve">Do your best as a performer to produce the piece according to the notation that you just practised</w:t>
      </w:r>
      <w:r>
        <w:t xml:space="preserve">.</w:t>
      </w:r>
    </w:p>
    <w:bookmarkEnd w:id="101"/>
    <w:bookmarkEnd w:id="102"/>
    <w:bookmarkEnd w:id="103"/>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The Sound of Teaching Music</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The Sound of Teaching Music</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hyperlink" Id="rId74" Target="https://doi.org/10.1016/S0163-6383(85)80005-9" TargetMode="External" /><Relationship Type="http://schemas.openxmlformats.org/officeDocument/2006/relationships/hyperlink" Id="rId89" Target="https://doi.org/10.1016/S1364-6613(00)01531-X" TargetMode="External" /><Relationship Type="http://schemas.openxmlformats.org/officeDocument/2006/relationships/hyperlink" Id="rId92" Target="https://doi.org/10.1016/j.anbehav.2007.12.014" TargetMode="External" /><Relationship Type="http://schemas.openxmlformats.org/officeDocument/2006/relationships/hyperlink" Id="rId94" Target="https://doi.org/10.1016/j.copsyc.2015.09.008" TargetMode="External" /><Relationship Type="http://schemas.openxmlformats.org/officeDocument/2006/relationships/hyperlink" Id="rId70" Target="https://doi.org/10.1016/j.pragma.2012.12.007" TargetMode="External" /><Relationship Type="http://schemas.openxmlformats.org/officeDocument/2006/relationships/hyperlink" Id="rId96" Target="https://doi.org/10.1016/j.specom.2006.10.003" TargetMode="External" /><Relationship Type="http://schemas.openxmlformats.org/officeDocument/2006/relationships/hyperlink" Id="rId72" Target="https://doi.org/10.1016/j.tics.2009.01.005" TargetMode="External" /><Relationship Type="http://schemas.openxmlformats.org/officeDocument/2006/relationships/hyperlink" Id="rId83" Target="https://doi.org/10.1037/xhp0000505" TargetMode="External" /><Relationship Type="http://schemas.openxmlformats.org/officeDocument/2006/relationships/hyperlink" Id="rId85" Target="https://doi.org/10.1038/s41598-019-44049-x" TargetMode="External" /><Relationship Type="http://schemas.openxmlformats.org/officeDocument/2006/relationships/hyperlink" Id="rId68" Target="https://doi.org/10.1076/jnmr.29.3.211.3092" TargetMode="External" /><Relationship Type="http://schemas.openxmlformats.org/officeDocument/2006/relationships/hyperlink" Id="rId66" Target="https://doi.org/10.1111/1467-7687.00211" TargetMode="External" /><Relationship Type="http://schemas.openxmlformats.org/officeDocument/2006/relationships/hyperlink" Id="rId76" Target="https://doi.org/10.1111/desc.12270" TargetMode="External" /><Relationship Type="http://schemas.openxmlformats.org/officeDocument/2006/relationships/hyperlink" Id="rId87" Target="https://doi.org/10.1111/desc.12869" TargetMode="External" /><Relationship Type="http://schemas.openxmlformats.org/officeDocument/2006/relationships/hyperlink" Id="rId79" Target="https://doi.org/10.1177/03057356030313003" TargetMode="External" /><Relationship Type="http://schemas.openxmlformats.org/officeDocument/2006/relationships/hyperlink" Id="rId81" Target="https://doi.org/10.1177/1321103X030200010201" TargetMode="External" /><Relationship Type="http://schemas.openxmlformats.org/officeDocument/2006/relationships/hyperlink" Id="rId20" Target="mailto:Tominaga_Atsuko@phd.ceu.edu" TargetMode="External" /></Relationships>
</file>

<file path=word/_rels/footnotes.xml.rels><?xml version="1.0" encoding="UTF-8"?>
<Relationships xmlns="http://schemas.openxmlformats.org/package/2006/relationships"><Relationship Type="http://schemas.openxmlformats.org/officeDocument/2006/relationships/hyperlink" Id="rId74" Target="https://doi.org/10.1016/S0163-6383(85)80005-9" TargetMode="External" /><Relationship Type="http://schemas.openxmlformats.org/officeDocument/2006/relationships/hyperlink" Id="rId89" Target="https://doi.org/10.1016/S1364-6613(00)01531-X" TargetMode="External" /><Relationship Type="http://schemas.openxmlformats.org/officeDocument/2006/relationships/hyperlink" Id="rId92" Target="https://doi.org/10.1016/j.anbehav.2007.12.014" TargetMode="External" /><Relationship Type="http://schemas.openxmlformats.org/officeDocument/2006/relationships/hyperlink" Id="rId94" Target="https://doi.org/10.1016/j.copsyc.2015.09.008" TargetMode="External" /><Relationship Type="http://schemas.openxmlformats.org/officeDocument/2006/relationships/hyperlink" Id="rId70" Target="https://doi.org/10.1016/j.pragma.2012.12.007" TargetMode="External" /><Relationship Type="http://schemas.openxmlformats.org/officeDocument/2006/relationships/hyperlink" Id="rId96" Target="https://doi.org/10.1016/j.specom.2006.10.003" TargetMode="External" /><Relationship Type="http://schemas.openxmlformats.org/officeDocument/2006/relationships/hyperlink" Id="rId72" Target="https://doi.org/10.1016/j.tics.2009.01.005" TargetMode="External" /><Relationship Type="http://schemas.openxmlformats.org/officeDocument/2006/relationships/hyperlink" Id="rId83" Target="https://doi.org/10.1037/xhp0000505" TargetMode="External" /><Relationship Type="http://schemas.openxmlformats.org/officeDocument/2006/relationships/hyperlink" Id="rId85" Target="https://doi.org/10.1038/s41598-019-44049-x" TargetMode="External" /><Relationship Type="http://schemas.openxmlformats.org/officeDocument/2006/relationships/hyperlink" Id="rId68" Target="https://doi.org/10.1076/jnmr.29.3.211.3092" TargetMode="External" /><Relationship Type="http://schemas.openxmlformats.org/officeDocument/2006/relationships/hyperlink" Id="rId66" Target="https://doi.org/10.1111/1467-7687.00211" TargetMode="External" /><Relationship Type="http://schemas.openxmlformats.org/officeDocument/2006/relationships/hyperlink" Id="rId76" Target="https://doi.org/10.1111/desc.12270" TargetMode="External" /><Relationship Type="http://schemas.openxmlformats.org/officeDocument/2006/relationships/hyperlink" Id="rId87" Target="https://doi.org/10.1111/desc.12869" TargetMode="External" /><Relationship Type="http://schemas.openxmlformats.org/officeDocument/2006/relationships/hyperlink" Id="rId79" Target="https://doi.org/10.1177/03057356030313003" TargetMode="External" /><Relationship Type="http://schemas.openxmlformats.org/officeDocument/2006/relationships/hyperlink" Id="rId81" Target="https://doi.org/10.1177/1321103X030200010201"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2020-12-16T08:33:16Z</dcterms:created>
  <dcterms:modified xsi:type="dcterms:W3CDTF">2020-12-16T08:33:16Z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/Library/Frameworks/R.framework/Versions/3.6/Resources/library/papaja/rmd/apa6.csl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The Sound of Teaching Music</vt:lpwstr>
  </property>
  <property fmtid="{D5CDD505-2E9C-101B-9397-08002B2CF9AE}" pid="16" name="tablelist">
    <vt:lpwstr>no</vt:lpwstr>
  </property>
  <property fmtid="{D5CDD505-2E9C-101B-9397-08002B2CF9AE}" pid="17" name="wordcount">
    <vt:lpwstr>5022</vt:lpwstr>
  </property>
</Properties>
</file>