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8.png" ContentType="image/png"/>
  <Override PartName="/word/media/rId161.png" ContentType="image/png"/>
  <Override PartName="/word/media/rId177.png" ContentType="image/png"/>
  <Override PartName="/word/media/rId154.png" ContentType="image/png"/>
  <Override PartName="/word/media/rId167.png" ContentType="image/png"/>
  <Override PartName="/word/media/rId151.png" ContentType="image/png"/>
  <Override PartName="/word/media/rId164.png" ContentType="image/png"/>
  <Override PartName="/word/media/rId41.png" ContentType="image/png"/>
  <Override PartName="/word/media/rId70.png" ContentType="image/png"/>
  <Override PartName="/word/media/rId145.png" ContentType="image/png"/>
  <Override PartName="/word/media/rId158.png" ContentType="image/png"/>
  <Override PartName="/word/media/rId73.png" ContentType="image/png"/>
  <Override PartName="/word/media/rId44.png" ContentType="image/png"/>
  <Override PartName="/word/media/rId188.png" ContentType="image/png"/>
  <Override PartName="/word/media/rId47.png" ContentType="image/png"/>
  <Override PartName="/word/media/rId76.png" ContentType="image/png"/>
  <Override PartName="/word/media/rId79.png" ContentType="image/png"/>
  <Override PartName="/word/media/rId196.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Expert</w:t>
      </w:r>
      <w:r>
        <w:t xml:space="preserve"> </w:t>
      </w:r>
      <w:r>
        <w:t xml:space="preserve">pianists</w:t>
      </w:r>
      <w:r>
        <w:t xml:space="preserve"> </w:t>
      </w:r>
      <w:r>
        <w:t xml:space="preserve">make</w:t>
      </w:r>
      <w:r>
        <w:t xml:space="preserve"> </w:t>
      </w:r>
      <w:r>
        <w:t xml:space="preserve">specific</w:t>
      </w:r>
      <w:r>
        <w:t xml:space="preserve"> </w:t>
      </w:r>
      <w:r>
        <w:t xml:space="preserve">exaggerations</w:t>
      </w:r>
      <w:r>
        <w:t xml:space="preserve"> </w:t>
      </w:r>
      <w:r>
        <w:t xml:space="preserve">for</w:t>
      </w:r>
      <w:r>
        <w:t xml:space="preserve"> </w:t>
      </w:r>
      <w:r>
        <w:t xml:space="preserve">teaching</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generalise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Expert pianists make specific exaggerations for teaching</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t xml:space="preserve"> </w:t>
      </w:r>
      <w:r>
        <w:t xml:space="preserve">(Thornton &amp; Raihani, 2008; Tomasello, 2016)</w:t>
      </w:r>
      <w:r>
        <w:t xml:space="preserve">. Experts modulate their behaviour so that novices can extract relevant information to learn a novel skill. For instance, adults modulate their speech (motherese) and actions (motionese) when demonstrating a skill to infant learners</w:t>
      </w:r>
      <w:r>
        <w:t xml:space="preserve"> </w:t>
      </w:r>
      <w:r>
        <w:t xml:space="preserve">(Brand, Baldwin, &amp; Ashburn, 2002; Saint-Georges et al., 2013)</w:t>
      </w:r>
      <w:r>
        <w:t xml:space="preserve">. These modulations include slowing down and exaggerating sounds and actions. Similar findings were obtained in studies with adult learners, where exaggerations were observed when native British English speakers were talking to second language English learners</w:t>
      </w:r>
      <w:r>
        <w:t xml:space="preserve"> </w:t>
      </w:r>
      <w:r>
        <w:t xml:space="preserve">(Uther, Knoll, &amp; Burnham, 2007)</w:t>
      </w:r>
      <w:r>
        <w:t xml:space="preserve"> </w:t>
      </w:r>
      <w:r>
        <w:t xml:space="preserve">and when skilled adults were teaching xylophone melodies to novices</w:t>
      </w:r>
      <w:r>
        <w:t xml:space="preserve"> </w:t>
      </w:r>
      <w:r>
        <w:t xml:space="preserve">(McEllin, Knoblich, &amp; Sebanz, 2017)</w:t>
      </w:r>
      <w:r>
        <w:t xml:space="preserve">. The observed modulations are thought to provide communicative signals that can facilitate learning by affecting attention and memory</w:t>
      </w:r>
      <w:r>
        <w:t xml:space="preserve"> </w:t>
      </w:r>
      <w:r>
        <w:t xml:space="preserve">(Csibra &amp; Gergely, 2009)</w:t>
      </w:r>
      <w:r>
        <w:t xml:space="preserve">.</w:t>
      </w:r>
    </w:p>
    <w:p>
      <w:pPr>
        <w:pStyle w:val="Textkrper"/>
      </w:pPr>
      <w:r>
        <w:t xml:space="preserve">Previous research has shown that demonstrators not only adjust their gestures</w:t>
      </w:r>
      <w:r>
        <w:t xml:space="preserve"> </w:t>
      </w:r>
      <w:r>
        <w:t xml:space="preserve">(Campisi &amp; Özyürek, 2013)</w:t>
      </w:r>
      <w:r>
        <w:t xml:space="preserve"> </w:t>
      </w:r>
      <w:r>
        <w:t xml:space="preserve">and actions</w:t>
      </w:r>
      <w:r>
        <w:t xml:space="preserve"> </w:t>
      </w:r>
      <w:r>
        <w:t xml:space="preserve">(Fukuyama et al., 2015)</w:t>
      </w:r>
      <w:r>
        <w:t xml:space="preserve"> </w:t>
      </w:r>
      <w:r>
        <w:t xml:space="preserve">to learners’ skills but engage in specific action modulations to highlight certain aspects of demonstrated actions. For example, Schaik and colleagues</w:t>
      </w:r>
      <w:r>
        <w:t xml:space="preserve"> </w:t>
      </w:r>
      <w:r>
        <w:t xml:space="preserve">(Schaik, Meyer, Ham, &amp; Hunnius, 2019)</w:t>
      </w:r>
      <w:r>
        <w:t xml:space="preserve"> </w:t>
      </w:r>
      <w:r>
        <w:t xml:space="preserve">showed that adults used specific action modulations for demonstrating different action effects of objects to infants. Ho and colleagues</w:t>
      </w:r>
      <w:r>
        <w:t xml:space="preserve"> </w:t>
      </w:r>
      <w:r>
        <w:t xml:space="preserve">(Ho, Littman, MacGlashan, Cushman, &amp; Austerweil, 2016)</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t xml:space="preserve"> </w:t>
      </w:r>
      <w:r>
        <w:t xml:space="preserve">(Pezzulo, Donnarumma, &amp; Dindo, 2013)</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t xml:space="preserve"> </w:t>
      </w:r>
      <w:r>
        <w:t xml:space="preserve">(Laukka, 2004)</w:t>
      </w:r>
      <w:r>
        <w:t xml:space="preserve">. Expressive skills are generally considered to be separate from technical skills, however, fine motor control is required to implement subtle sound modulations in expressive performance</w:t>
      </w:r>
      <w:r>
        <w:t xml:space="preserve"> </w:t>
      </w:r>
      <w:r>
        <w:t xml:space="preserve">(Sloboda, 2000)</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t xml:space="preserve"> </w:t>
      </w:r>
      <w:r>
        <w:t xml:space="preserve">(Woody, 2000, 2006)</w:t>
      </w:r>
      <w:r>
        <w:t xml:space="preserve"> </w:t>
      </w:r>
      <w:r>
        <w:t xml:space="preserve">and non-verbal bodily cues</w:t>
      </w:r>
      <w:r>
        <w:t xml:space="preserve"> </w:t>
      </w:r>
      <w:r>
        <w:t xml:space="preserve">(Simones, Schroeder, &amp; Rodger, 2015)</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a 4/4 metre.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w:t>
      </w:r>
      <w:r>
        <w:t xml:space="preserve">1).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t xml:space="preserve"> </w:t>
      </w:r>
      <w:r>
        <w:t xml:space="preserve">(Bresin &amp; Battel, 2000)</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[Forte:</w:t>
      </w:r>
      <w:r>
        <w:t xml:space="preserve"> </w:t>
      </w:r>
      <w:r>
        <w:rPr>
          <w:iCs/>
          <w:i/>
        </w:rPr>
        <w:t xml:space="preserve">M</w:t>
      </w:r>
      <w:r>
        <w:t xml:space="preserve"> </w:t>
      </w:r>
      <w:r>
        <w:t xml:space="preserve">= 82.78,</w:t>
      </w:r>
      <w:r>
        <w:t xml:space="preserve"> </w:t>
      </w:r>
      <w:r>
        <w:rPr>
          <w:iCs/>
          <w:i/>
        </w:rPr>
        <w:t xml:space="preserve">SD</w:t>
      </w:r>
      <w:r>
        <w:t xml:space="preserve"> </w:t>
      </w:r>
      <w:r>
        <w:t xml:space="preserve">= 8.31, Piano:</w:t>
      </w:r>
      <w:r>
        <w:t xml:space="preserve"> </w:t>
      </w:r>
      <w:r>
        <w:rPr>
          <w:iCs/>
          <w:i/>
        </w:rPr>
        <w:t xml:space="preserve">M</w:t>
      </w:r>
      <w:r>
        <w:t xml:space="preserve"> </w:t>
      </w:r>
      <w:r>
        <w:t xml:space="preserve">= 60.63,</w:t>
      </w:r>
      <w:r>
        <w:t xml:space="preserve"> </w:t>
      </w:r>
      <w:r>
        <w:rPr>
          <w:iCs/>
          <w:i/>
        </w:rPr>
        <w:t xml:space="preserve">SD</w:t>
      </w:r>
      <w:r>
        <w:t xml:space="preserve"> </w:t>
      </w:r>
      <w:r>
        <w:t xml:space="preserve">= 5.08] and performing condition [Forte:</w:t>
      </w:r>
      <w:r>
        <w:t xml:space="preserve"> </w:t>
      </w:r>
      <w:r>
        <w:rPr>
          <w:iCs/>
          <w:i/>
        </w:rPr>
        <w:t xml:space="preserve">M</w:t>
      </w:r>
      <w:r>
        <w:t xml:space="preserve"> </w:t>
      </w:r>
      <w:r>
        <w:t xml:space="preserve">= 81.65,</w:t>
      </w:r>
      <w:r>
        <w:t xml:space="preserve"> </w:t>
      </w:r>
      <w:r>
        <w:rPr>
          <w:iCs/>
          <w:i/>
        </w:rPr>
        <w:t xml:space="preserve">SD</w:t>
      </w:r>
      <w:r>
        <w:t xml:space="preserve"> </w:t>
      </w:r>
      <w:r>
        <w:t xml:space="preserve">= 7.43, Piano:</w:t>
      </w:r>
      <w:r>
        <w:t xml:space="preserve"> </w:t>
      </w:r>
      <w:r>
        <w:rPr>
          <w:iCs/>
          <w:i/>
        </w:rPr>
        <w:t xml:space="preserve">M</w:t>
      </w:r>
      <w:r>
        <w:t xml:space="preserve"> </w:t>
      </w:r>
      <w:r>
        <w:t xml:space="preserve">= 60.99,</w:t>
      </w:r>
      <w:r>
        <w:t xml:space="preserve"> </w:t>
      </w:r>
      <w:r>
        <w:rPr>
          <w:iCs/>
          <w:i/>
        </w:rPr>
        <w:t xml:space="preserve">SD</w:t>
      </w:r>
      <w:r>
        <w:t xml:space="preserve"> </w:t>
      </w:r>
      <w:r>
        <w:t xml:space="preserve">= 4.41] for each subcomponent (Forte:</w:t>
      </w:r>
      <w:r>
        <w:t xml:space="preserve"> </w:t>
      </w:r>
      <w:r>
        <w:rPr>
          <w:iCs/>
          <w:i/>
        </w:rPr>
        <w:t xml:space="preserve">p</w:t>
      </w:r>
      <w:r>
        <w:t xml:space="preserve"> </w:t>
      </w:r>
      <w:r>
        <w:t xml:space="preserve">= 0.068, Piano:</w:t>
      </w:r>
      <w:r>
        <w:t xml:space="preserve"> </w:t>
      </w:r>
      <w:r>
        <w:rPr>
          <w:iCs/>
          <w:i/>
        </w:rPr>
        <w:t xml:space="preserve">p</w:t>
      </w:r>
      <w:r>
        <w:t xml:space="preserve"> </w:t>
      </w:r>
      <w:r>
        <w:t xml:space="preserve">= 0.24).</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t xml:space="preserve"> </w:t>
      </w:r>
      <w:r>
        <w:t xml:space="preserve">(e.g., Brand et al., 2002; McEllin et al., 2017)</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a 4/4 metre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w:t>
      </w:r>
      <w:r>
        <w:t xml:space="preserve">1). Third, participants could choose their preferred tempo from one of three options (100, 110 and 120 quarter beats per minute) because some evidence shows that musicians have their own preferred tempo, which affects their temporal variability</w:t>
      </w:r>
      <w:r>
        <w:t xml:space="preserve"> </w:t>
      </w:r>
      <w:r>
        <w:t xml:space="preserve">(Zamm, Wang, &amp; Palmer, 2018)</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post-hoc comparions did not find significant differences between the two conditions for each subcomponent.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techniques necessary to implement musical expressions. Overall, the findings of the two experiments showed that pianists performed one and the same piece differently depending on whether they played with the intention to teach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t xml:space="preserve"> </w:t>
      </w:r>
      <w:r>
        <w:t xml:space="preserve">(Okazaki, Muraoka, &amp; Osu, 2019)</w:t>
      </w:r>
      <w:r>
        <w:t xml:space="preserve">, future studies are needed to investigate how experts dynamically adapt their performance to their students’ skill levels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 We summarised descriptive statistics depending on participants’ teaching experience (see</w:t>
      </w:r>
      <w:r>
        <w:t xml:space="preserve"> </w:t>
      </w:r>
      <w:hyperlink w:anchor="supplementary">
        <w:r>
          <w:rPr>
            <w:rStyle w:val="Hyperlink"/>
            <w:iCs/>
            <w:i/>
          </w:rPr>
          <w:t xml:space="preserve">Supplementary Material</w:t>
        </w:r>
      </w:hyperlink>
      <w:r>
        <w:t xml:space="preserve"> </w:t>
      </w:r>
      <w:r>
        <w:t xml:space="preserve">2).</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We quantified participants’ sound modulations in terms of tempo, articulation and dynamics so as to examine if and how participants modulate their sound. However, it is possible that participants show didactic modulations in other aspects such as temporal variability and temporal grouping (see</w:t>
      </w:r>
      <w:r>
        <w:t xml:space="preserve"> </w:t>
      </w:r>
      <w:hyperlink w:anchor="supplementary">
        <w:r>
          <w:rPr>
            <w:rStyle w:val="Hyperlink"/>
            <w:iCs/>
            <w:i/>
          </w:rPr>
          <w:t xml:space="preserve">Supplementary Materials</w:t>
        </w:r>
      </w:hyperlink>
      <w:r>
        <w:t xml:space="preserve"> </w:t>
      </w:r>
      <w:r>
        <w:t xml:space="preserve">3 and 4). For example, participants tended to slow down at transition points regardless of the techniques they were teaching although overall, we found that participants played slower only when teaching the piece with the notated articulation. Future research is needed to investigate how musicians make particular modulations in relation to musical structures.</w:t>
      </w:r>
    </w:p>
    <w:p>
      <w:pPr>
        <w:pStyle w:val="Textkrper"/>
      </w:pPr>
      <w:r>
        <w:t xml:space="preserve">Musicians and music teachers tend to consider expressive skills as performers’ most important skills</w:t>
      </w:r>
      <w:r>
        <w:t xml:space="preserve"> </w:t>
      </w:r>
      <w:r>
        <w:t xml:space="preserve">(Lindström, Juslin, Bresin, &amp; Williamon, 2003)</w:t>
      </w:r>
      <w:r>
        <w:t xml:space="preserve">. In the present study, experts focused on the teaching of specific expressions that were notated. However, expression also has other facets</w:t>
      </w:r>
      <w:r>
        <w:t xml:space="preserve"> </w:t>
      </w:r>
      <w:r>
        <w:t xml:space="preserve">(Juslin, 2003)</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t xml:space="preserve"> </w:t>
      </w:r>
      <w:r>
        <w:t xml:space="preserve">(Meissner, 2021)</w:t>
      </w:r>
      <w:r>
        <w:t xml:space="preserve">. The current research opens up the possibility of studying the teaching of expressive performance by demonstrating that pianists could signal didactic intentions without relying on verbal instructions, which are heavily used in actual teaching settings</w:t>
      </w:r>
      <w:r>
        <w:t xml:space="preserve"> </w:t>
      </w:r>
      <w:r>
        <w:t xml:space="preserve">(Colprit, 2000; Woody, 2000)</w:t>
      </w:r>
      <w:r>
        <w:t xml:space="preserve">. Given that students often learn by listening to recordings</w:t>
      </w:r>
      <w:r>
        <w:t xml:space="preserve"> </w:t>
      </w:r>
      <w:r>
        <w:t xml:space="preserve">(Volioti &amp; Williamon, 2017)</w:t>
      </w:r>
      <w:r>
        <w:t xml:space="preserve">, it is important to investigate how performance itself could affect students’ learning processes. It would also be interesting to examine how teachers’ playing (i.e., demonstrations) relates to the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t xml:space="preserve"> </w:t>
      </w:r>
      <w:r>
        <w:t xml:space="preserve">(Sperber &amp; Wilson, 1995)</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35" w:name="references"/>
    <w:p>
      <w:pPr>
        <w:pStyle w:val="berschrift1"/>
      </w:pPr>
      <w:r>
        <w:t xml:space="preserve">References</w:t>
      </w:r>
    </w:p>
    <w:bookmarkStart w:id="134" w:name="refs"/>
    <w:bookmarkStart w:id="86" w:name="ref-brand_2002"/>
    <w:p>
      <w:pPr>
        <w:pStyle w:val="Literaturverzeichnis"/>
      </w:pPr>
      <w:r>
        <w:t xml:space="preserve">Brand, R. J., Baldwin, D. A., &amp; Ashburn, L. A. (2002). Evidence for</w:t>
      </w:r>
      <w:r>
        <w:t xml:space="preserve"> </w:t>
      </w:r>
      <w:r>
        <w:t xml:space="preserve">“motionese”</w:t>
      </w:r>
      <w:r>
        <w:t xml:space="preserve">: Modifications in mothers’ infant-directed action.</w:t>
      </w:r>
      <w:r>
        <w:t xml:space="preserve"> </w:t>
      </w:r>
      <w:r>
        <w:rPr>
          <w:iCs/>
          <w:i/>
        </w:rPr>
        <w:t xml:space="preserve">Developmental Science</w:t>
      </w:r>
      <w:r>
        <w:t xml:space="preserve">,</w:t>
      </w:r>
      <w:r>
        <w:t xml:space="preserve"> </w:t>
      </w:r>
      <w:r>
        <w:rPr>
          <w:iCs/>
          <w:i/>
        </w:rPr>
        <w:t xml:space="preserve">5</w:t>
      </w:r>
      <w:r>
        <w:t xml:space="preserve">(1), 72–83.</w:t>
      </w:r>
      <w:r>
        <w:t xml:space="preserve"> </w:t>
      </w:r>
      <w:hyperlink r:id="rId85">
        <w:r>
          <w:rPr>
            <w:rStyle w:val="Hyperlink"/>
          </w:rPr>
          <w:t xml:space="preserve">https://doi.org/10.1111/1467-7687.00211</w:t>
        </w:r>
      </w:hyperlink>
    </w:p>
    <w:bookmarkEnd w:id="86"/>
    <w:bookmarkStart w:id="88" w:name="ref-bresin_2000"/>
    <w:p>
      <w:pPr>
        <w:pStyle w:val="Literaturverzeichnis"/>
      </w:pPr>
      <w:r>
        <w:t xml:space="preserve">Bresin, R., &amp; Battel, G. U. (2000). Articulation</w:t>
      </w:r>
      <w:r>
        <w:t xml:space="preserve"> </w:t>
      </w:r>
      <w:r>
        <w:t xml:space="preserve">Strategies</w:t>
      </w:r>
      <w:r>
        <w:t xml:space="preserve"> </w:t>
      </w:r>
      <w:r>
        <w:t xml:space="preserve">in</w:t>
      </w:r>
      <w:r>
        <w:t xml:space="preserve"> </w:t>
      </w:r>
      <w:r>
        <w:t xml:space="preserve">Expressive Piano Performance Analysis</w:t>
      </w:r>
      <w:r>
        <w:t xml:space="preserve"> </w:t>
      </w:r>
      <w:r>
        <w:t xml:space="preserve">of</w:t>
      </w:r>
      <w:r>
        <w:t xml:space="preserve"> </w:t>
      </w:r>
      <w:r>
        <w:t xml:space="preserve">Legato</w:t>
      </w:r>
      <w:r>
        <w:t xml:space="preserve">,</w:t>
      </w:r>
      <w:r>
        <w:t xml:space="preserve"> </w:t>
      </w:r>
      <w:r>
        <w:t xml:space="preserve">Staccato</w:t>
      </w:r>
      <w:r>
        <w:t xml:space="preserve">, and</w:t>
      </w:r>
      <w:r>
        <w:t xml:space="preserve"> </w:t>
      </w:r>
      <w:r>
        <w:t xml:space="preserve">Repeated Notes</w:t>
      </w:r>
      <w:r>
        <w:t xml:space="preserve"> </w:t>
      </w:r>
      <w:r>
        <w:t xml:space="preserve">in</w:t>
      </w:r>
      <w:r>
        <w:t xml:space="preserve"> </w:t>
      </w:r>
      <w:r>
        <w:t xml:space="preserve">Performances</w:t>
      </w:r>
      <w:r>
        <w:t xml:space="preserve"> </w:t>
      </w:r>
      <w:r>
        <w:t xml:space="preserve">of the</w:t>
      </w:r>
      <w:r>
        <w:t xml:space="preserve"> </w:t>
      </w:r>
      <w:r>
        <w:t xml:space="preserve">Andante Movement</w:t>
      </w:r>
      <w:r>
        <w:t xml:space="preserve"> </w:t>
      </w:r>
      <w:r>
        <w:t xml:space="preserve">of</w:t>
      </w:r>
      <w:r>
        <w:t xml:space="preserve"> </w:t>
      </w:r>
      <w:r>
        <w:t xml:space="preserve">Mozart</w:t>
      </w:r>
      <w:r>
        <w:t xml:space="preserve">’s</w:t>
      </w:r>
      <w:r>
        <w:t xml:space="preserve"> </w:t>
      </w:r>
      <w:r>
        <w:t xml:space="preserve">Sonata</w:t>
      </w:r>
      <w:r>
        <w:t xml:space="preserve"> </w:t>
      </w:r>
      <w:r>
        <w:t xml:space="preserve">in</w:t>
      </w:r>
      <w:r>
        <w:t xml:space="preserve"> </w:t>
      </w:r>
      <w:r>
        <w:t xml:space="preserve">G Major</w:t>
      </w:r>
      <w:r>
        <w:t xml:space="preserve"> </w:t>
      </w:r>
      <w:r>
        <w:t xml:space="preserve">(</w:t>
      </w:r>
      <w:r>
        <w:t xml:space="preserve">K</w:t>
      </w:r>
      <w:r>
        <w:t xml:space="preserve"> </w:t>
      </w:r>
      <w:r>
        <w:t xml:space="preserve">545).</w:t>
      </w:r>
      <w:r>
        <w:t xml:space="preserve"> </w:t>
      </w:r>
      <w:r>
        <w:rPr>
          <w:iCs/>
          <w:i/>
        </w:rPr>
        <w:t xml:space="preserve">Journal of New Music Research</w:t>
      </w:r>
      <w:r>
        <w:t xml:space="preserve">,</w:t>
      </w:r>
      <w:r>
        <w:t xml:space="preserve"> </w:t>
      </w:r>
      <w:r>
        <w:rPr>
          <w:iCs/>
          <w:i/>
        </w:rPr>
        <w:t xml:space="preserve">29</w:t>
      </w:r>
      <w:r>
        <w:t xml:space="preserve">(3), 211–224.</w:t>
      </w:r>
      <w:r>
        <w:t xml:space="preserve"> </w:t>
      </w:r>
      <w:hyperlink r:id="rId87">
        <w:r>
          <w:rPr>
            <w:rStyle w:val="Hyperlink"/>
          </w:rPr>
          <w:t xml:space="preserve">https://doi.org/10.1076/jnmr.29.3.211.3092</w:t>
        </w:r>
      </w:hyperlink>
    </w:p>
    <w:bookmarkEnd w:id="88"/>
    <w:bookmarkStart w:id="90" w:name="ref-campisi_2013"/>
    <w:p>
      <w:pPr>
        <w:pStyle w:val="Literaturverzeichnis"/>
      </w:pPr>
      <w:r>
        <w:t xml:space="preserve">Campisi, E., &amp; Özyürek, A. (2013). Iconicity as a communicative strategy:</w:t>
      </w:r>
      <w:r>
        <w:t xml:space="preserve"> </w:t>
      </w:r>
      <w:r>
        <w:t xml:space="preserve">Recipient</w:t>
      </w:r>
      <w:r>
        <w:t xml:space="preserve"> </w:t>
      </w:r>
      <w:r>
        <w:t xml:space="preserve">design in multimodal demonstrations for adults and children.</w:t>
      </w:r>
      <w:r>
        <w:t xml:space="preserve"> </w:t>
      </w:r>
      <w:r>
        <w:rPr>
          <w:iCs/>
          <w:i/>
        </w:rPr>
        <w:t xml:space="preserve">Journal of Pragmatics</w:t>
      </w:r>
      <w:r>
        <w:t xml:space="preserve">,</w:t>
      </w:r>
      <w:r>
        <w:t xml:space="preserve"> </w:t>
      </w:r>
      <w:r>
        <w:rPr>
          <w:iCs/>
          <w:i/>
        </w:rPr>
        <w:t xml:space="preserve">47</w:t>
      </w:r>
      <w:r>
        <w:t xml:space="preserve">(1), 14–27.</w:t>
      </w:r>
      <w:r>
        <w:t xml:space="preserve"> </w:t>
      </w:r>
      <w:hyperlink r:id="rId89">
        <w:r>
          <w:rPr>
            <w:rStyle w:val="Hyperlink"/>
          </w:rPr>
          <w:t xml:space="preserve">https://doi.org/10.1016/j.pragma.2012.12.007</w:t>
        </w:r>
      </w:hyperlink>
    </w:p>
    <w:bookmarkEnd w:id="90"/>
    <w:bookmarkStart w:id="92" w:name="ref-colprit_2000"/>
    <w:p>
      <w:pPr>
        <w:pStyle w:val="Literaturverzeichnis"/>
      </w:pPr>
      <w:r>
        <w:t xml:space="preserve">Colprit, E. J. (2000). Observation and</w:t>
      </w:r>
      <w:r>
        <w:t xml:space="preserve"> </w:t>
      </w:r>
      <w:r>
        <w:t xml:space="preserve">Analysis</w:t>
      </w:r>
      <w:r>
        <w:t xml:space="preserve"> </w:t>
      </w:r>
      <w:r>
        <w:t xml:space="preserve">of</w:t>
      </w:r>
      <w:r>
        <w:t xml:space="preserve"> </w:t>
      </w:r>
      <w:r>
        <w:t xml:space="preserve">Suzuki String Teaching</w:t>
      </w:r>
      <w:r>
        <w:t xml:space="preserve">.</w:t>
      </w:r>
      <w:r>
        <w:t xml:space="preserve"> </w:t>
      </w:r>
      <w:r>
        <w:rPr>
          <w:iCs/>
          <w:i/>
        </w:rPr>
        <w:t xml:space="preserve">Journal of Research in Music Education</w:t>
      </w:r>
      <w:r>
        <w:t xml:space="preserve">,</w:t>
      </w:r>
      <w:r>
        <w:t xml:space="preserve"> </w:t>
      </w:r>
      <w:r>
        <w:rPr>
          <w:iCs/>
          <w:i/>
        </w:rPr>
        <w:t xml:space="preserve">48</w:t>
      </w:r>
      <w:r>
        <w:t xml:space="preserve">(3), 206–221.</w:t>
      </w:r>
      <w:r>
        <w:t xml:space="preserve"> </w:t>
      </w:r>
      <w:hyperlink r:id="rId91">
        <w:r>
          <w:rPr>
            <w:rStyle w:val="Hyperlink"/>
          </w:rPr>
          <w:t xml:space="preserve">https://doi.org/10.2307/3345394</w:t>
        </w:r>
      </w:hyperlink>
    </w:p>
    <w:bookmarkEnd w:id="92"/>
    <w:bookmarkStart w:id="94" w:name="ref-csibra_2009"/>
    <w:p>
      <w:pPr>
        <w:pStyle w:val="Literaturverzeichnis"/>
      </w:pPr>
      <w:r>
        <w:t xml:space="preserve">Csibra, G., &amp; Gergely, G. (2009). Natural pedagogy.</w:t>
      </w:r>
      <w:r>
        <w:t xml:space="preserve"> </w:t>
      </w:r>
      <w:r>
        <w:rPr>
          <w:iCs/>
          <w:i/>
        </w:rPr>
        <w:t xml:space="preserve">Trends in Cognitive Sciences</w:t>
      </w:r>
      <w:r>
        <w:t xml:space="preserve">,</w:t>
      </w:r>
      <w:r>
        <w:t xml:space="preserve"> </w:t>
      </w:r>
      <w:r>
        <w:rPr>
          <w:iCs/>
          <w:i/>
        </w:rPr>
        <w:t xml:space="preserve">13</w:t>
      </w:r>
      <w:r>
        <w:t xml:space="preserve">(4), 148–153.</w:t>
      </w:r>
      <w:r>
        <w:t xml:space="preserve"> </w:t>
      </w:r>
      <w:hyperlink r:id="rId93">
        <w:r>
          <w:rPr>
            <w:rStyle w:val="Hyperlink"/>
          </w:rPr>
          <w:t xml:space="preserve">https://doi.org/10.1016/j.tics.2009.01.005</w:t>
        </w:r>
      </w:hyperlink>
    </w:p>
    <w:bookmarkEnd w:id="94"/>
    <w:bookmarkStart w:id="96" w:name="ref-fukuyama_2015"/>
    <w:p>
      <w:pPr>
        <w:pStyle w:val="Literaturverzeichnis"/>
      </w:pPr>
      <w:r>
        <w:t xml:space="preserve">Fukuyama, H., Qin, S., Kanakogi, Y., Nagai, Y., Asada, M., &amp; Myowa-Yamakoshi, M. (2015). Infant’s action skill dynamically modulates parental action demonstration in the dyadic interaction.</w:t>
      </w:r>
      <w:r>
        <w:t xml:space="preserve"> </w:t>
      </w:r>
      <w:r>
        <w:rPr>
          <w:iCs/>
          <w:i/>
        </w:rPr>
        <w:t xml:space="preserve">Developmental Science</w:t>
      </w:r>
      <w:r>
        <w:t xml:space="preserve">,</w:t>
      </w:r>
      <w:r>
        <w:t xml:space="preserve"> </w:t>
      </w:r>
      <w:r>
        <w:rPr>
          <w:iCs/>
          <w:i/>
        </w:rPr>
        <w:t xml:space="preserve">18</w:t>
      </w:r>
      <w:r>
        <w:t xml:space="preserve">(6), 1006–1013.</w:t>
      </w:r>
      <w:r>
        <w:t xml:space="preserve"> </w:t>
      </w:r>
      <w:hyperlink r:id="rId95">
        <w:r>
          <w:rPr>
            <w:rStyle w:val="Hyperlink"/>
          </w:rPr>
          <w:t xml:space="preserve">https://doi.org/10.1111/desc.12270</w:t>
        </w:r>
      </w:hyperlink>
    </w:p>
    <w:bookmarkEnd w:id="96"/>
    <w:bookmarkStart w:id="97" w:name="ref-NIPS2016_6413"/>
    <w:p>
      <w:pPr>
        <w:pStyle w:val="Literaturverzeichnis"/>
      </w:pPr>
      <w:r>
        <w:t xml:space="preserve">Ho, M. K., Littman, M., MacGlashan, J., Cushman, F., &amp; Austerweil, J. L. (2016). Showing versus doing:</w:t>
      </w:r>
      <w:r>
        <w:t xml:space="preserve"> </w:t>
      </w:r>
      <w:r>
        <w:t xml:space="preserve">Teaching</w:t>
      </w:r>
      <w:r>
        <w:t xml:space="preserve"> </w:t>
      </w:r>
      <w:r>
        <w:t xml:space="preserve">by demonstration. In D. D. Lee, M. Sugiyama, U. V. Luxburg, I. Guyon, &amp; R. Garnett (Eds.),</w:t>
      </w:r>
      <w:r>
        <w:t xml:space="preserve"> </w:t>
      </w:r>
      <w:r>
        <w:rPr>
          <w:iCs/>
          <w:i/>
        </w:rPr>
        <w:t xml:space="preserve">Advances in neural information processing systems 29</w:t>
      </w:r>
      <w:r>
        <w:t xml:space="preserve"> </w:t>
      </w:r>
      <w:r>
        <w:t xml:space="preserve">(pp. 3027–3035).</w:t>
      </w:r>
      <w:r>
        <w:t xml:space="preserve"> </w:t>
      </w:r>
      <w:r>
        <w:t xml:space="preserve">Curran Associates, Inc.</w:t>
      </w:r>
    </w:p>
    <w:bookmarkEnd w:id="97"/>
    <w:bookmarkStart w:id="99" w:name="ref-juslin_2003"/>
    <w:p>
      <w:pPr>
        <w:pStyle w:val="Literaturverzeichnis"/>
      </w:pPr>
      <w:r>
        <w:t xml:space="preserve">Juslin, P. N. (2003). Five</w:t>
      </w:r>
      <w:r>
        <w:t xml:space="preserve"> </w:t>
      </w:r>
      <w:r>
        <w:t xml:space="preserve">Facets</w:t>
      </w:r>
      <w:r>
        <w:t xml:space="preserve"> </w:t>
      </w:r>
      <w:r>
        <w:t xml:space="preserve">of</w:t>
      </w:r>
      <w:r>
        <w:t xml:space="preserve"> </w:t>
      </w:r>
      <w:r>
        <w:t xml:space="preserve">Musical Expression</w:t>
      </w:r>
      <w:r>
        <w:t xml:space="preserve">:</w:t>
      </w:r>
      <w:r>
        <w:t xml:space="preserve"> </w:t>
      </w:r>
      <w:r>
        <w:t xml:space="preserve">A Psychologist</w:t>
      </w:r>
      <w:r>
        <w:t xml:space="preserve">’s</w:t>
      </w:r>
      <w:r>
        <w:t xml:space="preserve"> </w:t>
      </w:r>
      <w:r>
        <w:t xml:space="preserve">Perspective</w:t>
      </w:r>
      <w:r>
        <w:t xml:space="preserve"> </w:t>
      </w:r>
      <w:r>
        <w:t xml:space="preserve">on</w:t>
      </w:r>
      <w:r>
        <w:t xml:space="preserve"> </w:t>
      </w:r>
      <w:r>
        <w:t xml:space="preserve">Music Performance</w:t>
      </w:r>
      <w:r>
        <w:t xml:space="preserve">.</w:t>
      </w:r>
      <w:r>
        <w:t xml:space="preserve"> </w:t>
      </w:r>
      <w:r>
        <w:rPr>
          <w:iCs/>
          <w:i/>
        </w:rPr>
        <w:t xml:space="preserve">Psychology of Music</w:t>
      </w:r>
      <w:r>
        <w:t xml:space="preserve">,</w:t>
      </w:r>
      <w:r>
        <w:t xml:space="preserve"> </w:t>
      </w:r>
      <w:r>
        <w:rPr>
          <w:iCs/>
          <w:i/>
        </w:rPr>
        <w:t xml:space="preserve">31</w:t>
      </w:r>
      <w:r>
        <w:t xml:space="preserve">(3), 273–302.</w:t>
      </w:r>
      <w:r>
        <w:t xml:space="preserve"> </w:t>
      </w:r>
      <w:hyperlink r:id="rId98">
        <w:r>
          <w:rPr>
            <w:rStyle w:val="Hyperlink"/>
          </w:rPr>
          <w:t xml:space="preserve">https://doi.org/10.1177/03057356030313003</w:t>
        </w:r>
      </w:hyperlink>
    </w:p>
    <w:bookmarkEnd w:id="99"/>
    <w:bookmarkStart w:id="101" w:name="ref-laukka_2004"/>
    <w:p>
      <w:pPr>
        <w:pStyle w:val="Literaturverzeichnis"/>
      </w:pPr>
      <w:r>
        <w:t xml:space="preserve">Laukka, P. (2004). Instrumental music teachers’ views on expressivity: A report from music conservatoires.</w:t>
      </w:r>
      <w:r>
        <w:t xml:space="preserve"> </w:t>
      </w:r>
      <w:r>
        <w:rPr>
          <w:iCs/>
          <w:i/>
        </w:rPr>
        <w:t xml:space="preserve">Music Education Research</w:t>
      </w:r>
      <w:r>
        <w:t xml:space="preserve">,</w:t>
      </w:r>
      <w:r>
        <w:t xml:space="preserve"> </w:t>
      </w:r>
      <w:r>
        <w:rPr>
          <w:iCs/>
          <w:i/>
        </w:rPr>
        <w:t xml:space="preserve">6</w:t>
      </w:r>
      <w:r>
        <w:t xml:space="preserve">(1), 45–56.</w:t>
      </w:r>
      <w:r>
        <w:t xml:space="preserve"> </w:t>
      </w:r>
      <w:hyperlink r:id="rId100">
        <w:r>
          <w:rPr>
            <w:rStyle w:val="Hyperlink"/>
          </w:rPr>
          <w:t xml:space="preserve">https://doi.org/10.1080/1461380032000182821</w:t>
        </w:r>
      </w:hyperlink>
    </w:p>
    <w:bookmarkEnd w:id="101"/>
    <w:bookmarkStart w:id="103" w:name="ref-lindstrom_2003"/>
    <w:p>
      <w:pPr>
        <w:pStyle w:val="Literaturverzeichnis"/>
      </w:pPr>
      <w:r>
        <w:t xml:space="preserve">Lindström, E., Juslin, P. N., Bresin, R., &amp; Williamon, A. (2003).</w:t>
      </w:r>
      <w:r>
        <w:t xml:space="preserve"> </w:t>
      </w:r>
      <w:r>
        <w:t xml:space="preserve">“</w:t>
      </w:r>
      <w:r>
        <w:t xml:space="preserve">Expressivity</w:t>
      </w:r>
      <w:r>
        <w:t xml:space="preserve"> </w:t>
      </w:r>
      <w:r>
        <w:t xml:space="preserve">comes from within your soul”</w:t>
      </w:r>
      <w:r>
        <w:t xml:space="preserve">:</w:t>
      </w:r>
      <w:r>
        <w:t xml:space="preserve"> </w:t>
      </w:r>
      <w:r>
        <w:t xml:space="preserve">A</w:t>
      </w:r>
      <w:r>
        <w:t xml:space="preserve"> </w:t>
      </w:r>
      <w:r>
        <w:t xml:space="preserve">questionnaire study of music students’ perspectives on expressivity.</w:t>
      </w:r>
      <w:r>
        <w:t xml:space="preserve"> </w:t>
      </w:r>
      <w:r>
        <w:rPr>
          <w:iCs/>
          <w:i/>
        </w:rPr>
        <w:t xml:space="preserve">Research Studies in Music Education</w:t>
      </w:r>
      <w:r>
        <w:t xml:space="preserve">,</w:t>
      </w:r>
      <w:r>
        <w:t xml:space="preserve"> </w:t>
      </w:r>
      <w:r>
        <w:rPr>
          <w:iCs/>
          <w:i/>
        </w:rPr>
        <w:t xml:space="preserve">20</w:t>
      </w:r>
      <w:r>
        <w:t xml:space="preserve">(1), 23–47.</w:t>
      </w:r>
      <w:r>
        <w:t xml:space="preserve"> </w:t>
      </w:r>
      <w:hyperlink r:id="rId102">
        <w:r>
          <w:rPr>
            <w:rStyle w:val="Hyperlink"/>
          </w:rPr>
          <w:t xml:space="preserve">https://doi.org/10.1177/1321103X030200010201</w:t>
        </w:r>
      </w:hyperlink>
    </w:p>
    <w:bookmarkEnd w:id="103"/>
    <w:bookmarkStart w:id="105" w:name="ref-mcellin_2017"/>
    <w:p>
      <w:pPr>
        <w:pStyle w:val="Literaturverzeichnis"/>
      </w:pPr>
      <w:r>
        <w:t xml:space="preserve">McEllin, L., Knoblich, G., &amp; Sebanz, N. (2017). Distinct kinematic markers of demonstration and joint action coordination?</w:t>
      </w:r>
      <w:r>
        <w:t xml:space="preserve"> </w:t>
      </w:r>
      <w:r>
        <w:t xml:space="preserve">Evidence</w:t>
      </w:r>
      <w:r>
        <w:t xml:space="preserve"> </w:t>
      </w:r>
      <w:r>
        <w:t xml:space="preserve">from virtual xylophone playing.</w:t>
      </w:r>
      <w:r>
        <w:t xml:space="preserve"> </w:t>
      </w:r>
      <w:r>
        <w:rPr>
          <w:iCs/>
          <w:i/>
        </w:rPr>
        <w:t xml:space="preserve">Journal of Experimental Psychology: Human Perception and Performance</w:t>
      </w:r>
      <w:r>
        <w:t xml:space="preserve">,</w:t>
      </w:r>
      <w:r>
        <w:t xml:space="preserve"> </w:t>
      </w:r>
      <w:r>
        <w:rPr>
          <w:iCs/>
          <w:i/>
        </w:rPr>
        <w:t xml:space="preserve">44</w:t>
      </w:r>
      <w:r>
        <w:t xml:space="preserve">(6), 885.</w:t>
      </w:r>
      <w:r>
        <w:t xml:space="preserve"> </w:t>
      </w:r>
      <w:hyperlink r:id="rId104">
        <w:r>
          <w:rPr>
            <w:rStyle w:val="Hyperlink"/>
          </w:rPr>
          <w:t xml:space="preserve">https://doi.org/10.1037/xhp0000505</w:t>
        </w:r>
      </w:hyperlink>
    </w:p>
    <w:bookmarkEnd w:id="105"/>
    <w:bookmarkStart w:id="106" w:name="ref-meissner_2021"/>
    <w:p>
      <w:pPr>
        <w:pStyle w:val="Literaturverzeichnis"/>
      </w:pPr>
      <w:r>
        <w:t xml:space="preserve">Meissner, H. (2021).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w:t>
      </w:r>
      <w:r>
        <w:t xml:space="preserve"> </w:t>
      </w:r>
      <w:r>
        <w:rPr>
          <w:iCs/>
          <w:i/>
        </w:rPr>
        <w:t xml:space="preserve">11</w:t>
      </w:r>
      <w:r>
        <w:t xml:space="preserve">.</w:t>
      </w:r>
    </w:p>
    <w:bookmarkEnd w:id="106"/>
    <w:bookmarkStart w:id="108" w:name="ref-okazaki_2019"/>
    <w:p>
      <w:pPr>
        <w:pStyle w:val="Literaturverzeichnis"/>
      </w:pPr>
      <w:r>
        <w:t xml:space="preserve">Okazaki, S., Muraoka, Y., &amp; Osu, R. (2019). Teacher-learner interaction quantifies scaffolding behaviour in imitation learning.</w:t>
      </w:r>
      <w:r>
        <w:t xml:space="preserve"> </w:t>
      </w:r>
      <w:r>
        <w:rPr>
          <w:iCs/>
          <w:i/>
        </w:rPr>
        <w:t xml:space="preserve">Sci Rep</w:t>
      </w:r>
      <w:r>
        <w:t xml:space="preserve">,</w:t>
      </w:r>
      <w:r>
        <w:t xml:space="preserve"> </w:t>
      </w:r>
      <w:r>
        <w:rPr>
          <w:iCs/>
          <w:i/>
        </w:rPr>
        <w:t xml:space="preserve">9</w:t>
      </w:r>
      <w:r>
        <w:t xml:space="preserve">(1), 1–13.</w:t>
      </w:r>
      <w:r>
        <w:t xml:space="preserve"> </w:t>
      </w:r>
      <w:hyperlink r:id="rId107">
        <w:r>
          <w:rPr>
            <w:rStyle w:val="Hyperlink"/>
          </w:rPr>
          <w:t xml:space="preserve">https://doi.org/10.1038/s41598-019-44049-x</w:t>
        </w:r>
      </w:hyperlink>
    </w:p>
    <w:bookmarkEnd w:id="108"/>
    <w:bookmarkStart w:id="110" w:name="ref-pezzulo_2013"/>
    <w:p>
      <w:pPr>
        <w:pStyle w:val="Literaturverzeichnis"/>
      </w:pPr>
      <w:r>
        <w:t xml:space="preserve">Pezzulo, G., Donnarumma, F., &amp; Dindo, H. (2013). Human</w:t>
      </w:r>
      <w:r>
        <w:t xml:space="preserve"> </w:t>
      </w:r>
      <w:r>
        <w:t xml:space="preserve">Sensorimotor Communication</w:t>
      </w:r>
      <w:r>
        <w:t xml:space="preserve">:</w:t>
      </w:r>
      <w:r>
        <w:t xml:space="preserve"> </w:t>
      </w:r>
      <w:r>
        <w:t xml:space="preserve">A Theory</w:t>
      </w:r>
      <w:r>
        <w:t xml:space="preserve"> </w:t>
      </w:r>
      <w:r>
        <w:t xml:space="preserve">of</w:t>
      </w:r>
      <w:r>
        <w:t xml:space="preserve"> </w:t>
      </w:r>
      <w:r>
        <w:t xml:space="preserve">Signaling</w:t>
      </w:r>
      <w:r>
        <w:t xml:space="preserve"> </w:t>
      </w:r>
      <w:r>
        <w:t xml:space="preserve">in</w:t>
      </w:r>
      <w:r>
        <w:t xml:space="preserve"> </w:t>
      </w:r>
      <w:r>
        <w:t xml:space="preserve">Online Social Interactions</w:t>
      </w:r>
      <w:r>
        <w:t xml:space="preserve">.</w:t>
      </w:r>
      <w:r>
        <w:t xml:space="preserve"> </w:t>
      </w:r>
      <w:r>
        <w:rPr>
          <w:iCs/>
          <w:i/>
        </w:rPr>
        <w:t xml:space="preserve">PLOS ONE</w:t>
      </w:r>
      <w:r>
        <w:t xml:space="preserve">,</w:t>
      </w:r>
      <w:r>
        <w:t xml:space="preserve"> </w:t>
      </w:r>
      <w:r>
        <w:rPr>
          <w:iCs/>
          <w:i/>
        </w:rPr>
        <w:t xml:space="preserve">8</w:t>
      </w:r>
      <w:r>
        <w:t xml:space="preserve">(11), e79876.</w:t>
      </w:r>
      <w:r>
        <w:t xml:space="preserve"> </w:t>
      </w:r>
      <w:hyperlink r:id="rId109">
        <w:r>
          <w:rPr>
            <w:rStyle w:val="Hyperlink"/>
          </w:rPr>
          <w:t xml:space="preserve">https://doi.org/10.1371/journal.pone.0079876</w:t>
        </w:r>
      </w:hyperlink>
    </w:p>
    <w:bookmarkEnd w:id="110"/>
    <w:bookmarkStart w:id="112" w:name="ref-saint-georges_2013"/>
    <w:p>
      <w:pPr>
        <w:pStyle w:val="Literaturverzeichnis"/>
      </w:pPr>
      <w:r>
        <w:t xml:space="preserve">Saint-Georges, C., Chetouani, M., Cassel, R., Apicella, F., Mahdhaoui, A., Muratori, F., … Cohen, D. (2013). Motherese in</w:t>
      </w:r>
      <w:r>
        <w:t xml:space="preserve"> </w:t>
      </w:r>
      <w:r>
        <w:t xml:space="preserve">Interaction</w:t>
      </w:r>
      <w:r>
        <w:t xml:space="preserve">:</w:t>
      </w:r>
      <w:r>
        <w:t xml:space="preserve"> </w:t>
      </w:r>
      <w:r>
        <w:t xml:space="preserve">At</w:t>
      </w:r>
      <w:r>
        <w:t xml:space="preserve"> </w:t>
      </w:r>
      <w:r>
        <w:t xml:space="preserve">the</w:t>
      </w:r>
      <w:r>
        <w:t xml:space="preserve"> </w:t>
      </w:r>
      <w:r>
        <w:t xml:space="preserve">Cross-Road</w:t>
      </w:r>
      <w:r>
        <w:t xml:space="preserve"> </w:t>
      </w:r>
      <w:r>
        <w:t xml:space="preserve">of</w:t>
      </w:r>
      <w:r>
        <w:t xml:space="preserve"> </w:t>
      </w:r>
      <w:r>
        <w:t xml:space="preserve">Emotion</w:t>
      </w:r>
      <w:r>
        <w:t xml:space="preserve"> </w:t>
      </w:r>
      <w:r>
        <w:t xml:space="preserve">and</w:t>
      </w:r>
      <w:r>
        <w:t xml:space="preserve"> </w:t>
      </w:r>
      <w:r>
        <w:t xml:space="preserve">Cognition</w:t>
      </w:r>
      <w:r>
        <w:t xml:space="preserve">? (</w:t>
      </w:r>
      <w:r>
        <w:t xml:space="preserve">A Systematic Review</w:t>
      </w:r>
      <w:r>
        <w:t xml:space="preserve">).</w:t>
      </w:r>
      <w:r>
        <w:t xml:space="preserve"> </w:t>
      </w:r>
      <w:r>
        <w:rPr>
          <w:iCs/>
          <w:i/>
        </w:rPr>
        <w:t xml:space="preserve">PLOS ONE</w:t>
      </w:r>
      <w:r>
        <w:t xml:space="preserve">,</w:t>
      </w:r>
      <w:r>
        <w:t xml:space="preserve"> </w:t>
      </w:r>
      <w:r>
        <w:rPr>
          <w:iCs/>
          <w:i/>
        </w:rPr>
        <w:t xml:space="preserve">8</w:t>
      </w:r>
      <w:r>
        <w:t xml:space="preserve">(10), e78103.</w:t>
      </w:r>
      <w:r>
        <w:t xml:space="preserve"> </w:t>
      </w:r>
      <w:hyperlink r:id="rId111">
        <w:r>
          <w:rPr>
            <w:rStyle w:val="Hyperlink"/>
          </w:rPr>
          <w:t xml:space="preserve">https://doi.org/10.1371/journal.pone.0078103</w:t>
        </w:r>
      </w:hyperlink>
    </w:p>
    <w:bookmarkEnd w:id="112"/>
    <w:bookmarkStart w:id="114" w:name="ref-schaik_2019"/>
    <w:p>
      <w:pPr>
        <w:pStyle w:val="Literaturverzeichnis"/>
      </w:pPr>
      <w:r>
        <w:t xml:space="preserve">Schaik, J. E. van, Meyer, M., Ham, C. R. van, &amp; Hunnius, S. (2019). Motion tracking of parents’ infant- versus adult-directed actions reveals general and action-specific modulations.</w:t>
      </w:r>
      <w:r>
        <w:t xml:space="preserve"> </w:t>
      </w:r>
      <w:r>
        <w:rPr>
          <w:iCs/>
          <w:i/>
        </w:rPr>
        <w:t xml:space="preserve">Developmental Science</w:t>
      </w:r>
      <w:r>
        <w:t xml:space="preserve">,</w:t>
      </w:r>
      <w:r>
        <w:t xml:space="preserve"> </w:t>
      </w:r>
      <w:r>
        <w:rPr>
          <w:iCs/>
          <w:i/>
        </w:rPr>
        <w:t xml:space="preserve">0</w:t>
      </w:r>
      <w:r>
        <w:t xml:space="preserve">(0), e12869.</w:t>
      </w:r>
      <w:r>
        <w:t xml:space="preserve"> </w:t>
      </w:r>
      <w:hyperlink r:id="rId113">
        <w:r>
          <w:rPr>
            <w:rStyle w:val="Hyperlink"/>
          </w:rPr>
          <w:t xml:space="preserve">https://doi.org/10.1111/desc.12869</w:t>
        </w:r>
      </w:hyperlink>
    </w:p>
    <w:bookmarkEnd w:id="114"/>
    <w:bookmarkStart w:id="116" w:name="ref-simones_2015"/>
    <w:p>
      <w:pPr>
        <w:pStyle w:val="Literaturverzeichnis"/>
      </w:pPr>
      <w:r>
        <w:t xml:space="preserve">Simones, L., Schroeder, F., &amp; Rodger, M. (2015). Categorizations of physical gesture in piano teaching:</w:t>
      </w:r>
      <w:r>
        <w:t xml:space="preserve"> </w:t>
      </w:r>
      <w:r>
        <w:t xml:space="preserve">A</w:t>
      </w:r>
      <w:r>
        <w:t xml:space="preserve"> </w:t>
      </w:r>
      <w:r>
        <w:t xml:space="preserve">preliminary enquiry.</w:t>
      </w:r>
      <w:r>
        <w:t xml:space="preserve"> </w:t>
      </w:r>
      <w:r>
        <w:rPr>
          <w:iCs/>
          <w:i/>
        </w:rPr>
        <w:t xml:space="preserve">Psychology of Music</w:t>
      </w:r>
      <w:r>
        <w:t xml:space="preserve">,</w:t>
      </w:r>
      <w:r>
        <w:t xml:space="preserve"> </w:t>
      </w:r>
      <w:r>
        <w:rPr>
          <w:iCs/>
          <w:i/>
        </w:rPr>
        <w:t xml:space="preserve">43</w:t>
      </w:r>
      <w:r>
        <w:t xml:space="preserve">(1), 103–121.</w:t>
      </w:r>
      <w:r>
        <w:t xml:space="preserve"> </w:t>
      </w:r>
      <w:hyperlink r:id="rId115">
        <w:r>
          <w:rPr>
            <w:rStyle w:val="Hyperlink"/>
          </w:rPr>
          <w:t xml:space="preserve">https://doi.org/10.1177/0305735613498918</w:t>
        </w:r>
      </w:hyperlink>
    </w:p>
    <w:bookmarkEnd w:id="116"/>
    <w:bookmarkStart w:id="118" w:name="ref-sloboda_2000"/>
    <w:p>
      <w:pPr>
        <w:pStyle w:val="Literaturverzeichnis"/>
      </w:pPr>
      <w:r>
        <w:t xml:space="preserve">Sloboda, J. A. (2000). Individual differences in music performance.</w:t>
      </w:r>
      <w:r>
        <w:t xml:space="preserve"> </w:t>
      </w:r>
      <w:r>
        <w:rPr>
          <w:iCs/>
          <w:i/>
        </w:rPr>
        <w:t xml:space="preserve">Trends in Cognitive Sciences</w:t>
      </w:r>
      <w:r>
        <w:t xml:space="preserve">,</w:t>
      </w:r>
      <w:r>
        <w:t xml:space="preserve"> </w:t>
      </w:r>
      <w:r>
        <w:rPr>
          <w:iCs/>
          <w:i/>
        </w:rPr>
        <w:t xml:space="preserve">4</w:t>
      </w:r>
      <w:r>
        <w:t xml:space="preserve">(10), 397–403.</w:t>
      </w:r>
      <w:r>
        <w:t xml:space="preserve"> </w:t>
      </w:r>
      <w:hyperlink r:id="rId117">
        <w:r>
          <w:rPr>
            <w:rStyle w:val="Hyperlink"/>
          </w:rPr>
          <w:t xml:space="preserve">https://doi.org/10.1016/S1364-6613(00)01531-X</w:t>
        </w:r>
      </w:hyperlink>
    </w:p>
    <w:bookmarkEnd w:id="118"/>
    <w:bookmarkStart w:id="119" w:name="ref-sperber_1995"/>
    <w:p>
      <w:pPr>
        <w:pStyle w:val="Literaturverzeichnis"/>
      </w:pPr>
      <w:r>
        <w:t xml:space="preserve">Sperber, D., &amp; Wilson, D. (1995).</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w:t>
      </w:r>
      <w:r>
        <w:t xml:space="preserve"> </w:t>
      </w:r>
      <w:r>
        <w:t xml:space="preserve">Malden</w:t>
      </w:r>
      <w:r>
        <w:t xml:space="preserve">:</w:t>
      </w:r>
      <w:r>
        <w:t xml:space="preserve"> </w:t>
      </w:r>
      <w:r>
        <w:t xml:space="preserve">Blackwell Publishing</w:t>
      </w:r>
      <w:r>
        <w:t xml:space="preserve">.</w:t>
      </w:r>
    </w:p>
    <w:bookmarkEnd w:id="119"/>
    <w:bookmarkStart w:id="121" w:name="ref-thornton_2008"/>
    <w:p>
      <w:pPr>
        <w:pStyle w:val="Literaturverzeichnis"/>
      </w:pPr>
      <w:r>
        <w:t xml:space="preserve">Thornton, A., &amp; Raihani, N. J. (2008). The evolution of teaching.</w:t>
      </w:r>
      <w:r>
        <w:t xml:space="preserve"> </w:t>
      </w:r>
      <w:r>
        <w:rPr>
          <w:iCs/>
          <w:i/>
        </w:rPr>
        <w:t xml:space="preserve">Animal Behaviour</w:t>
      </w:r>
      <w:r>
        <w:t xml:space="preserve">,</w:t>
      </w:r>
      <w:r>
        <w:t xml:space="preserve"> </w:t>
      </w:r>
      <w:r>
        <w:rPr>
          <w:iCs/>
          <w:i/>
        </w:rPr>
        <w:t xml:space="preserve">75</w:t>
      </w:r>
      <w:r>
        <w:t xml:space="preserve">(6), 1823–1836.</w:t>
      </w:r>
      <w:r>
        <w:t xml:space="preserve"> </w:t>
      </w:r>
      <w:hyperlink r:id="rId120">
        <w:r>
          <w:rPr>
            <w:rStyle w:val="Hyperlink"/>
          </w:rPr>
          <w:t xml:space="preserve">https://doi.org/10.1016/j.anbehav.2007.12.014</w:t>
        </w:r>
      </w:hyperlink>
    </w:p>
    <w:bookmarkEnd w:id="121"/>
    <w:bookmarkStart w:id="123" w:name="ref-tomasello_2016"/>
    <w:p>
      <w:pPr>
        <w:pStyle w:val="Literaturverzeichnis"/>
      </w:pPr>
      <w:r>
        <w:t xml:space="preserve">Tomasello, M. (2016). The ontogeny of cultural learning.</w:t>
      </w:r>
      <w:r>
        <w:t xml:space="preserve"> </w:t>
      </w:r>
      <w:r>
        <w:rPr>
          <w:iCs/>
          <w:i/>
        </w:rPr>
        <w:t xml:space="preserve">Current Opinion in Psychology</w:t>
      </w:r>
      <w:r>
        <w:t xml:space="preserve">,</w:t>
      </w:r>
      <w:r>
        <w:t xml:space="preserve"> </w:t>
      </w:r>
      <w:r>
        <w:rPr>
          <w:iCs/>
          <w:i/>
        </w:rPr>
        <w:t xml:space="preserve">8</w:t>
      </w:r>
      <w:r>
        <w:t xml:space="preserve">, 1–4.</w:t>
      </w:r>
      <w:r>
        <w:t xml:space="preserve"> </w:t>
      </w:r>
      <w:hyperlink r:id="rId122">
        <w:r>
          <w:rPr>
            <w:rStyle w:val="Hyperlink"/>
          </w:rPr>
          <w:t xml:space="preserve">https://doi.org/10.1016/j.copsyc.2015.09.008</w:t>
        </w:r>
      </w:hyperlink>
    </w:p>
    <w:bookmarkEnd w:id="123"/>
    <w:bookmarkStart w:id="125" w:name="ref-uther_2007"/>
    <w:p>
      <w:pPr>
        <w:pStyle w:val="Literaturverzeichnis"/>
      </w:pPr>
      <w:r>
        <w:t xml:space="preserve">Uther, M., Knoll, M. A., &amp; Burnham, D. (2007). Do you speak</w:t>
      </w:r>
      <w:r>
        <w:t xml:space="preserve"> </w:t>
      </w:r>
      <w:r>
        <w:t xml:space="preserve">E-NG-L-I-SH</w:t>
      </w:r>
      <w:r>
        <w:t xml:space="preserve">?</w:t>
      </w:r>
      <w:r>
        <w:t xml:space="preserve"> </w:t>
      </w:r>
      <w:r>
        <w:t xml:space="preserve">A</w:t>
      </w:r>
      <w:r>
        <w:t xml:space="preserve"> </w:t>
      </w:r>
      <w:r>
        <w:t xml:space="preserve">comparison of foreigner- and infant-directed speech.</w:t>
      </w:r>
      <w:r>
        <w:t xml:space="preserve"> </w:t>
      </w:r>
      <w:r>
        <w:rPr>
          <w:iCs/>
          <w:i/>
        </w:rPr>
        <w:t xml:space="preserve">Speech Communication</w:t>
      </w:r>
      <w:r>
        <w:t xml:space="preserve">,</w:t>
      </w:r>
      <w:r>
        <w:t xml:space="preserve"> </w:t>
      </w:r>
      <w:r>
        <w:rPr>
          <w:iCs/>
          <w:i/>
        </w:rPr>
        <w:t xml:space="preserve">49</w:t>
      </w:r>
      <w:r>
        <w:t xml:space="preserve">(1), 2–7.</w:t>
      </w:r>
      <w:r>
        <w:t xml:space="preserve"> </w:t>
      </w:r>
      <w:hyperlink r:id="rId124">
        <w:r>
          <w:rPr>
            <w:rStyle w:val="Hyperlink"/>
          </w:rPr>
          <w:t xml:space="preserve">https://doi.org/10.1016/j.specom.2006.10.003</w:t>
        </w:r>
      </w:hyperlink>
    </w:p>
    <w:bookmarkEnd w:id="125"/>
    <w:bookmarkStart w:id="127" w:name="ref-volioti_2017"/>
    <w:p>
      <w:pPr>
        <w:pStyle w:val="Literaturverzeichnis"/>
      </w:pPr>
      <w:r>
        <w:t xml:space="preserve">Volioti, G., &amp; Williamon, A. (2017). Recordings as learning and practising resources for performance:</w:t>
      </w:r>
      <w:r>
        <w:t xml:space="preserve"> </w:t>
      </w:r>
      <w:r>
        <w:t xml:space="preserve">Exploring</w:t>
      </w:r>
      <w:r>
        <w:t xml:space="preserve"> </w:t>
      </w:r>
      <w:r>
        <w:t xml:space="preserve">attitudes and behaviours of music students and professionals.</w:t>
      </w:r>
      <w:r>
        <w:t xml:space="preserve"> </w:t>
      </w:r>
      <w:r>
        <w:rPr>
          <w:iCs/>
          <w:i/>
        </w:rPr>
        <w:t xml:space="preserve">Musicae Scientiae</w:t>
      </w:r>
      <w:r>
        <w:t xml:space="preserve">,</w:t>
      </w:r>
      <w:r>
        <w:t xml:space="preserve"> </w:t>
      </w:r>
      <w:r>
        <w:rPr>
          <w:iCs/>
          <w:i/>
        </w:rPr>
        <w:t xml:space="preserve">21</w:t>
      </w:r>
      <w:r>
        <w:t xml:space="preserve">(4), 499–523.</w:t>
      </w:r>
      <w:r>
        <w:t xml:space="preserve"> </w:t>
      </w:r>
      <w:hyperlink r:id="rId126">
        <w:r>
          <w:rPr>
            <w:rStyle w:val="Hyperlink"/>
          </w:rPr>
          <w:t xml:space="preserve">https://doi.org/10.1177/1029864916674048</w:t>
        </w:r>
      </w:hyperlink>
    </w:p>
    <w:bookmarkEnd w:id="127"/>
    <w:bookmarkStart w:id="129" w:name="ref-woody_2000"/>
    <w:p>
      <w:pPr>
        <w:pStyle w:val="Literaturverzeichnis"/>
      </w:pPr>
      <w:r>
        <w:t xml:space="preserve">Woody, R. H. (2000). Learning</w:t>
      </w:r>
      <w:r>
        <w:t xml:space="preserve"> </w:t>
      </w:r>
      <w:r>
        <w:t xml:space="preserve">Expressivity</w:t>
      </w:r>
      <w:r>
        <w:t xml:space="preserve"> </w:t>
      </w:r>
      <w:r>
        <w:t xml:space="preserve">in</w:t>
      </w:r>
      <w:r>
        <w:t xml:space="preserve"> </w:t>
      </w:r>
      <w:r>
        <w:t xml:space="preserve">Music Performance</w:t>
      </w:r>
      <w:r>
        <w:t xml:space="preserve">:</w:t>
      </w:r>
      <w:r>
        <w:t xml:space="preserve"> </w:t>
      </w:r>
      <w:r>
        <w:t xml:space="preserve">An Exploratory Study</w:t>
      </w:r>
      <w:r>
        <w:t xml:space="preserve">.</w:t>
      </w:r>
      <w:r>
        <w:t xml:space="preserve"> </w:t>
      </w:r>
      <w:r>
        <w:rPr>
          <w:iCs/>
          <w:i/>
        </w:rPr>
        <w:t xml:space="preserve">Research Studies in Music Education</w:t>
      </w:r>
      <w:r>
        <w:t xml:space="preserve">,</w:t>
      </w:r>
      <w:r>
        <w:t xml:space="preserve"> </w:t>
      </w:r>
      <w:r>
        <w:rPr>
          <w:iCs/>
          <w:i/>
        </w:rPr>
        <w:t xml:space="preserve">14</w:t>
      </w:r>
      <w:r>
        <w:t xml:space="preserve">(1), 14–23.</w:t>
      </w:r>
      <w:r>
        <w:t xml:space="preserve"> </w:t>
      </w:r>
      <w:hyperlink r:id="rId128">
        <w:r>
          <w:rPr>
            <w:rStyle w:val="Hyperlink"/>
          </w:rPr>
          <w:t xml:space="preserve">https://doi.org/10.1177/1321103X0001400102</w:t>
        </w:r>
      </w:hyperlink>
    </w:p>
    <w:bookmarkEnd w:id="129"/>
    <w:bookmarkStart w:id="131" w:name="ref-woody_2006"/>
    <w:p>
      <w:pPr>
        <w:pStyle w:val="Literaturverzeichnis"/>
      </w:pPr>
      <w:r>
        <w:t xml:space="preserve">Woody, R. H. (2006). The</w:t>
      </w:r>
      <w:r>
        <w:t xml:space="preserve"> </w:t>
      </w:r>
      <w:r>
        <w:t xml:space="preserve">Effect</w:t>
      </w:r>
      <w:r>
        <w:t xml:space="preserve"> </w:t>
      </w:r>
      <w:r>
        <w:t xml:space="preserve">of</w:t>
      </w:r>
      <w:r>
        <w:t xml:space="preserve"> </w:t>
      </w:r>
      <w:r>
        <w:t xml:space="preserve">Various Instructional Conditions</w:t>
      </w:r>
      <w:r>
        <w:t xml:space="preserve"> </w:t>
      </w:r>
      <w:r>
        <w:t xml:space="preserve">on</w:t>
      </w:r>
      <w:r>
        <w:t xml:space="preserve"> </w:t>
      </w:r>
      <w:r>
        <w:t xml:space="preserve">Expressive Music Performance</w:t>
      </w:r>
      <w:r>
        <w:t xml:space="preserve">.</w:t>
      </w:r>
      <w:r>
        <w:t xml:space="preserve"> </w:t>
      </w:r>
      <w:r>
        <w:rPr>
          <w:iCs/>
          <w:i/>
        </w:rPr>
        <w:t xml:space="preserve">Journal of Research in Music Education</w:t>
      </w:r>
      <w:r>
        <w:t xml:space="preserve">,</w:t>
      </w:r>
      <w:r>
        <w:t xml:space="preserve"> </w:t>
      </w:r>
      <w:r>
        <w:rPr>
          <w:iCs/>
          <w:i/>
        </w:rPr>
        <w:t xml:space="preserve">54</w:t>
      </w:r>
      <w:r>
        <w:t xml:space="preserve">(1), 21–36.</w:t>
      </w:r>
      <w:r>
        <w:t xml:space="preserve"> </w:t>
      </w:r>
      <w:hyperlink r:id="rId130">
        <w:r>
          <w:rPr>
            <w:rStyle w:val="Hyperlink"/>
          </w:rPr>
          <w:t xml:space="preserve">https://doi.org/10.1177/002242940605400103</w:t>
        </w:r>
      </w:hyperlink>
    </w:p>
    <w:bookmarkEnd w:id="131"/>
    <w:bookmarkStart w:id="133" w:name="ref-zamm_2018"/>
    <w:p>
      <w:pPr>
        <w:pStyle w:val="Literaturverzeichnis"/>
      </w:pPr>
      <w:r>
        <w:t xml:space="preserve">Zamm, A., Wang, Y., &amp; Palmer, C. (2018). Musicians’</w:t>
      </w:r>
      <w:r>
        <w:t xml:space="preserve"> </w:t>
      </w:r>
      <w:r>
        <w:t xml:space="preserve">Natural Frequencies</w:t>
      </w:r>
      <w:r>
        <w:t xml:space="preserve"> </w:t>
      </w:r>
      <w:r>
        <w:t xml:space="preserve">of</w:t>
      </w:r>
      <w:r>
        <w:t xml:space="preserve"> </w:t>
      </w:r>
      <w:r>
        <w:t xml:space="preserve">Performance Display Optimal Temporal Stability</w:t>
      </w:r>
      <w:r>
        <w:t xml:space="preserve">.</w:t>
      </w:r>
      <w:r>
        <w:t xml:space="preserve"> </w:t>
      </w:r>
      <w:r>
        <w:rPr>
          <w:iCs/>
          <w:i/>
        </w:rPr>
        <w:t xml:space="preserve">J Biol Rhythms</w:t>
      </w:r>
      <w:r>
        <w:t xml:space="preserve">,</w:t>
      </w:r>
      <w:r>
        <w:t xml:space="preserve"> </w:t>
      </w:r>
      <w:r>
        <w:rPr>
          <w:iCs/>
          <w:i/>
        </w:rPr>
        <w:t xml:space="preserve">33</w:t>
      </w:r>
      <w:r>
        <w:t xml:space="preserve">(4), 432–440.</w:t>
      </w:r>
      <w:r>
        <w:t xml:space="preserve"> </w:t>
      </w:r>
      <w:hyperlink r:id="rId132">
        <w:r>
          <w:rPr>
            <w:rStyle w:val="Hyperlink"/>
          </w:rPr>
          <w:t xml:space="preserve">https://doi.org/10.1177/0748730418783651</w:t>
        </w:r>
      </w:hyperlink>
    </w:p>
    <w:bookmarkEnd w:id="133"/>
    <w:bookmarkEnd w:id="134"/>
    <w:bookmarkEnd w:id="135"/>
    <w:bookmarkStart w:id="136"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6"/>
    <w:bookmarkStart w:id="137"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7"/>
    <w:bookmarkStart w:id="139" w:name="data-availability-statement"/>
    <w:p>
      <w:pPr>
        <w:pStyle w:val="berschrift1"/>
      </w:pPr>
      <w:r>
        <w:t xml:space="preserve">Data availability statement</w:t>
      </w:r>
    </w:p>
    <w:p>
      <w:pPr>
        <w:pStyle w:val="FirstParagraph"/>
      </w:pPr>
      <w:r>
        <w:t xml:space="preserve">All data is available at</w:t>
      </w:r>
      <w:r>
        <w:t xml:space="preserve"> </w:t>
      </w:r>
      <w:hyperlink r:id="rId138">
        <w:r>
          <w:rPr>
            <w:rStyle w:val="Hyperlink"/>
          </w:rPr>
          <w:t xml:space="preserve">https://osf.io/8nbjh/</w:t>
        </w:r>
      </w:hyperlink>
      <w:r>
        <w:t xml:space="preserve">.</w:t>
      </w:r>
    </w:p>
    <w:bookmarkEnd w:id="139"/>
    <w:bookmarkStart w:id="140" w:name="competing-interests"/>
    <w:p>
      <w:pPr>
        <w:pStyle w:val="berschrift1"/>
      </w:pPr>
      <w:r>
        <w:t xml:space="preserve">Competing interests</w:t>
      </w:r>
    </w:p>
    <w:p>
      <w:pPr>
        <w:pStyle w:val="FirstParagraph"/>
      </w:pPr>
      <w:r>
        <w:t xml:space="preserve">The authors declare no competing interests.</w:t>
      </w:r>
    </w:p>
    <w:bookmarkEnd w:id="140"/>
    <w:bookmarkStart w:id="141" w:name="supplementary"/>
    <w:p>
      <w:pPr>
        <w:pStyle w:val="berschrift1"/>
      </w:pPr>
      <w:r>
        <w:t xml:space="preserve">Supplementary Material</w:t>
      </w:r>
    </w:p>
    <w:bookmarkEnd w:id="141"/>
    <w:bookmarkStart w:id="144" w:name="instructions"/>
    <w:p>
      <w:pPr>
        <w:pStyle w:val="berschrift1"/>
      </w:pPr>
      <w:r>
        <w:t xml:space="preserve">1. Instructions</w:t>
      </w:r>
    </w:p>
    <w:bookmarkStart w:id="142"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42"/>
    <w:bookmarkStart w:id="143"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43"/>
    <w:bookmarkEnd w:id="144"/>
    <w:bookmarkStart w:id="171" w:name="X1c062cbbe00e05c2a42db7ebf8698993dda048c"/>
    <w:p>
      <w:pPr>
        <w:pStyle w:val="berschrift1"/>
      </w:pPr>
      <w:r>
        <w:t xml:space="preserve">2. Descriptive statistics depending on participants’ teaching experience</w:t>
      </w:r>
    </w:p>
    <w:p>
      <w:pPr>
        <w:pStyle w:val="FirstParagraph"/>
      </w:pPr>
      <w:r>
        <w:t xml:space="preserve">We summarised descriptive statistics for those with and without teaching experience in piano. Due to the lack of statistical power, we did not perform any statistical tests.</w:t>
      </w:r>
    </w:p>
    <w:bookmarkStart w:id="157" w:name="experiment-1-2"/>
    <w:p>
      <w:pPr>
        <w:pStyle w:val="berschrift2"/>
      </w:pPr>
      <w:r>
        <w:t xml:space="preserve">Experiment 1</w:t>
      </w:r>
    </w:p>
    <w:p>
      <w:pPr>
        <w:pStyle w:val="CaptionedFigure"/>
      </w:pPr>
      <w:r>
        <w:drawing>
          <wp:inline>
            <wp:extent cx="5969000" cy="2131785"/>
            <wp:effectExtent b="0" l="0" r="0" t="0"/>
            <wp:docPr descr="Figure 10.  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 title="" id="146" name="Picture"/>
            <a:graphic>
              <a:graphicData uri="http://schemas.openxmlformats.org/drawingml/2006/picture">
                <pic:pic>
                  <pic:nvPicPr>
                    <pic:cNvPr descr="manuscript_files/figure-docx/plot-ioi-teaching-1-1.png" id="147" name="Picture"/>
                    <pic:cNvPicPr>
                      <a:picLocks noChangeArrowheads="1" noChangeAspect="1"/>
                    </pic:cNvPicPr>
                  </pic:nvPicPr>
                  <pic:blipFill>
                    <a:blip r:embed="rId145"/>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Comparison between those with and without piano teaching experience in terms of IOIs (ms)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1.  Experiment 1: Comparison between those with and without piano teaching experience in terms of KOT (ms) when playing the piece with articulation (left: legato, right: staccato). Each box indicates the IQR with the median, and whiskers extend to a maximum of 1.5 × IQR beyond the box." title="" id="149" name="Picture"/>
            <a:graphic>
              <a:graphicData uri="http://schemas.openxmlformats.org/drawingml/2006/picture">
                <pic:pic>
                  <pic:nvPicPr>
                    <pic:cNvPr descr="manuscript_files/figure-docx/plot-art-teaching-1-1.png" id="150" name="Picture"/>
                    <pic:cNvPicPr>
                      <a:picLocks noChangeArrowheads="1" noChangeAspect="1"/>
                    </pic:cNvPicPr>
                  </pic:nvPicPr>
                  <pic:blipFill>
                    <a:blip r:embed="rId14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Comparison between those with and without piano teaching experience in terms of KOT (ms)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2.  Experiment 1: Comparison between those with and without piano teaching experience in terms of KV (0-127) when playing the piece with dynamics (left: forte, right: piano). Each box indicates the IQR with the median, and whiskers extend to a maximum of 1.5 × IQR beyond the box." title="" id="152" name="Picture"/>
            <a:graphic>
              <a:graphicData uri="http://schemas.openxmlformats.org/drawingml/2006/picture">
                <pic:pic>
                  <pic:nvPicPr>
                    <pic:cNvPr descr="manuscript_files/figure-docx/plot-dyn-teaching-1-1.png" id="153" name="Picture"/>
                    <pic:cNvPicPr>
                      <a:picLocks noChangeArrowheads="1" noChangeAspect="1"/>
                    </pic:cNvPicPr>
                  </pic:nvPicPr>
                  <pic:blipFill>
                    <a:blip r:embed="rId15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3.  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55" name="Picture"/>
            <a:graphic>
              <a:graphicData uri="http://schemas.openxmlformats.org/drawingml/2006/picture">
                <pic:pic>
                  <pic:nvPicPr>
                    <pic:cNvPr descr="manuscript_files/figure-docx/plot-dyn-diff-teaching-1-1.png" id="156" name="Picture"/>
                    <pic:cNvPicPr>
                      <a:picLocks noChangeArrowheads="1" noChangeAspect="1"/>
                    </pic:cNvPicPr>
                  </pic:nvPicPr>
                  <pic:blipFill>
                    <a:blip r:embed="rId15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Experiment 1: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1:</w:t>
      </w:r>
    </w:p>
    <w:p>
      <w:pPr>
        <w:pStyle w:val="TableCaption"/>
      </w:pPr>
      <w:r>
        <w:rPr>
          <w:iCs/>
          <w:i/>
        </w:rPr>
        <w:t xml:space="preserve">Experiment 1: Comparison between those with and without piano teaching experience in terms of IOIs (ms).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181.27</w:t>
            </w:r>
          </w:p>
        </w:tc>
        <w:tc>
          <w:tcPr/>
          <w:p>
            <w:pPr>
              <w:pStyle w:val="Compact"/>
              <w:jc w:val="left"/>
            </w:pPr>
            <w:r>
              <w:t xml:space="preserve">10.99</w:t>
            </w:r>
          </w:p>
        </w:tc>
        <w:tc>
          <w:tcPr/>
          <w:p>
            <w:pPr>
              <w:pStyle w:val="Compact"/>
              <w:jc w:val="left"/>
            </w:pPr>
            <w:r>
              <w:t xml:space="preserve">3.47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184.72</w:t>
            </w:r>
          </w:p>
        </w:tc>
        <w:tc>
          <w:tcPr/>
          <w:p>
            <w:pPr>
              <w:pStyle w:val="Compact"/>
              <w:jc w:val="left"/>
            </w:pPr>
            <w:r>
              <w:t xml:space="preserve">13.02</w:t>
            </w:r>
          </w:p>
        </w:tc>
        <w:tc>
          <w:tcPr/>
          <w:p>
            <w:pPr>
              <w:pStyle w:val="Compact"/>
              <w:jc w:val="left"/>
            </w:pPr>
            <w:r>
              <w:t xml:space="preserve">4.12</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193.49</w:t>
            </w:r>
          </w:p>
        </w:tc>
        <w:tc>
          <w:tcPr/>
          <w:p>
            <w:pPr>
              <w:pStyle w:val="Compact"/>
              <w:jc w:val="left"/>
            </w:pPr>
            <w:r>
              <w:t xml:space="preserve">18.75</w:t>
            </w:r>
          </w:p>
        </w:tc>
        <w:tc>
          <w:tcPr/>
          <w:p>
            <w:pPr>
              <w:pStyle w:val="Compact"/>
              <w:jc w:val="left"/>
            </w:pPr>
            <w:r>
              <w:t xml:space="preserve">4.09</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21</w:t>
            </w:r>
          </w:p>
        </w:tc>
        <w:tc>
          <w:tcPr/>
          <w:p>
            <w:pPr>
              <w:pStyle w:val="Compact"/>
              <w:jc w:val="left"/>
            </w:pPr>
            <w:r>
              <w:t xml:space="preserve">196.67</w:t>
            </w:r>
          </w:p>
        </w:tc>
        <w:tc>
          <w:tcPr/>
          <w:p>
            <w:pPr>
              <w:pStyle w:val="Compact"/>
              <w:jc w:val="left"/>
            </w:pPr>
            <w:r>
              <w:t xml:space="preserve">20.52</w:t>
            </w:r>
          </w:p>
        </w:tc>
        <w:tc>
          <w:tcPr/>
          <w:p>
            <w:pPr>
              <w:pStyle w:val="Compact"/>
              <w:jc w:val="left"/>
            </w:pPr>
            <w:r>
              <w:t xml:space="preserve">4.48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182.43</w:t>
            </w:r>
          </w:p>
        </w:tc>
        <w:tc>
          <w:tcPr/>
          <w:p>
            <w:pPr>
              <w:pStyle w:val="Compact"/>
              <w:jc w:val="left"/>
            </w:pPr>
            <w:r>
              <w:t xml:space="preserve">11.52</w:t>
            </w:r>
          </w:p>
        </w:tc>
        <w:tc>
          <w:tcPr/>
          <w:p>
            <w:pPr>
              <w:pStyle w:val="Compact"/>
              <w:jc w:val="left"/>
            </w:pPr>
            <w:r>
              <w:t xml:space="preserve">3.64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187.15</w:t>
            </w:r>
          </w:p>
        </w:tc>
        <w:tc>
          <w:tcPr/>
          <w:p>
            <w:pPr>
              <w:pStyle w:val="Compact"/>
              <w:jc w:val="left"/>
            </w:pPr>
            <w:r>
              <w:t xml:space="preserve">11.73</w:t>
            </w:r>
          </w:p>
        </w:tc>
        <w:tc>
          <w:tcPr/>
          <w:p>
            <w:pPr>
              <w:pStyle w:val="Compact"/>
              <w:jc w:val="left"/>
            </w:pPr>
            <w:r>
              <w:t xml:space="preserve">3.71</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191.48</w:t>
            </w:r>
          </w:p>
        </w:tc>
        <w:tc>
          <w:tcPr/>
          <w:p>
            <w:pPr>
              <w:pStyle w:val="Compact"/>
              <w:jc w:val="left"/>
            </w:pPr>
            <w:r>
              <w:t xml:space="preserve">18.56</w:t>
            </w:r>
          </w:p>
        </w:tc>
        <w:tc>
          <w:tcPr/>
          <w:p>
            <w:pPr>
              <w:pStyle w:val="Compact"/>
              <w:jc w:val="left"/>
            </w:pPr>
            <w:r>
              <w:t xml:space="preserve">4.05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21</w:t>
            </w:r>
          </w:p>
        </w:tc>
        <w:tc>
          <w:tcPr/>
          <w:p>
            <w:pPr>
              <w:pStyle w:val="Compact"/>
              <w:jc w:val="left"/>
            </w:pPr>
            <w:r>
              <w:t xml:space="preserve">193.50</w:t>
            </w:r>
          </w:p>
        </w:tc>
        <w:tc>
          <w:tcPr/>
          <w:p>
            <w:pPr>
              <w:pStyle w:val="Compact"/>
              <w:jc w:val="left"/>
            </w:pPr>
            <w:r>
              <w:t xml:space="preserve">21.22</w:t>
            </w:r>
          </w:p>
        </w:tc>
        <w:tc>
          <w:tcPr/>
          <w:p>
            <w:pPr>
              <w:pStyle w:val="Compact"/>
              <w:jc w:val="left"/>
            </w:pPr>
            <w:r>
              <w:t xml:space="preserve">4.63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2:</w:t>
      </w:r>
    </w:p>
    <w:p>
      <w:pPr>
        <w:pStyle w:val="TableCaption"/>
      </w:pPr>
      <w:r>
        <w:rPr>
          <w:iCs/>
          <w:i/>
        </w:rPr>
        <w:t xml:space="preserve">Experiment 1: Comparison between those with and without piano teaching experience in terms of KOT (ms).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21.57</w:t>
            </w:r>
          </w:p>
        </w:tc>
        <w:tc>
          <w:tcPr/>
          <w:p>
            <w:pPr>
              <w:pStyle w:val="Compact"/>
              <w:jc w:val="left"/>
            </w:pPr>
            <w:r>
              <w:t xml:space="preserve">16.18</w:t>
            </w:r>
          </w:p>
        </w:tc>
        <w:tc>
          <w:tcPr/>
          <w:p>
            <w:pPr>
              <w:pStyle w:val="Compact"/>
              <w:jc w:val="left"/>
            </w:pPr>
            <w:r>
              <w:t xml:space="preserve">5.12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25.43</w:t>
            </w:r>
          </w:p>
        </w:tc>
        <w:tc>
          <w:tcPr/>
          <w:p>
            <w:pPr>
              <w:pStyle w:val="Compact"/>
              <w:jc w:val="left"/>
            </w:pPr>
            <w:r>
              <w:t xml:space="preserve">13.11</w:t>
            </w:r>
          </w:p>
        </w:tc>
        <w:tc>
          <w:tcPr/>
          <w:p>
            <w:pPr>
              <w:pStyle w:val="Compact"/>
              <w:jc w:val="left"/>
            </w:pPr>
            <w:r>
              <w:t xml:space="preserve">4.15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-119.66</w:t>
            </w:r>
          </w:p>
        </w:tc>
        <w:tc>
          <w:tcPr/>
          <w:p>
            <w:pPr>
              <w:pStyle w:val="Compact"/>
              <w:jc w:val="left"/>
            </w:pPr>
            <w:r>
              <w:t xml:space="preserve">22.84</w:t>
            </w:r>
          </w:p>
        </w:tc>
        <w:tc>
          <w:tcPr/>
          <w:p>
            <w:pPr>
              <w:pStyle w:val="Compact"/>
              <w:jc w:val="left"/>
            </w:pPr>
            <w:r>
              <w:t xml:space="preserve">7.22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10</w:t>
            </w:r>
          </w:p>
        </w:tc>
        <w:tc>
          <w:tcPr/>
          <w:p>
            <w:pPr>
              <w:pStyle w:val="Compact"/>
              <w:jc w:val="left"/>
            </w:pPr>
            <w:r>
              <w:t xml:space="preserve">-127.39</w:t>
            </w:r>
          </w:p>
        </w:tc>
        <w:tc>
          <w:tcPr/>
          <w:p>
            <w:pPr>
              <w:pStyle w:val="Compact"/>
              <w:jc w:val="left"/>
            </w:pPr>
            <w:r>
              <w:t xml:space="preserve">15.95</w:t>
            </w:r>
          </w:p>
        </w:tc>
        <w:tc>
          <w:tcPr/>
          <w:p>
            <w:pPr>
              <w:pStyle w:val="Compact"/>
              <w:jc w:val="left"/>
            </w:pPr>
            <w:r>
              <w:t xml:space="preserve">5.04</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10.40</w:t>
            </w:r>
          </w:p>
        </w:tc>
        <w:tc>
          <w:tcPr/>
          <w:p>
            <w:pPr>
              <w:pStyle w:val="Compact"/>
              <w:jc w:val="left"/>
            </w:pPr>
            <w:r>
              <w:t xml:space="preserve">16.57</w:t>
            </w:r>
          </w:p>
        </w:tc>
        <w:tc>
          <w:tcPr/>
          <w:p>
            <w:pPr>
              <w:pStyle w:val="Compact"/>
              <w:jc w:val="left"/>
            </w:pPr>
            <w:r>
              <w:t xml:space="preserve">3.62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11.36</w:t>
            </w:r>
          </w:p>
        </w:tc>
        <w:tc>
          <w:tcPr/>
          <w:p>
            <w:pPr>
              <w:pStyle w:val="Compact"/>
              <w:jc w:val="left"/>
            </w:pPr>
            <w:r>
              <w:t xml:space="preserve">14.71</w:t>
            </w:r>
          </w:p>
        </w:tc>
        <w:tc>
          <w:tcPr/>
          <w:p>
            <w:pPr>
              <w:pStyle w:val="Compact"/>
              <w:jc w:val="left"/>
            </w:pPr>
            <w:r>
              <w:t xml:space="preserve">3.21</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-132.48</w:t>
            </w:r>
          </w:p>
        </w:tc>
        <w:tc>
          <w:tcPr/>
          <w:p>
            <w:pPr>
              <w:pStyle w:val="Compact"/>
              <w:jc w:val="left"/>
            </w:pPr>
            <w:r>
              <w:t xml:space="preserve">19.03</w:t>
            </w:r>
          </w:p>
        </w:tc>
        <w:tc>
          <w:tcPr/>
          <w:p>
            <w:pPr>
              <w:pStyle w:val="Compact"/>
              <w:jc w:val="left"/>
            </w:pPr>
            <w:r>
              <w:t xml:space="preserve">4.15</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21</w:t>
            </w:r>
          </w:p>
        </w:tc>
        <w:tc>
          <w:tcPr/>
          <w:p>
            <w:pPr>
              <w:pStyle w:val="Compact"/>
              <w:jc w:val="left"/>
            </w:pPr>
            <w:r>
              <w:t xml:space="preserve">-136.84</w:t>
            </w:r>
          </w:p>
        </w:tc>
        <w:tc>
          <w:tcPr/>
          <w:p>
            <w:pPr>
              <w:pStyle w:val="Compact"/>
              <w:jc w:val="left"/>
            </w:pPr>
            <w:r>
              <w:t xml:space="preserve">21.52</w:t>
            </w:r>
          </w:p>
        </w:tc>
        <w:tc>
          <w:tcPr/>
          <w:p>
            <w:pPr>
              <w:pStyle w:val="Compact"/>
              <w:jc w:val="left"/>
            </w:pPr>
            <w:r>
              <w:t xml:space="preserve">4.70</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3:</w:t>
      </w:r>
    </w:p>
    <w:p>
      <w:pPr>
        <w:pStyle w:val="TableCaption"/>
      </w:pPr>
      <w:r>
        <w:rPr>
          <w:iCs/>
          <w:i/>
        </w:rPr>
        <w:t xml:space="preserve">Experiment 1: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85.20</w:t>
            </w:r>
          </w:p>
        </w:tc>
        <w:tc>
          <w:tcPr/>
          <w:p>
            <w:pPr>
              <w:pStyle w:val="Compact"/>
              <w:jc w:val="left"/>
            </w:pPr>
            <w:r>
              <w:t xml:space="preserve">7.76</w:t>
            </w:r>
          </w:p>
        </w:tc>
        <w:tc>
          <w:tcPr/>
          <w:p>
            <w:pPr>
              <w:pStyle w:val="Compact"/>
              <w:jc w:val="left"/>
            </w:pPr>
            <w:r>
              <w:t xml:space="preserve">2.45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10</w:t>
            </w:r>
          </w:p>
        </w:tc>
        <w:tc>
          <w:tcPr/>
          <w:p>
            <w:pPr>
              <w:pStyle w:val="Compact"/>
              <w:jc w:val="left"/>
            </w:pPr>
            <w:r>
              <w:t xml:space="preserve">86.96</w:t>
            </w:r>
          </w:p>
        </w:tc>
        <w:tc>
          <w:tcPr/>
          <w:p>
            <w:pPr>
              <w:pStyle w:val="Compact"/>
              <w:jc w:val="left"/>
            </w:pPr>
            <w:r>
              <w:t xml:space="preserve">8.76</w:t>
            </w:r>
          </w:p>
        </w:tc>
        <w:tc>
          <w:tcPr/>
          <w:p>
            <w:pPr>
              <w:pStyle w:val="Compact"/>
              <w:jc w:val="left"/>
            </w:pPr>
            <w:r>
              <w:t xml:space="preserve">2.77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60.27</w:t>
            </w:r>
          </w:p>
        </w:tc>
        <w:tc>
          <w:tcPr/>
          <w:p>
            <w:pPr>
              <w:pStyle w:val="Compact"/>
              <w:jc w:val="left"/>
            </w:pPr>
            <w:r>
              <w:t xml:space="preserve">4.57</w:t>
            </w:r>
          </w:p>
        </w:tc>
        <w:tc>
          <w:tcPr/>
          <w:p>
            <w:pPr>
              <w:pStyle w:val="Compact"/>
              <w:jc w:val="left"/>
            </w:pPr>
            <w:r>
              <w:t xml:space="preserve">1.44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10</w:t>
            </w:r>
          </w:p>
        </w:tc>
        <w:tc>
          <w:tcPr/>
          <w:p>
            <w:pPr>
              <w:pStyle w:val="Compact"/>
              <w:jc w:val="left"/>
            </w:pPr>
            <w:r>
              <w:t xml:space="preserve">60.11</w:t>
            </w:r>
          </w:p>
        </w:tc>
        <w:tc>
          <w:tcPr/>
          <w:p>
            <w:pPr>
              <w:pStyle w:val="Compact"/>
              <w:jc w:val="left"/>
            </w:pPr>
            <w:r>
              <w:t xml:space="preserve">5.93</w:t>
            </w:r>
          </w:p>
        </w:tc>
        <w:tc>
          <w:tcPr/>
          <w:p>
            <w:pPr>
              <w:pStyle w:val="Compact"/>
              <w:jc w:val="left"/>
            </w:pPr>
            <w:r>
              <w:t xml:space="preserve">1.87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79.97</w:t>
            </w:r>
          </w:p>
        </w:tc>
        <w:tc>
          <w:tcPr/>
          <w:p>
            <w:pPr>
              <w:pStyle w:val="Compact"/>
              <w:jc w:val="left"/>
            </w:pPr>
            <w:r>
              <w:t xml:space="preserve">6.82</w:t>
            </w:r>
          </w:p>
        </w:tc>
        <w:tc>
          <w:tcPr/>
          <w:p>
            <w:pPr>
              <w:pStyle w:val="Compact"/>
              <w:jc w:val="left"/>
            </w:pPr>
            <w:r>
              <w:t xml:space="preserve">1.49</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21</w:t>
            </w:r>
          </w:p>
        </w:tc>
        <w:tc>
          <w:tcPr/>
          <w:p>
            <w:pPr>
              <w:pStyle w:val="Compact"/>
              <w:jc w:val="left"/>
            </w:pPr>
            <w:r>
              <w:t xml:space="preserve">80.80</w:t>
            </w:r>
          </w:p>
        </w:tc>
        <w:tc>
          <w:tcPr/>
          <w:p>
            <w:pPr>
              <w:pStyle w:val="Compact"/>
              <w:jc w:val="left"/>
            </w:pPr>
            <w:r>
              <w:t xml:space="preserve">7.49</w:t>
            </w:r>
          </w:p>
        </w:tc>
        <w:tc>
          <w:tcPr/>
          <w:p>
            <w:pPr>
              <w:pStyle w:val="Compact"/>
              <w:jc w:val="left"/>
            </w:pPr>
            <w:r>
              <w:t xml:space="preserve">1.63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61.33</w:t>
            </w:r>
          </w:p>
        </w:tc>
        <w:tc>
          <w:tcPr/>
          <w:p>
            <w:pPr>
              <w:pStyle w:val="Compact"/>
              <w:jc w:val="left"/>
            </w:pPr>
            <w:r>
              <w:t xml:space="preserve">4.40</w:t>
            </w:r>
          </w:p>
        </w:tc>
        <w:tc>
          <w:tcPr/>
          <w:p>
            <w:pPr>
              <w:pStyle w:val="Compact"/>
              <w:jc w:val="left"/>
            </w:pPr>
            <w:r>
              <w:t xml:space="preserve">0.96</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21</w:t>
            </w:r>
          </w:p>
        </w:tc>
        <w:tc>
          <w:tcPr/>
          <w:p>
            <w:pPr>
              <w:pStyle w:val="Compact"/>
              <w:jc w:val="left"/>
            </w:pPr>
            <w:r>
              <w:t xml:space="preserve">60.88</w:t>
            </w:r>
          </w:p>
        </w:tc>
        <w:tc>
          <w:tcPr/>
          <w:p>
            <w:pPr>
              <w:pStyle w:val="Compact"/>
              <w:jc w:val="left"/>
            </w:pPr>
            <w:r>
              <w:t xml:space="preserve">4.76</w:t>
            </w:r>
          </w:p>
        </w:tc>
        <w:tc>
          <w:tcPr/>
          <w:p>
            <w:pPr>
              <w:pStyle w:val="Compact"/>
              <w:jc w:val="left"/>
            </w:pPr>
            <w:r>
              <w:t xml:space="preserve">1.04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p>
      <w:pPr>
        <w:pStyle w:val="Textkrper"/>
      </w:pPr>
      <w:r>
        <w:t xml:space="preserve">Table 4:</w:t>
      </w:r>
    </w:p>
    <w:p>
      <w:pPr>
        <w:pStyle w:val="TableCaption"/>
      </w:pPr>
      <w:r>
        <w:rPr>
          <w:iCs/>
          <w:i/>
        </w:rPr>
        <w:t xml:space="preserve">Experiment 1: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-14.63</w:t>
            </w:r>
          </w:p>
        </w:tc>
        <w:tc>
          <w:tcPr/>
          <w:p>
            <w:pPr>
              <w:pStyle w:val="Compact"/>
              <w:jc w:val="left"/>
            </w:pPr>
            <w:r>
              <w:t xml:space="preserve">5.79</w:t>
            </w:r>
          </w:p>
        </w:tc>
        <w:tc>
          <w:tcPr/>
          <w:p>
            <w:pPr>
              <w:pStyle w:val="Compact"/>
              <w:jc w:val="left"/>
            </w:pPr>
            <w:r>
              <w:t xml:space="preserve">1.83</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10</w:t>
            </w:r>
          </w:p>
        </w:tc>
        <w:tc>
          <w:tcPr/>
          <w:p>
            <w:pPr>
              <w:pStyle w:val="Compact"/>
              <w:jc w:val="left"/>
            </w:pPr>
            <w:r>
              <w:t xml:space="preserve">-18.81</w:t>
            </w:r>
          </w:p>
        </w:tc>
        <w:tc>
          <w:tcPr/>
          <w:p>
            <w:pPr>
              <w:pStyle w:val="Compact"/>
              <w:jc w:val="left"/>
            </w:pPr>
            <w:r>
              <w:t xml:space="preserve">7.26</w:t>
            </w:r>
          </w:p>
        </w:tc>
        <w:tc>
          <w:tcPr/>
          <w:p>
            <w:pPr>
              <w:pStyle w:val="Compact"/>
              <w:jc w:val="left"/>
            </w:pPr>
            <w:r>
              <w:t xml:space="preserve">2.30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24.32</w:t>
            </w:r>
          </w:p>
        </w:tc>
        <w:tc>
          <w:tcPr/>
          <w:p>
            <w:pPr>
              <w:pStyle w:val="Compact"/>
              <w:jc w:val="left"/>
            </w:pPr>
            <w:r>
              <w:t xml:space="preserve">9.96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10</w:t>
            </w:r>
          </w:p>
        </w:tc>
        <w:tc>
          <w:tcPr/>
          <w:p>
            <w:pPr>
              <w:pStyle w:val="Compact"/>
              <w:jc w:val="left"/>
            </w:pPr>
            <w:r>
              <w:t xml:space="preserve">29.07</w:t>
            </w:r>
          </w:p>
        </w:tc>
        <w:tc>
          <w:tcPr/>
          <w:p>
            <w:pPr>
              <w:pStyle w:val="Compact"/>
              <w:jc w:val="left"/>
            </w:pPr>
            <w:r>
              <w:t xml:space="preserve">8.78</w:t>
            </w:r>
          </w:p>
        </w:tc>
        <w:tc>
          <w:tcPr/>
          <w:p>
            <w:pPr>
              <w:pStyle w:val="Compact"/>
              <w:jc w:val="left"/>
            </w:pPr>
            <w:r>
              <w:t xml:space="preserve">2.78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-10.30</w:t>
            </w:r>
          </w:p>
        </w:tc>
        <w:tc>
          <w:tcPr/>
          <w:p>
            <w:pPr>
              <w:pStyle w:val="Compact"/>
              <w:jc w:val="left"/>
            </w:pPr>
            <w:r>
              <w:t xml:space="preserve">5.69</w:t>
            </w:r>
          </w:p>
        </w:tc>
        <w:tc>
          <w:tcPr/>
          <w:p>
            <w:pPr>
              <w:pStyle w:val="Compact"/>
              <w:jc w:val="left"/>
            </w:pPr>
            <w:r>
              <w:t xml:space="preserve">1.24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21</w:t>
            </w:r>
          </w:p>
        </w:tc>
        <w:tc>
          <w:tcPr/>
          <w:p>
            <w:pPr>
              <w:pStyle w:val="Compact"/>
              <w:jc w:val="left"/>
            </w:pPr>
            <w:r>
              <w:t xml:space="preserve">-11.87</w:t>
            </w:r>
          </w:p>
        </w:tc>
        <w:tc>
          <w:tcPr/>
          <w:p>
            <w:pPr>
              <w:pStyle w:val="Compact"/>
              <w:jc w:val="left"/>
            </w:pPr>
            <w:r>
              <w:t xml:space="preserve">6.09</w:t>
            </w:r>
          </w:p>
        </w:tc>
        <w:tc>
          <w:tcPr/>
          <w:p>
            <w:pPr>
              <w:pStyle w:val="Compact"/>
              <w:jc w:val="left"/>
            </w:pPr>
            <w:r>
              <w:t xml:space="preserve">1.33</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19.23</w:t>
            </w:r>
          </w:p>
        </w:tc>
        <w:tc>
          <w:tcPr/>
          <w:p>
            <w:pPr>
              <w:pStyle w:val="Compact"/>
              <w:jc w:val="left"/>
            </w:pPr>
            <w:r>
              <w:t xml:space="preserve">7.71</w:t>
            </w:r>
          </w:p>
        </w:tc>
        <w:tc>
          <w:tcPr/>
          <w:p>
            <w:pPr>
              <w:pStyle w:val="Compact"/>
              <w:jc w:val="left"/>
            </w:pPr>
            <w:r>
              <w:t xml:space="preserve">1.68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21</w:t>
            </w:r>
          </w:p>
        </w:tc>
        <w:tc>
          <w:tcPr/>
          <w:p>
            <w:pPr>
              <w:pStyle w:val="Compact"/>
              <w:jc w:val="left"/>
            </w:pPr>
            <w:r>
              <w:t xml:space="preserve">21.98</w:t>
            </w:r>
          </w:p>
        </w:tc>
        <w:tc>
          <w:tcPr/>
          <w:p>
            <w:pPr>
              <w:pStyle w:val="Compact"/>
              <w:jc w:val="left"/>
            </w:pPr>
            <w:r>
              <w:t xml:space="preserve">9.56</w:t>
            </w:r>
          </w:p>
        </w:tc>
        <w:tc>
          <w:tcPr/>
          <w:p>
            <w:pPr>
              <w:pStyle w:val="Compact"/>
              <w:jc w:val="left"/>
            </w:pPr>
            <w:r>
              <w:t xml:space="preserve">2.09</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(Fig.1 B) or dynamics (Fig.1 C). TeachingExp indicates if participants had experience in teaching the piano.</w:t>
      </w:r>
    </w:p>
    <w:p>
      <w:pPr>
        <w:pStyle w:val="Textkrper"/>
      </w:pPr>
      <w:r>
        <w:t xml:space="preserve"> </w:t>
      </w:r>
    </w:p>
    <w:bookmarkEnd w:id="157"/>
    <w:bookmarkStart w:id="170" w:name="experiment-2-2"/>
    <w:p>
      <w:pPr>
        <w:pStyle w:val="berschrift2"/>
      </w:pPr>
      <w:r>
        <w:t xml:space="preserve">Experiment 2</w:t>
      </w:r>
    </w:p>
    <w:p>
      <w:pPr>
        <w:pStyle w:val="CaptionedFigure"/>
      </w:pPr>
      <w:r>
        <w:drawing>
          <wp:inline>
            <wp:extent cx="5969000" cy="2131785"/>
            <wp:effectExtent b="0" l="0" r="0" t="0"/>
            <wp:docPr descr="Figure 14.  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 title="" id="159" name="Picture"/>
            <a:graphic>
              <a:graphicData uri="http://schemas.openxmlformats.org/drawingml/2006/picture">
                <pic:pic>
                  <pic:nvPicPr>
                    <pic:cNvPr descr="manuscript_files/figure-docx/plot-ioi-teaching-2-1.png" id="160" name="Picture"/>
                    <pic:cNvPicPr>
                      <a:picLocks noChangeArrowheads="1" noChangeAspect="1"/>
                    </pic:cNvPicPr>
                  </pic:nvPicPr>
                  <pic:blipFill>
                    <a:blip r:embed="rId158"/>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Experiment 2: Comparison between those with and without piano teaching experience in terms of normalised IOIs when playing the piece with either articulation (left) or dynamics (right). A dashed line represents the tempo given by a metronome. Each box indicates the IQR with the median, and whiskers extend to a maximum of 1.5 × IQR beyond the box.</w:t>
      </w:r>
    </w:p>
    <w:p>
      <w:pPr>
        <w:pStyle w:val="CaptionedFigure"/>
      </w:pPr>
      <w:r>
        <w:drawing>
          <wp:inline>
            <wp:extent cx="5969000" cy="2131785"/>
            <wp:effectExtent b="0" l="0" r="0" t="0"/>
            <wp:docPr descr="Figure 15.  Experiment 2: Comparison between those with and without piano teaching experience in terms of KOR when playing the piece with articulation (left: legato, right: staccato). Each box indicates the IQR with the median, and whiskers extend to a maximum of 1.5 × IQR beyond the box." title="" id="162" name="Picture"/>
            <a:graphic>
              <a:graphicData uri="http://schemas.openxmlformats.org/drawingml/2006/picture">
                <pic:pic>
                  <pic:nvPicPr>
                    <pic:cNvPr descr="manuscript_files/figure-docx/plot-art-teaching-2-1.png" id="163" name="Picture"/>
                    <pic:cNvPicPr>
                      <a:picLocks noChangeArrowheads="1" noChangeAspect="1"/>
                    </pic:cNvPicPr>
                  </pic:nvPicPr>
                  <pic:blipFill>
                    <a:blip r:embed="rId161"/>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Experiment 2: Comparison between those with and without piano teaching experience in terms of KOR when playing the piece with articulation (left: legato, right: staccato). Each box indicates the IQR with the median, and whiskers extend to a maximum of 1.5 × IQR beyond the box.</w:t>
      </w:r>
    </w:p>
    <w:p>
      <w:pPr>
        <w:pStyle w:val="CaptionedFigure"/>
      </w:pPr>
      <w:r>
        <w:drawing>
          <wp:inline>
            <wp:extent cx="5969000" cy="2131785"/>
            <wp:effectExtent b="0" l="0" r="0" t="0"/>
            <wp:docPr descr="Figure 16.  Experiment 2: Comparison between those with and without piano teaching experience in terms of KV (0-127) when playing the piece with dynamics (left: forte, right: piano). Each box indicates the IQR with the median, and whiskers extend to a maximum of 1.5 × IQR beyond the box." title="" id="165" name="Picture"/>
            <a:graphic>
              <a:graphicData uri="http://schemas.openxmlformats.org/drawingml/2006/picture">
                <pic:pic>
                  <pic:nvPicPr>
                    <pic:cNvPr descr="manuscript_files/figure-docx/plot-dyn-teaching-2-1.png" id="166" name="Picture"/>
                    <pic:cNvPicPr>
                      <a:picLocks noChangeArrowheads="1" noChangeAspect="1"/>
                    </pic:cNvPicPr>
                  </pic:nvPicPr>
                  <pic:blipFill>
                    <a:blip r:embed="rId164"/>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16.</w:t>
      </w:r>
      <w:r>
        <w:rPr>
          <w:iCs/>
          <w:i/>
        </w:rPr>
        <w:t xml:space="preserve"> </w:t>
      </w:r>
      <w:r>
        <w:t xml:space="preserve"> </w:t>
      </w:r>
      <w:r>
        <w:t xml:space="preserve">Experiment 2: Comparison between those with and without piano teaching experience in terms of KV (0-127) when playing the piece with dynamics (left: forte, right: piano). Each box indicates the IQR with the median, and whiskers extend to a maximum of 1.5 × IQR beyond the box.</w:t>
      </w:r>
    </w:p>
    <w:p>
      <w:pPr>
        <w:pStyle w:val="CaptionedFigure"/>
      </w:pPr>
      <w:r>
        <w:drawing>
          <wp:inline>
            <wp:extent cx="5969000" cy="2131785"/>
            <wp:effectExtent b="0" l="0" r="0" t="0"/>
            <wp:docPr descr="Figure 17.  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 title="" id="168" name="Picture"/>
            <a:graphic>
              <a:graphicData uri="http://schemas.openxmlformats.org/drawingml/2006/picture">
                <pic:pic>
                  <pic:nvPicPr>
                    <pic:cNvPr descr="manuscript_files/figure-docx/plot-dyn-diff-teaching-2-1.png" id="169" name="Picture"/>
                    <pic:cNvPicPr>
                      <a:picLocks noChangeArrowheads="1" noChangeAspect="1"/>
                    </pic:cNvPicPr>
                  </pic:nvPicPr>
                  <pic:blipFill>
                    <a:blip r:embed="rId167"/>
                    <a:stretch>
                      <a:fillRect/>
                    </a:stretch>
                  </pic:blipFill>
                  <pic:spPr bwMode="auto">
                    <a:xfrm>
                      <a:off x="0" y="0"/>
                      <a:ext cx="5969000" cy="2131785"/>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17.</w:t>
      </w:r>
      <w:r>
        <w:rPr>
          <w:iCs/>
          <w:i/>
        </w:rPr>
        <w:t xml:space="preserve"> </w:t>
      </w:r>
      <w:r>
        <w:t xml:space="preserve"> </w:t>
      </w:r>
      <w:r>
        <w:t xml:space="preserve">Experiment 2: Comparison between those with and without piano teaching experience in terms of KV Difference at transition points when playing the piece with dynamics (left: forte to piano, right: piano to forte). Each box indicates the IQR with the median, and whiskers extend to a maximum of 1.5 × IQR beyond the box.</w:t>
      </w:r>
    </w:p>
    <w:p>
      <w:pPr>
        <w:pStyle w:val="Textkrper"/>
      </w:pPr>
      <w:r>
        <w:t xml:space="preserve">Table 5:</w:t>
      </w:r>
    </w:p>
    <w:p>
      <w:pPr>
        <w:pStyle w:val="TableCaption"/>
      </w:pPr>
      <w:r>
        <w:rPr>
          <w:iCs/>
          <w:i/>
        </w:rPr>
        <w:t xml:space="preserve">Experiment 2: Comparison between those with and without piano teaching experience in terms of normalised IOIs.</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0.954</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0.964</w:t>
            </w:r>
          </w:p>
        </w:tc>
        <w:tc>
          <w:tcPr/>
          <w:p>
            <w:pPr>
              <w:pStyle w:val="Compact"/>
              <w:jc w:val="left"/>
            </w:pPr>
            <w:r>
              <w:t xml:space="preserve">0.049</w:t>
            </w:r>
          </w:p>
        </w:tc>
        <w:tc>
          <w:tcPr/>
          <w:p>
            <w:pPr>
              <w:pStyle w:val="Compact"/>
              <w:jc w:val="left"/>
            </w:pPr>
            <w:r>
              <w:t xml:space="preserve">0.015</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0.951</w:t>
            </w:r>
          </w:p>
        </w:tc>
        <w:tc>
          <w:tcPr/>
          <w:p>
            <w:pPr>
              <w:pStyle w:val="Compact"/>
              <w:jc w:val="left"/>
            </w:pPr>
            <w:r>
              <w:t xml:space="preserve">0.035</w:t>
            </w:r>
          </w:p>
        </w:tc>
        <w:tc>
          <w:tcPr/>
          <w:p>
            <w:pPr>
              <w:pStyle w:val="Compact"/>
              <w:jc w:val="left"/>
            </w:pPr>
            <w:r>
              <w:t xml:space="preserve">0.012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No</w:t>
            </w:r>
          </w:p>
        </w:tc>
        <w:tc>
          <w:tcPr/>
          <w:p>
            <w:pPr>
              <w:pStyle w:val="Compact"/>
              <w:jc w:val="left"/>
            </w:pPr>
            <w:r>
              <w:t xml:space="preserve">9</w:t>
            </w:r>
          </w:p>
        </w:tc>
        <w:tc>
          <w:tcPr/>
          <w:p>
            <w:pPr>
              <w:pStyle w:val="Compact"/>
              <w:jc w:val="left"/>
            </w:pPr>
            <w:r>
              <w:t xml:space="preserve">0.967</w:t>
            </w:r>
          </w:p>
        </w:tc>
        <w:tc>
          <w:tcPr/>
          <w:p>
            <w:pPr>
              <w:pStyle w:val="Compact"/>
              <w:jc w:val="left"/>
            </w:pPr>
            <w:r>
              <w:t xml:space="preserve">0.052</w:t>
            </w:r>
          </w:p>
        </w:tc>
        <w:tc>
          <w:tcPr/>
          <w:p>
            <w:pPr>
              <w:pStyle w:val="Compact"/>
              <w:jc w:val="left"/>
            </w:pPr>
            <w:r>
              <w:t xml:space="preserve">0.017</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0.953</w:t>
            </w:r>
          </w:p>
        </w:tc>
        <w:tc>
          <w:tcPr/>
          <w:p>
            <w:pPr>
              <w:pStyle w:val="Compact"/>
              <w:jc w:val="left"/>
            </w:pPr>
            <w:r>
              <w:t xml:space="preserve">0.046</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Yes</w:t>
            </w:r>
          </w:p>
        </w:tc>
        <w:tc>
          <w:tcPr/>
          <w:p>
            <w:pPr>
              <w:pStyle w:val="Compact"/>
              <w:jc w:val="left"/>
            </w:pPr>
            <w:r>
              <w:t xml:space="preserve">11</w:t>
            </w:r>
          </w:p>
        </w:tc>
        <w:tc>
          <w:tcPr/>
          <w:p>
            <w:pPr>
              <w:pStyle w:val="Compact"/>
              <w:jc w:val="left"/>
            </w:pPr>
            <w:r>
              <w:t xml:space="preserve">0.958</w:t>
            </w:r>
          </w:p>
        </w:tc>
        <w:tc>
          <w:tcPr/>
          <w:p>
            <w:pPr>
              <w:pStyle w:val="Compact"/>
              <w:jc w:val="left"/>
            </w:pPr>
            <w:r>
              <w:t xml:space="preserve">0.047</w:t>
            </w:r>
          </w:p>
        </w:tc>
        <w:tc>
          <w:tcPr/>
          <w:p>
            <w:pPr>
              <w:pStyle w:val="Compact"/>
              <w:jc w:val="left"/>
            </w:pPr>
            <w:r>
              <w:t xml:space="preserve">0.014</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0.958</w:t>
            </w:r>
          </w:p>
        </w:tc>
        <w:tc>
          <w:tcPr/>
          <w:p>
            <w:pPr>
              <w:pStyle w:val="Compact"/>
              <w:jc w:val="left"/>
            </w:pPr>
            <w:r>
              <w:t xml:space="preserve">0.041</w:t>
            </w:r>
          </w:p>
        </w:tc>
        <w:tc>
          <w:tcPr/>
          <w:p>
            <w:pPr>
              <w:pStyle w:val="Compact"/>
              <w:jc w:val="left"/>
            </w:pPr>
            <w:r>
              <w:t xml:space="preserve">0.014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No</w:t>
            </w:r>
          </w:p>
        </w:tc>
        <w:tc>
          <w:tcPr/>
          <w:p>
            <w:pPr>
              <w:pStyle w:val="Compact"/>
              <w:jc w:val="left"/>
            </w:pPr>
            <w:r>
              <w:t xml:space="preserve">9</w:t>
            </w:r>
          </w:p>
        </w:tc>
        <w:tc>
          <w:tcPr/>
          <w:p>
            <w:pPr>
              <w:pStyle w:val="Compact"/>
              <w:jc w:val="left"/>
            </w:pPr>
            <w:r>
              <w:t xml:space="preserve">0.955</w:t>
            </w:r>
          </w:p>
        </w:tc>
        <w:tc>
          <w:tcPr/>
          <w:p>
            <w:pPr>
              <w:pStyle w:val="Compact"/>
              <w:jc w:val="left"/>
            </w:pPr>
            <w:r>
              <w:t xml:space="preserve">0.052</w:t>
            </w:r>
          </w:p>
        </w:tc>
        <w:tc>
          <w:tcPr/>
          <w:p>
            <w:pPr>
              <w:pStyle w:val="Compact"/>
              <w:jc w:val="left"/>
            </w:pPr>
            <w:r>
              <w:t xml:space="preserve">0.017</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6:</w:t>
      </w:r>
    </w:p>
    <w:p>
      <w:pPr>
        <w:pStyle w:val="TableCaption"/>
      </w:pPr>
      <w:r>
        <w:rPr>
          <w:iCs/>
          <w:i/>
        </w:rPr>
        <w:t xml:space="preserve">Experiment 2: Comparison between those with and without piano teaching experience in terms of KOR.</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0.115</w:t>
            </w:r>
          </w:p>
        </w:tc>
        <w:tc>
          <w:tcPr/>
          <w:p>
            <w:pPr>
              <w:pStyle w:val="Compact"/>
              <w:jc w:val="left"/>
            </w:pPr>
            <w:r>
              <w:t xml:space="preserve">0.074</w:t>
            </w:r>
          </w:p>
        </w:tc>
        <w:tc>
          <w:tcPr/>
          <w:p>
            <w:pPr>
              <w:pStyle w:val="Compact"/>
              <w:jc w:val="left"/>
            </w:pPr>
            <w:r>
              <w:t xml:space="preserve">0.022</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0.122</w:t>
            </w:r>
          </w:p>
        </w:tc>
        <w:tc>
          <w:tcPr/>
          <w:p>
            <w:pPr>
              <w:pStyle w:val="Compact"/>
              <w:jc w:val="left"/>
            </w:pPr>
            <w:r>
              <w:t xml:space="preserve">0.064</w:t>
            </w:r>
          </w:p>
        </w:tc>
        <w:tc>
          <w:tcPr/>
          <w:p>
            <w:pPr>
              <w:pStyle w:val="Compact"/>
              <w:jc w:val="left"/>
            </w:pPr>
            <w:r>
              <w:t xml:space="preserve">0.019</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-0.755</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Yes</w:t>
            </w:r>
          </w:p>
        </w:tc>
        <w:tc>
          <w:tcPr/>
          <w:p>
            <w:pPr>
              <w:pStyle w:val="Compact"/>
              <w:jc w:val="left"/>
            </w:pPr>
            <w:r>
              <w:t xml:space="preserve">11</w:t>
            </w:r>
          </w:p>
        </w:tc>
        <w:tc>
          <w:tcPr/>
          <w:p>
            <w:pPr>
              <w:pStyle w:val="Compact"/>
              <w:jc w:val="left"/>
            </w:pPr>
            <w:r>
              <w:t xml:space="preserve">-0.776</w:t>
            </w:r>
          </w:p>
        </w:tc>
        <w:tc>
          <w:tcPr/>
          <w:p>
            <w:pPr>
              <w:pStyle w:val="Compact"/>
              <w:jc w:val="left"/>
            </w:pPr>
            <w:r>
              <w:t xml:space="preserve">0.034</w:t>
            </w:r>
          </w:p>
        </w:tc>
        <w:tc>
          <w:tcPr/>
          <w:p>
            <w:pPr>
              <w:pStyle w:val="Compact"/>
              <w:jc w:val="left"/>
            </w:pPr>
            <w:r>
              <w:t xml:space="preserve">0.010</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0.071</w:t>
            </w:r>
          </w:p>
        </w:tc>
        <w:tc>
          <w:tcPr/>
          <w:p>
            <w:pPr>
              <w:pStyle w:val="Compact"/>
              <w:jc w:val="left"/>
            </w:pPr>
            <w:r>
              <w:t xml:space="preserve">0.024</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Legato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0.120</w:t>
            </w:r>
          </w:p>
        </w:tc>
        <w:tc>
          <w:tcPr/>
          <w:p>
            <w:pPr>
              <w:pStyle w:val="Compact"/>
              <w:jc w:val="left"/>
            </w:pPr>
            <w:r>
              <w:t xml:space="preserve">0.081</w:t>
            </w:r>
          </w:p>
        </w:tc>
        <w:tc>
          <w:tcPr/>
          <w:p>
            <w:pPr>
              <w:pStyle w:val="Compact"/>
              <w:jc w:val="left"/>
            </w:pPr>
            <w:r>
              <w:t xml:space="preserve">0.027</w:t>
            </w:r>
          </w:p>
        </w:tc>
      </w:tr>
      <w:tr>
        <w:tc>
          <w:tcPr/>
          <w:p>
            <w:pPr>
              <w:pStyle w:val="Compact"/>
              <w:jc w:val="left"/>
            </w:pPr>
            <w:r>
              <w:t xml:space="preserve">Performing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-0.728</w:t>
            </w:r>
          </w:p>
        </w:tc>
        <w:tc>
          <w:tcPr/>
          <w:p>
            <w:pPr>
              <w:pStyle w:val="Compact"/>
              <w:jc w:val="left"/>
            </w:pPr>
            <w:r>
              <w:t xml:space="preserve">0.050</w:t>
            </w:r>
          </w:p>
        </w:tc>
        <w:tc>
          <w:tcPr/>
          <w:p>
            <w:pPr>
              <w:pStyle w:val="Compact"/>
              <w:jc w:val="left"/>
            </w:pPr>
            <w:r>
              <w:t xml:space="preserve">0.017</w:t>
            </w:r>
          </w:p>
        </w:tc>
      </w:tr>
      <w:tr>
        <w:tc>
          <w:tcPr/>
          <w:p>
            <w:pPr>
              <w:pStyle w:val="Compact"/>
              <w:jc w:val="left"/>
            </w:pPr>
            <w:r>
              <w:t xml:space="preserve">Teaching</w:t>
            </w:r>
          </w:p>
        </w:tc>
        <w:tc>
          <w:tcPr/>
          <w:p>
            <w:pPr>
              <w:pStyle w:val="Compact"/>
              <w:jc w:val="left"/>
            </w:pPr>
            <w:r>
              <w:t xml:space="preserve">Articulation</w:t>
            </w:r>
          </w:p>
        </w:tc>
        <w:tc>
          <w:tcPr/>
          <w:p>
            <w:pPr>
              <w:pStyle w:val="Compact"/>
              <w:jc w:val="left"/>
            </w:pPr>
            <w:r>
              <w:t xml:space="preserve">Staccato</w:t>
            </w:r>
          </w:p>
        </w:tc>
        <w:tc>
          <w:tcPr/>
          <w:p>
            <w:pPr>
              <w:pStyle w:val="Compact"/>
              <w:jc w:val="left"/>
            </w:pPr>
            <w:r>
              <w:t xml:space="preserve">No</w:t>
            </w:r>
          </w:p>
        </w:tc>
        <w:tc>
          <w:tcPr/>
          <w:p>
            <w:pPr>
              <w:pStyle w:val="Compact"/>
              <w:jc w:val="left"/>
            </w:pPr>
            <w:r>
              <w:t xml:space="preserve">9</w:t>
            </w:r>
          </w:p>
        </w:tc>
        <w:tc>
          <w:tcPr/>
          <w:p>
            <w:pPr>
              <w:pStyle w:val="Compact"/>
              <w:jc w:val="left"/>
            </w:pPr>
            <w:r>
              <w:t xml:space="preserve">-0.749</w:t>
            </w:r>
          </w:p>
        </w:tc>
        <w:tc>
          <w:tcPr/>
          <w:p>
            <w:pPr>
              <w:pStyle w:val="Compact"/>
              <w:jc w:val="left"/>
            </w:pPr>
            <w:r>
              <w:t xml:space="preserve">0.073</w:t>
            </w:r>
          </w:p>
        </w:tc>
        <w:tc>
          <w:tcPr/>
          <w:p>
            <w:pPr>
              <w:pStyle w:val="Compact"/>
              <w:jc w:val="left"/>
            </w:pPr>
            <w:r>
              <w:t xml:space="preserve">0.024</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7:</w:t>
      </w:r>
    </w:p>
    <w:p>
      <w:pPr>
        <w:pStyle w:val="TableCaption"/>
      </w:pPr>
      <w:r>
        <w:rPr>
          <w:iCs/>
          <w:i/>
        </w:rPr>
        <w:t xml:space="preserve">Experiment 2: Comparison between those with and without piano teaching experience in terms of KV (0-127).</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81.06</w:t>
            </w:r>
          </w:p>
        </w:tc>
        <w:tc>
          <w:tcPr/>
          <w:p>
            <w:pPr>
              <w:pStyle w:val="Compact"/>
              <w:jc w:val="left"/>
            </w:pPr>
            <w:r>
              <w:t xml:space="preserve">6.52</w:t>
            </w:r>
          </w:p>
        </w:tc>
        <w:tc>
          <w:tcPr/>
          <w:p>
            <w:pPr>
              <w:pStyle w:val="Compact"/>
              <w:jc w:val="left"/>
            </w:pPr>
            <w:r>
              <w:t xml:space="preserve">1.97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Yes</w:t>
            </w:r>
          </w:p>
        </w:tc>
        <w:tc>
          <w:tcPr/>
          <w:p>
            <w:pPr>
              <w:pStyle w:val="Compact"/>
              <w:jc w:val="left"/>
            </w:pPr>
            <w:r>
              <w:t xml:space="preserve">11</w:t>
            </w:r>
          </w:p>
        </w:tc>
        <w:tc>
          <w:tcPr/>
          <w:p>
            <w:pPr>
              <w:pStyle w:val="Compact"/>
              <w:jc w:val="left"/>
            </w:pPr>
            <w:r>
              <w:t xml:space="preserve">83.32</w:t>
            </w:r>
          </w:p>
        </w:tc>
        <w:tc>
          <w:tcPr/>
          <w:p>
            <w:pPr>
              <w:pStyle w:val="Compact"/>
              <w:jc w:val="left"/>
            </w:pPr>
            <w:r>
              <w:t xml:space="preserve">6.48</w:t>
            </w:r>
          </w:p>
        </w:tc>
        <w:tc>
          <w:tcPr/>
          <w:p>
            <w:pPr>
              <w:pStyle w:val="Compact"/>
              <w:jc w:val="left"/>
            </w:pPr>
            <w:r>
              <w:t xml:space="preserve">1.95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62.49</w:t>
            </w:r>
          </w:p>
        </w:tc>
        <w:tc>
          <w:tcPr/>
          <w:p>
            <w:pPr>
              <w:pStyle w:val="Compact"/>
              <w:jc w:val="left"/>
            </w:pPr>
            <w:r>
              <w:t xml:space="preserve">5.55</w:t>
            </w:r>
          </w:p>
        </w:tc>
        <w:tc>
          <w:tcPr/>
          <w:p>
            <w:pPr>
              <w:pStyle w:val="Compact"/>
              <w:jc w:val="left"/>
            </w:pPr>
            <w:r>
              <w:t xml:space="preserve">1.67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Yes</w:t>
            </w:r>
          </w:p>
        </w:tc>
        <w:tc>
          <w:tcPr/>
          <w:p>
            <w:pPr>
              <w:pStyle w:val="Compact"/>
              <w:jc w:val="left"/>
            </w:pPr>
            <w:r>
              <w:t xml:space="preserve">11</w:t>
            </w:r>
          </w:p>
        </w:tc>
        <w:tc>
          <w:tcPr/>
          <w:p>
            <w:pPr>
              <w:pStyle w:val="Compact"/>
              <w:jc w:val="left"/>
            </w:pPr>
            <w:r>
              <w:t xml:space="preserve">59.50</w:t>
            </w:r>
          </w:p>
        </w:tc>
        <w:tc>
          <w:tcPr/>
          <w:p>
            <w:pPr>
              <w:pStyle w:val="Compact"/>
              <w:jc w:val="left"/>
            </w:pPr>
            <w:r>
              <w:t xml:space="preserve">3.59</w:t>
            </w:r>
          </w:p>
        </w:tc>
        <w:tc>
          <w:tcPr/>
          <w:p>
            <w:pPr>
              <w:pStyle w:val="Compact"/>
              <w:jc w:val="left"/>
            </w:pPr>
            <w:r>
              <w:t xml:space="preserve">1.08</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82.02</w:t>
            </w:r>
          </w:p>
        </w:tc>
        <w:tc>
          <w:tcPr/>
          <w:p>
            <w:pPr>
              <w:pStyle w:val="Compact"/>
              <w:jc w:val="left"/>
            </w:pPr>
            <w:r>
              <w:t xml:space="preserve">10.15</w:t>
            </w:r>
          </w:p>
        </w:tc>
        <w:tc>
          <w:tcPr/>
          <w:p>
            <w:pPr>
              <w:pStyle w:val="Compact"/>
              <w:jc w:val="left"/>
            </w:pPr>
            <w:r>
              <w:t xml:space="preserve">3.38</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Forte</w:t>
            </w:r>
          </w:p>
        </w:tc>
        <w:tc>
          <w:tcPr/>
          <w:p>
            <w:pPr>
              <w:pStyle w:val="Compact"/>
              <w:jc w:val="left"/>
            </w:pPr>
            <w:r>
              <w:t xml:space="preserve">No</w:t>
            </w:r>
          </w:p>
        </w:tc>
        <w:tc>
          <w:tcPr/>
          <w:p>
            <w:pPr>
              <w:pStyle w:val="Compact"/>
              <w:jc w:val="left"/>
            </w:pPr>
            <w:r>
              <w:t xml:space="preserve">9</w:t>
            </w:r>
          </w:p>
        </w:tc>
        <w:tc>
          <w:tcPr/>
          <w:p>
            <w:pPr>
              <w:pStyle w:val="Compact"/>
              <w:jc w:val="left"/>
            </w:pPr>
            <w:r>
              <w:t xml:space="preserve">83.06</w:t>
            </w:r>
          </w:p>
        </w:tc>
        <w:tc>
          <w:tcPr/>
          <w:p>
            <w:pPr>
              <w:pStyle w:val="Compact"/>
              <w:jc w:val="left"/>
            </w:pPr>
            <w:r>
              <w:t xml:space="preserve">11.54</w:t>
            </w:r>
          </w:p>
        </w:tc>
        <w:tc>
          <w:tcPr/>
          <w:p>
            <w:pPr>
              <w:pStyle w:val="Compact"/>
              <w:jc w:val="left"/>
            </w:pPr>
            <w:r>
              <w:t xml:space="preserve">3.85</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62.36</w:t>
            </w:r>
          </w:p>
        </w:tc>
        <w:tc>
          <w:tcPr/>
          <w:p>
            <w:pPr>
              <w:pStyle w:val="Compact"/>
              <w:jc w:val="left"/>
            </w:pPr>
            <w:r>
              <w:t xml:space="preserve">4.11</w:t>
            </w:r>
          </w:p>
        </w:tc>
        <w:tc>
          <w:tcPr/>
          <w:p>
            <w:pPr>
              <w:pStyle w:val="Compact"/>
              <w:jc w:val="left"/>
            </w:pPr>
            <w:r>
              <w:t xml:space="preserve">1.37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Piano</w:t>
            </w:r>
          </w:p>
        </w:tc>
        <w:tc>
          <w:tcPr/>
          <w:p>
            <w:pPr>
              <w:pStyle w:val="Compact"/>
              <w:jc w:val="left"/>
            </w:pPr>
            <w:r>
              <w:t xml:space="preserve">No</w:t>
            </w:r>
          </w:p>
        </w:tc>
        <w:tc>
          <w:tcPr/>
          <w:p>
            <w:pPr>
              <w:pStyle w:val="Compact"/>
              <w:jc w:val="left"/>
            </w:pPr>
            <w:r>
              <w:t xml:space="preserve">9</w:t>
            </w:r>
          </w:p>
        </w:tc>
        <w:tc>
          <w:tcPr/>
          <w:p>
            <w:pPr>
              <w:pStyle w:val="Compact"/>
              <w:jc w:val="left"/>
            </w:pPr>
            <w:r>
              <w:t xml:space="preserve">61.81</w:t>
            </w:r>
          </w:p>
        </w:tc>
        <w:tc>
          <w:tcPr/>
          <w:p>
            <w:pPr>
              <w:pStyle w:val="Compact"/>
              <w:jc w:val="left"/>
            </w:pPr>
            <w:r>
              <w:t xml:space="preserve">3.76</w:t>
            </w:r>
          </w:p>
        </w:tc>
        <w:tc>
          <w:tcPr/>
          <w:p>
            <w:pPr>
              <w:pStyle w:val="Compact"/>
              <w:jc w:val="left"/>
            </w:pPr>
            <w:r>
              <w:t xml:space="preserve">1.25</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p>
      <w:pPr>
        <w:pStyle w:val="Textkrper"/>
      </w:pPr>
      <w:r>
        <w:t xml:space="preserve">Table 8:</w:t>
      </w:r>
    </w:p>
    <w:p>
      <w:pPr>
        <w:pStyle w:val="TableCaption"/>
      </w:pPr>
      <w:r>
        <w:rPr>
          <w:iCs/>
          <w:i/>
        </w:rPr>
        <w:t xml:space="preserve">Experiment 2: Comparison between those with and without piano teaching experience in terms of KV Difference at transition points.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true"/>
        </w:trPr>
        <w:tc>
          <w:tcPr/>
          <w:p>
            <w:pPr>
              <w:pStyle w:val="Compact"/>
              <w:jc w:val="left"/>
            </w:pPr>
            <w:r>
              <w:t xml:space="preserve">Condition</w:t>
            </w:r>
          </w:p>
        </w:tc>
        <w:tc>
          <w:tcPr/>
          <w:p>
            <w:pPr>
              <w:pStyle w:val="Compact"/>
              <w:jc w:val="left"/>
            </w:pPr>
            <w:r>
              <w:t xml:space="preserve">Technique</w:t>
            </w:r>
          </w:p>
        </w:tc>
        <w:tc>
          <w:tcPr/>
          <w:p>
            <w:pPr>
              <w:pStyle w:val="Compact"/>
              <w:jc w:val="left"/>
            </w:pPr>
            <w:r>
              <w:t xml:space="preserve">Subcomponent</w:t>
            </w:r>
          </w:p>
        </w:tc>
        <w:tc>
          <w:tcPr/>
          <w:p>
            <w:pPr>
              <w:pStyle w:val="Compact"/>
              <w:jc w:val="left"/>
            </w:pPr>
            <w:r>
              <w:t xml:space="preserve">TeachingExp</w:t>
            </w:r>
          </w:p>
        </w:tc>
        <w:tc>
          <w:tcPr/>
          <w:p>
            <w:pPr>
              <w:pStyle w:val="Compact"/>
              <w:jc w:val="left"/>
            </w:pPr>
            <w:r>
              <w:t xml:space="preserve">N</w:t>
            </w:r>
          </w:p>
        </w:tc>
        <w:tc>
          <w:tcPr/>
          <w:p>
            <w:pPr>
              <w:pStyle w:val="Compact"/>
              <w:jc w:val="left"/>
            </w:pPr>
            <w:r>
              <w:t xml:space="preserve">Mean</w:t>
            </w:r>
          </w:p>
        </w:tc>
        <w:tc>
          <w:tcPr/>
          <w:p>
            <w:pPr>
              <w:pStyle w:val="Compact"/>
              <w:jc w:val="left"/>
            </w:pPr>
            <w:r>
              <w:t xml:space="preserve">SD</w:t>
            </w:r>
          </w:p>
        </w:tc>
        <w:tc>
          <w:tcPr/>
          <w:p>
            <w:pPr>
              <w:pStyle w:val="Compact"/>
              <w:jc w:val="left"/>
            </w:pPr>
            <w:r>
              <w:t xml:space="preserve">SEM</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-14.43</w:t>
            </w:r>
          </w:p>
        </w:tc>
        <w:tc>
          <w:tcPr/>
          <w:p>
            <w:pPr>
              <w:pStyle w:val="Compact"/>
              <w:jc w:val="left"/>
            </w:pPr>
            <w:r>
              <w:t xml:space="preserve">6.20</w:t>
            </w:r>
          </w:p>
        </w:tc>
        <w:tc>
          <w:tcPr/>
          <w:p>
            <w:pPr>
              <w:pStyle w:val="Compact"/>
              <w:jc w:val="left"/>
            </w:pPr>
            <w:r>
              <w:t xml:space="preserve">1.87</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Yes</w:t>
            </w:r>
          </w:p>
        </w:tc>
        <w:tc>
          <w:tcPr/>
          <w:p>
            <w:pPr>
              <w:pStyle w:val="Compact"/>
              <w:jc w:val="left"/>
            </w:pPr>
            <w:r>
              <w:t xml:space="preserve">11</w:t>
            </w:r>
          </w:p>
        </w:tc>
        <w:tc>
          <w:tcPr/>
          <w:p>
            <w:pPr>
              <w:pStyle w:val="Compact"/>
              <w:jc w:val="left"/>
            </w:pPr>
            <w:r>
              <w:t xml:space="preserve">-19.27</w:t>
            </w:r>
          </w:p>
        </w:tc>
        <w:tc>
          <w:tcPr/>
          <w:p>
            <w:pPr>
              <w:pStyle w:val="Compact"/>
              <w:jc w:val="left"/>
            </w:pPr>
            <w:r>
              <w:t xml:space="preserve">4.33</w:t>
            </w:r>
          </w:p>
        </w:tc>
        <w:tc>
          <w:tcPr/>
          <w:p>
            <w:pPr>
              <w:pStyle w:val="Compact"/>
              <w:jc w:val="left"/>
            </w:pPr>
            <w:r>
              <w:t xml:space="preserve">1.30</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14.96</w:t>
            </w:r>
          </w:p>
        </w:tc>
        <w:tc>
          <w:tcPr/>
          <w:p>
            <w:pPr>
              <w:pStyle w:val="Compact"/>
              <w:jc w:val="left"/>
            </w:pPr>
            <w:r>
              <w:t xml:space="preserve">6.78</w:t>
            </w:r>
          </w:p>
        </w:tc>
        <w:tc>
          <w:tcPr/>
          <w:p>
            <w:pPr>
              <w:pStyle w:val="Compact"/>
              <w:jc w:val="left"/>
            </w:pPr>
            <w:r>
              <w:t xml:space="preserve">2.04</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Yes</w:t>
            </w:r>
          </w:p>
        </w:tc>
        <w:tc>
          <w:tcPr/>
          <w:p>
            <w:pPr>
              <w:pStyle w:val="Compact"/>
              <w:jc w:val="left"/>
            </w:pPr>
            <w:r>
              <w:t xml:space="preserve">11</w:t>
            </w:r>
          </w:p>
        </w:tc>
        <w:tc>
          <w:tcPr/>
          <w:p>
            <w:pPr>
              <w:pStyle w:val="Compact"/>
              <w:jc w:val="left"/>
            </w:pPr>
            <w:r>
              <w:t xml:space="preserve">20.77</w:t>
            </w:r>
          </w:p>
        </w:tc>
        <w:tc>
          <w:tcPr/>
          <w:p>
            <w:pPr>
              <w:pStyle w:val="Compact"/>
              <w:jc w:val="left"/>
            </w:pPr>
            <w:r>
              <w:t xml:space="preserve">5.71</w:t>
            </w:r>
          </w:p>
        </w:tc>
        <w:tc>
          <w:tcPr/>
          <w:p>
            <w:pPr>
              <w:pStyle w:val="Compact"/>
              <w:jc w:val="left"/>
            </w:pPr>
            <w:r>
              <w:t xml:space="preserve">1.72</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-13.64</w:t>
            </w:r>
          </w:p>
        </w:tc>
        <w:tc>
          <w:tcPr/>
          <w:p>
            <w:pPr>
              <w:pStyle w:val="Compact"/>
              <w:jc w:val="left"/>
            </w:pPr>
            <w:r>
              <w:t xml:space="preserve">9.46</w:t>
            </w:r>
          </w:p>
        </w:tc>
        <w:tc>
          <w:tcPr/>
          <w:p>
            <w:pPr>
              <w:pStyle w:val="Compact"/>
              <w:jc w:val="left"/>
            </w:pPr>
            <w:r>
              <w:t xml:space="preserve">3.15</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FtoP</w:t>
            </w:r>
          </w:p>
        </w:tc>
        <w:tc>
          <w:tcPr/>
          <w:p>
            <w:pPr>
              <w:pStyle w:val="Compact"/>
              <w:jc w:val="left"/>
            </w:pPr>
            <w:r>
              <w:t xml:space="preserve">No</w:t>
            </w:r>
          </w:p>
        </w:tc>
        <w:tc>
          <w:tcPr/>
          <w:p>
            <w:pPr>
              <w:pStyle w:val="Compact"/>
              <w:jc w:val="left"/>
            </w:pPr>
            <w:r>
              <w:t xml:space="preserve">9</w:t>
            </w:r>
          </w:p>
        </w:tc>
        <w:tc>
          <w:tcPr/>
          <w:p>
            <w:pPr>
              <w:pStyle w:val="Compact"/>
              <w:jc w:val="left"/>
            </w:pPr>
            <w:r>
              <w:t xml:space="preserve">-14.84</w:t>
            </w:r>
          </w:p>
        </w:tc>
        <w:tc>
          <w:tcPr/>
          <w:p>
            <w:pPr>
              <w:pStyle w:val="Compact"/>
              <w:jc w:val="left"/>
            </w:pPr>
            <w:r>
              <w:t xml:space="preserve">11.08</w:t>
            </w:r>
          </w:p>
        </w:tc>
        <w:tc>
          <w:tcPr/>
          <w:p>
            <w:pPr>
              <w:pStyle w:val="Compact"/>
              <w:jc w:val="left"/>
            </w:pPr>
            <w:r>
              <w:t xml:space="preserve">3.69</w:t>
            </w:r>
          </w:p>
        </w:tc>
      </w:tr>
      <w:tr>
        <w:tc>
          <w:tcPr/>
          <w:p>
            <w:pPr>
              <w:pStyle w:val="Compact"/>
              <w:jc w:val="left"/>
            </w:pPr>
            <w:r>
              <w:t xml:space="preserve">Performing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17.44</w:t>
            </w:r>
          </w:p>
        </w:tc>
        <w:tc>
          <w:tcPr/>
          <w:p>
            <w:pPr>
              <w:pStyle w:val="Compact"/>
              <w:jc w:val="left"/>
            </w:pPr>
            <w:r>
              <w:t xml:space="preserve">8.11</w:t>
            </w:r>
          </w:p>
        </w:tc>
        <w:tc>
          <w:tcPr/>
          <w:p>
            <w:pPr>
              <w:pStyle w:val="Compact"/>
              <w:jc w:val="left"/>
            </w:pPr>
            <w:r>
              <w:t xml:space="preserve">2.70</w:t>
            </w:r>
          </w:p>
        </w:tc>
      </w:tr>
      <w:tr>
        <w:tc>
          <w:tcPr/>
          <w:p>
            <w:pPr>
              <w:pStyle w:val="Compact"/>
              <w:jc w:val="left"/>
            </w:pPr>
            <w:r>
              <w:t xml:space="preserve">Teaching</w:t>
            </w:r>
          </w:p>
        </w:tc>
        <w:tc>
          <w:tcPr/>
          <w:p>
            <w:pPr>
              <w:pStyle w:val="Compact"/>
              <w:jc w:val="left"/>
            </w:pPr>
            <w:r>
              <w:t xml:space="preserve">Dynamics</w:t>
            </w:r>
          </w:p>
        </w:tc>
        <w:tc>
          <w:tcPr/>
          <w:p>
            <w:pPr>
              <w:pStyle w:val="Compact"/>
              <w:jc w:val="left"/>
            </w:pPr>
            <w:r>
              <w:t xml:space="preserve">PtoF</w:t>
            </w:r>
          </w:p>
        </w:tc>
        <w:tc>
          <w:tcPr/>
          <w:p>
            <w:pPr>
              <w:pStyle w:val="Compact"/>
              <w:jc w:val="left"/>
            </w:pPr>
            <w:r>
              <w:t xml:space="preserve">No</w:t>
            </w:r>
          </w:p>
        </w:tc>
        <w:tc>
          <w:tcPr/>
          <w:p>
            <w:pPr>
              <w:pStyle w:val="Compact"/>
              <w:jc w:val="left"/>
            </w:pPr>
            <w:r>
              <w:t xml:space="preserve">9</w:t>
            </w:r>
          </w:p>
        </w:tc>
        <w:tc>
          <w:tcPr/>
          <w:p>
            <w:pPr>
              <w:pStyle w:val="Compact"/>
              <w:jc w:val="left"/>
            </w:pPr>
            <w:r>
              <w:t xml:space="preserve">20.66</w:t>
            </w:r>
          </w:p>
        </w:tc>
        <w:tc>
          <w:tcPr/>
          <w:p>
            <w:pPr>
              <w:pStyle w:val="Compact"/>
              <w:jc w:val="left"/>
            </w:pPr>
            <w:r>
              <w:t xml:space="preserve">12.09</w:t>
            </w:r>
          </w:p>
        </w:tc>
        <w:tc>
          <w:tcPr/>
          <w:p>
            <w:pPr>
              <w:pStyle w:val="Compact"/>
              <w:jc w:val="left"/>
            </w:pPr>
            <w:r>
              <w:t xml:space="preserve">4.03</w:t>
            </w:r>
          </w:p>
        </w:tc>
      </w:tr>
    </w:tbl>
    <w:p>
      <w:pPr>
        <w:pStyle w:val="Compact"/>
      </w:pPr>
      <w:r>
        <w:rPr>
          <w:iCs/>
          <w:i/>
        </w:rPr>
        <w:t xml:space="preserve">Note.</w:t>
      </w:r>
      <w:r>
        <w:t xml:space="preserve"> </w:t>
      </w:r>
      <w:r>
        <w:t xml:space="preserve">N, SD and SEM represent sample size, standard deviation and standard error of the mean, respectively. Technique indicates performance data when participants playing the piece with either articulation (Fig.5 B) or dynamics (Fig.5 C). TeachingExp indicates if participants had experience in teaching the piano.</w:t>
      </w:r>
    </w:p>
    <w:p>
      <w:pPr>
        <w:pStyle w:val="Textkrper"/>
      </w:pPr>
      <w:r>
        <w:t xml:space="preserve"> </w:t>
      </w:r>
    </w:p>
    <w:bookmarkEnd w:id="170"/>
    <w:bookmarkEnd w:id="171"/>
    <w:bookmarkStart w:id="182" w:name="temporal-variability"/>
    <w:p>
      <w:pPr>
        <w:pStyle w:val="berschrift1"/>
      </w:pPr>
      <w:r>
        <w:t xml:space="preserve">3. 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72" w:name="results-2"/>
    <w:p>
      <w:pPr>
        <w:pStyle w:val="berschrift2"/>
      </w:pPr>
      <w:r>
        <w:t xml:space="preserve">Results</w:t>
      </w:r>
    </w:p>
    <w:bookmarkEnd w:id="172"/>
    <w:bookmarkStart w:id="175" w:name="experiment-1-3"/>
    <w:p>
      <w:pPr>
        <w:pStyle w:val="berschrift2"/>
      </w:pPr>
      <w:r>
        <w:t xml:space="preserve">Experiment 1</w:t>
      </w:r>
    </w:p>
    <w:bookmarkStart w:id="173"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73"/>
    <w:bookmarkStart w:id="174"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74"/>
    <w:bookmarkEnd w:id="175"/>
    <w:bookmarkStart w:id="181" w:name="experiment-2-3"/>
    <w:p>
      <w:pPr>
        <w:pStyle w:val="berschrift2"/>
      </w:pPr>
      <w:r>
        <w:t xml:space="preserve">Experiment 2</w:t>
      </w:r>
    </w:p>
    <w:bookmarkStart w:id="176"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76"/>
    <w:bookmarkStart w:id="180"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8.  Experiment 1, 2: CVs when playing the piece with either articulation or dynamics (left: Experiment 1, right: Experiment 2). Each box indicates the IQR with the median, and whiskers extend to a maximum of 1.5 × IQR beyond the box. Significance levels: *  &lt; .05, **  &lt; .01, ***  &lt; .001" title="" id="178" name="Picture"/>
            <a:graphic>
              <a:graphicData uri="http://schemas.openxmlformats.org/drawingml/2006/picture">
                <pic:pic>
                  <pic:nvPicPr>
                    <pic:cNvPr descr="manuscript_files/figure-docx/plot-cv-1.png" id="179" name="Picture"/>
                    <pic:cNvPicPr>
                      <a:picLocks noChangeArrowheads="1" noChangeAspect="1"/>
                    </pic:cNvPicPr>
                  </pic:nvPicPr>
                  <pic:blipFill>
                    <a:blip r:embed="rId17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18.</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80"/>
    <w:bookmarkEnd w:id="181"/>
    <w:bookmarkEnd w:id="182"/>
    <w:bookmarkStart w:id="193" w:name="temporal-grouping"/>
    <w:p>
      <w:pPr>
        <w:pStyle w:val="berschrift1"/>
      </w:pPr>
      <w:r>
        <w:t xml:space="preserve">4. Temporal grouping</w:t>
      </w:r>
    </w:p>
    <w:p>
      <w:pPr>
        <w:pStyle w:val="FirstParagraph"/>
      </w:pPr>
      <w:r>
        <w:t xml:space="preserve">In order to investigate if participants used temporal grouping to make boundaries between subcomponents (i.e., between legato and staccato, between forte and piano) clearer for teaching purposes, we looked at IOIs only at transition points.</w:t>
      </w:r>
    </w:p>
    <w:bookmarkStart w:id="183" w:name="results-3"/>
    <w:p>
      <w:pPr>
        <w:pStyle w:val="berschrift2"/>
      </w:pPr>
      <w:r>
        <w:t xml:space="preserve">Results</w:t>
      </w:r>
    </w:p>
    <w:bookmarkEnd w:id="183"/>
    <w:bookmarkStart w:id="186" w:name="experiment-1-4"/>
    <w:p>
      <w:pPr>
        <w:pStyle w:val="berschrift2"/>
      </w:pPr>
      <w:r>
        <w:t xml:space="preserve">Experiment 1</w:t>
      </w:r>
    </w:p>
    <w:bookmarkStart w:id="184"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in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84"/>
    <w:bookmarkStart w:id="185"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in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85"/>
    <w:bookmarkEnd w:id="186"/>
    <w:bookmarkStart w:id="192" w:name="experiment-2-4"/>
    <w:p>
      <w:pPr>
        <w:pStyle w:val="berschrift2"/>
      </w:pPr>
      <w:r>
        <w:t xml:space="preserve">Experiment 2</w:t>
      </w:r>
    </w:p>
    <w:bookmarkStart w:id="187"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in the teaching condition [</w:t>
      </w:r>
      <w:r>
        <w:rPr>
          <w:iCs/>
          <w:i/>
        </w:rPr>
        <w:t xml:space="preserve">M</w:t>
      </w:r>
      <w:r>
        <w:t xml:space="preserve"> </w:t>
      </w:r>
      <w:r>
        <w:t xml:space="preserve">= 1.00,</w:t>
      </w:r>
      <w:r>
        <w:t xml:space="preserve"> </w:t>
      </w:r>
      <w:r>
        <w:rPr>
          <w:iCs/>
          <w:i/>
        </w:rPr>
        <w:t xml:space="preserve">SD</w:t>
      </w:r>
      <w:r>
        <w:t xml:space="preserve"> </w:t>
      </w:r>
      <w:r>
        <w:t xml:space="preserve">= 0.067] than in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87"/>
    <w:bookmarkStart w:id="191"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9.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89" name="Picture"/>
            <a:graphic>
              <a:graphicData uri="http://schemas.openxmlformats.org/drawingml/2006/picture">
                <pic:pic>
                  <pic:nvPicPr>
                    <pic:cNvPr descr="manuscript_files/figure-docx/plot-tra-1.png" id="190" name="Picture"/>
                    <pic:cNvPicPr>
                      <a:picLocks noChangeArrowheads="1" noChangeAspect="1"/>
                    </pic:cNvPicPr>
                  </pic:nvPicPr>
                  <pic:blipFill>
                    <a:blip r:embed="rId188"/>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19.</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1"/>
    <w:bookmarkEnd w:id="192"/>
    <w:bookmarkEnd w:id="193"/>
    <w:bookmarkStart w:id="200" w:name="Xb3b39e983932286abeb549707e2ff967929e056"/>
    <w:p>
      <w:pPr>
        <w:pStyle w:val="berschrift1"/>
      </w:pPr>
      <w:r>
        <w:t xml:space="preserve">5. 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94" w:name="results-4"/>
    <w:p>
      <w:pPr>
        <w:pStyle w:val="berschrift2"/>
      </w:pPr>
      <w:r>
        <w:t xml:space="preserve">Results</w:t>
      </w:r>
    </w:p>
    <w:bookmarkEnd w:id="194"/>
    <w:bookmarkStart w:id="195" w:name="experiment-1-5"/>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95"/>
    <w:bookmarkStart w:id="199" w:name="experiment-2-5"/>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0.31,</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20.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97" name="Picture"/>
            <a:graphic>
              <a:graphicData uri="http://schemas.openxmlformats.org/drawingml/2006/picture">
                <pic:pic>
                  <pic:nvPicPr>
                    <pic:cNvPr descr="manuscript_files/figure-docx/plot-vel-diff-2-1.png" id="198" name="Picture"/>
                    <pic:cNvPicPr>
                      <a:picLocks noChangeArrowheads="1" noChangeAspect="1"/>
                    </pic:cNvPicPr>
                  </pic:nvPicPr>
                  <pic:blipFill>
                    <a:blip r:embed="rId19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20.</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99"/>
    <w:bookmarkEnd w:id="20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EXPERT PIANISTS MAKE SPECIFIC EXAGGERATIONS FOR TEACHING</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EXPERT PIANISTS MAKE SPECIFIC EXAGGERATIONS FOR TEACHING</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8" Target="media/rId148.png" /><Relationship Type="http://schemas.openxmlformats.org/officeDocument/2006/relationships/image" Id="rId161" Target="media/rId161.png" /><Relationship Type="http://schemas.openxmlformats.org/officeDocument/2006/relationships/image" Id="rId177" Target="media/rId177.png" /><Relationship Type="http://schemas.openxmlformats.org/officeDocument/2006/relationships/image" Id="rId154" Target="media/rId154.png" /><Relationship Type="http://schemas.openxmlformats.org/officeDocument/2006/relationships/image" Id="rId167" Target="media/rId167.png" /><Relationship Type="http://schemas.openxmlformats.org/officeDocument/2006/relationships/image" Id="rId151" Target="media/rId151.png" /><Relationship Type="http://schemas.openxmlformats.org/officeDocument/2006/relationships/image" Id="rId164" Target="media/rId16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145" Target="media/rId145.png" /><Relationship Type="http://schemas.openxmlformats.org/officeDocument/2006/relationships/image" Id="rId158" Target="media/rId158.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88" Target="media/rId188.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96" Target="media/rId196.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7" Target="https://doi.org/10.1016/S1364-6613(00)01531-X" TargetMode="External" /><Relationship Type="http://schemas.openxmlformats.org/officeDocument/2006/relationships/hyperlink" Id="rId120" Target="https://doi.org/10.1016/j.anbehav.2007.12.014" TargetMode="External" /><Relationship Type="http://schemas.openxmlformats.org/officeDocument/2006/relationships/hyperlink" Id="rId122" Target="https://doi.org/10.1016/j.copsyc.2015.09.008" TargetMode="External" /><Relationship Type="http://schemas.openxmlformats.org/officeDocument/2006/relationships/hyperlink" Id="rId89" Target="https://doi.org/10.1016/j.pragma.2012.12.007" TargetMode="External" /><Relationship Type="http://schemas.openxmlformats.org/officeDocument/2006/relationships/hyperlink" Id="rId124" Target="https://doi.org/10.1016/j.specom.2006.10.003" TargetMode="External" /><Relationship Type="http://schemas.openxmlformats.org/officeDocument/2006/relationships/hyperlink" Id="rId93" Target="https://doi.org/10.1016/j.tics.2009.01.005" TargetMode="External" /><Relationship Type="http://schemas.openxmlformats.org/officeDocument/2006/relationships/hyperlink" Id="rId104" Target="https://doi.org/10.1037/xhp0000505" TargetMode="External" /><Relationship Type="http://schemas.openxmlformats.org/officeDocument/2006/relationships/hyperlink" Id="rId107" Target="https://doi.org/10.1038/s41598-019-44049-x" TargetMode="External" /><Relationship Type="http://schemas.openxmlformats.org/officeDocument/2006/relationships/hyperlink" Id="rId87" Target="https://doi.org/10.1076/jnmr.29.3.211.3092" TargetMode="External" /><Relationship Type="http://schemas.openxmlformats.org/officeDocument/2006/relationships/hyperlink" Id="rId100" Target="https://doi.org/10.1080/1461380032000182821" TargetMode="External" /><Relationship Type="http://schemas.openxmlformats.org/officeDocument/2006/relationships/hyperlink" Id="rId85" Target="https://doi.org/10.1111/1467-7687.00211" TargetMode="External" /><Relationship Type="http://schemas.openxmlformats.org/officeDocument/2006/relationships/hyperlink" Id="rId95" Target="https://doi.org/10.1111/desc.12270" TargetMode="External" /><Relationship Type="http://schemas.openxmlformats.org/officeDocument/2006/relationships/hyperlink" Id="rId113" Target="https://doi.org/10.1111/desc.12869" TargetMode="External" /><Relationship Type="http://schemas.openxmlformats.org/officeDocument/2006/relationships/hyperlink" Id="rId130" Target="https://doi.org/10.1177/002242940605400103" TargetMode="External" /><Relationship Type="http://schemas.openxmlformats.org/officeDocument/2006/relationships/hyperlink" Id="rId98" Target="https://doi.org/10.1177/03057356030313003" TargetMode="External" /><Relationship Type="http://schemas.openxmlformats.org/officeDocument/2006/relationships/hyperlink" Id="rId115" Target="https://doi.org/10.1177/0305735613498918" TargetMode="External" /><Relationship Type="http://schemas.openxmlformats.org/officeDocument/2006/relationships/hyperlink" Id="rId132" Target="https://doi.org/10.1177/0748730418783651" TargetMode="External" /><Relationship Type="http://schemas.openxmlformats.org/officeDocument/2006/relationships/hyperlink" Id="rId126" Target="https://doi.org/10.1177/1029864916674048" TargetMode="External" /><Relationship Type="http://schemas.openxmlformats.org/officeDocument/2006/relationships/hyperlink" Id="rId128" Target="https://doi.org/10.1177/1321103X0001400102" TargetMode="External" /><Relationship Type="http://schemas.openxmlformats.org/officeDocument/2006/relationships/hyperlink" Id="rId102" Target="https://doi.org/10.1177/1321103X030200010201" TargetMode="External" /><Relationship Type="http://schemas.openxmlformats.org/officeDocument/2006/relationships/hyperlink" Id="rId111" Target="https://doi.org/10.1371/journal.pone.0078103" TargetMode="External" /><Relationship Type="http://schemas.openxmlformats.org/officeDocument/2006/relationships/hyperlink" Id="rId109" Target="https://doi.org/10.1371/journal.pone.0079876" TargetMode="External" /><Relationship Type="http://schemas.openxmlformats.org/officeDocument/2006/relationships/hyperlink" Id="rId91"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7" Target="https://doi.org/10.1016/S1364-6613(00)01531-X" TargetMode="External" /><Relationship Type="http://schemas.openxmlformats.org/officeDocument/2006/relationships/hyperlink" Id="rId120" Target="https://doi.org/10.1016/j.anbehav.2007.12.014" TargetMode="External" /><Relationship Type="http://schemas.openxmlformats.org/officeDocument/2006/relationships/hyperlink" Id="rId122" Target="https://doi.org/10.1016/j.copsyc.2015.09.008" TargetMode="External" /><Relationship Type="http://schemas.openxmlformats.org/officeDocument/2006/relationships/hyperlink" Id="rId89" Target="https://doi.org/10.1016/j.pragma.2012.12.007" TargetMode="External" /><Relationship Type="http://schemas.openxmlformats.org/officeDocument/2006/relationships/hyperlink" Id="rId124" Target="https://doi.org/10.1016/j.specom.2006.10.003" TargetMode="External" /><Relationship Type="http://schemas.openxmlformats.org/officeDocument/2006/relationships/hyperlink" Id="rId93" Target="https://doi.org/10.1016/j.tics.2009.01.005" TargetMode="External" /><Relationship Type="http://schemas.openxmlformats.org/officeDocument/2006/relationships/hyperlink" Id="rId104" Target="https://doi.org/10.1037/xhp0000505" TargetMode="External" /><Relationship Type="http://schemas.openxmlformats.org/officeDocument/2006/relationships/hyperlink" Id="rId107" Target="https://doi.org/10.1038/s41598-019-44049-x" TargetMode="External" /><Relationship Type="http://schemas.openxmlformats.org/officeDocument/2006/relationships/hyperlink" Id="rId87" Target="https://doi.org/10.1076/jnmr.29.3.211.3092" TargetMode="External" /><Relationship Type="http://schemas.openxmlformats.org/officeDocument/2006/relationships/hyperlink" Id="rId100" Target="https://doi.org/10.1080/1461380032000182821" TargetMode="External" /><Relationship Type="http://schemas.openxmlformats.org/officeDocument/2006/relationships/hyperlink" Id="rId85" Target="https://doi.org/10.1111/1467-7687.00211" TargetMode="External" /><Relationship Type="http://schemas.openxmlformats.org/officeDocument/2006/relationships/hyperlink" Id="rId95" Target="https://doi.org/10.1111/desc.12270" TargetMode="External" /><Relationship Type="http://schemas.openxmlformats.org/officeDocument/2006/relationships/hyperlink" Id="rId113" Target="https://doi.org/10.1111/desc.12869" TargetMode="External" /><Relationship Type="http://schemas.openxmlformats.org/officeDocument/2006/relationships/hyperlink" Id="rId130" Target="https://doi.org/10.1177/002242940605400103" TargetMode="External" /><Relationship Type="http://schemas.openxmlformats.org/officeDocument/2006/relationships/hyperlink" Id="rId98" Target="https://doi.org/10.1177/03057356030313003" TargetMode="External" /><Relationship Type="http://schemas.openxmlformats.org/officeDocument/2006/relationships/hyperlink" Id="rId115" Target="https://doi.org/10.1177/0305735613498918" TargetMode="External" /><Relationship Type="http://schemas.openxmlformats.org/officeDocument/2006/relationships/hyperlink" Id="rId132" Target="https://doi.org/10.1177/0748730418783651" TargetMode="External" /><Relationship Type="http://schemas.openxmlformats.org/officeDocument/2006/relationships/hyperlink" Id="rId126" Target="https://doi.org/10.1177/1029864916674048" TargetMode="External" /><Relationship Type="http://schemas.openxmlformats.org/officeDocument/2006/relationships/hyperlink" Id="rId128" Target="https://doi.org/10.1177/1321103X0001400102" TargetMode="External" /><Relationship Type="http://schemas.openxmlformats.org/officeDocument/2006/relationships/hyperlink" Id="rId102" Target="https://doi.org/10.1177/1321103X030200010201" TargetMode="External" /><Relationship Type="http://schemas.openxmlformats.org/officeDocument/2006/relationships/hyperlink" Id="rId111" Target="https://doi.org/10.1371/journal.pone.0078103" TargetMode="External" /><Relationship Type="http://schemas.openxmlformats.org/officeDocument/2006/relationships/hyperlink" Id="rId109" Target="https://doi.org/10.1371/journal.pone.0079876" TargetMode="External" /><Relationship Type="http://schemas.openxmlformats.org/officeDocument/2006/relationships/hyperlink" Id="rId91" Target="https://doi.org/10.2307/3345394" TargetMode="External" /><Relationship Type="http://schemas.openxmlformats.org/officeDocument/2006/relationships/hyperlink" Id="rId138"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Expert pianists make specific exaggerations for teaching</dc:title>
  <dc:creator/>
  <cp:keywords/>
  <dcterms:created xsi:type="dcterms:W3CDTF">2023-01-06T21:03:47Z</dcterms:created>
  <dcterms:modified xsi:type="dcterms:W3CDTF">2023-01-06T21:03:47Z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lassoption">
    <vt:lpwstr>man</vt:lpwstr>
  </property>
  <property fmtid="{D5CDD505-2E9C-101B-9397-08002B2CF9AE}" pid="5" name="csl">
    <vt:lpwstr>/Library/Frameworks/R.framework/Versions/4.0/Resources/library/papaja/rmd/apa6.csl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linenumbers">
    <vt:lpwstr>False</vt:lpwstr>
  </property>
  <property fmtid="{D5CDD505-2E9C-101B-9397-08002B2CF9AE}" pid="12" name="mask">
    <vt:lpwstr>False</vt:lpwstr>
  </property>
  <property fmtid="{D5CDD505-2E9C-101B-9397-08002B2CF9AE}" pid="13" name="output">
    <vt:lpwstr>papaja::apa6_word</vt:lpwstr>
  </property>
  <property fmtid="{D5CDD505-2E9C-101B-9397-08002B2CF9AE}" pid="14" name="shorttitle">
    <vt:lpwstr>Expert pianists make specific exaggerations for teaching</vt:lpwstr>
  </property>
  <property fmtid="{D5CDD505-2E9C-101B-9397-08002B2CF9AE}" pid="15" name="tablelist">
    <vt:lpwstr>False</vt:lpwstr>
  </property>
</Properties>
</file>