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1.png" ContentType="image/png"/>
  <Override PartName="/word/media/rId70.png" ContentType="image/png"/>
  <Override PartName="/word/media/rId73.png" ContentType="image/png"/>
  <Override PartName="/word/media/rId44.png" ContentType="image/png"/>
  <Override PartName="/word/media/rId47.png" ContentType="image/png"/>
  <Override PartName="/word/media/rId76.png" ContentType="image/png"/>
  <Override PartName="/word/media/rId79.png" ContentType="image/png"/>
  <Override PartName="/word/media/rId26.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are also used to teach techniques of artistic expression. One domain where subtle movement modulations are crucial for achieving artistic expression is music. We investigated how skilled pianists modulate their playing to demonstrate to students the techniques required for conveying piece-related musical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at structurally important points. We found consistent results with a simple musical scale (Experiment 1) and a more naturalistic piece of music (Experiment 2). These findings suggest that action modulations are performed not only to attract learners’ attention but to highlight the most relevant aspects of the actions to be learnt.</w:t>
      </w:r>
    </w:p>
    <w:p>
      <w:pPr>
        <w:pStyle w:val="Textkrper"/>
      </w:pPr>
      <w:r>
        <w:rPr>
          <w:iCs/>
          <w:i/>
        </w:rPr>
        <w:t xml:space="preserve">Keywords:</w:t>
      </w:r>
      <w:r>
        <w:t xml:space="preserve"> </w:t>
      </w:r>
      <w:r>
        <w:t xml:space="preserve">teaching, expertise, skill transmission, artistic expression, music</w:t>
      </w:r>
    </w:p>
    <w:p>
      <w:pPr>
        <w:pStyle w:val="h1-pagebreak"/>
      </w:pPr>
      <w:r>
        <w:t xml:space="preserve">The sound of teaching music: Expert pianists’ performance modulations for novices</w:t>
      </w:r>
    </w:p>
    <w:bookmarkStart w:id="21" w:name="introduction"/>
    <w:p>
      <w:pPr>
        <w:pStyle w:val="berschrift1"/>
      </w:pPr>
      <w:r>
        <w:t xml:space="preserve">Introduction</w:t>
      </w:r>
    </w:p>
    <w:p>
      <w:pPr>
        <w:pStyle w:val="FirstParagraph"/>
      </w:pPr>
      <w:r>
        <w:t xml:space="preserve">Deliberate teaching has supported human skill transmission over generations and provides a key route for learning</w:t>
      </w:r>
      <w:r>
        <w:rPr>
          <w:vertAlign w:val="superscript"/>
        </w:rP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rPr>
          <w:vertAlign w:val="superscript"/>
        </w:rP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rPr>
          <w:vertAlign w:val="superscript"/>
        </w:rPr>
        <w:t xml:space="preserve">5</w:t>
      </w:r>
      <w:r>
        <w:t xml:space="preserve"> </w:t>
      </w:r>
      <w:r>
        <w:t xml:space="preserve">and when skilled adults were teaching xylophone melodies to novices</w:t>
      </w:r>
      <w:r>
        <w:rPr>
          <w:vertAlign w:val="superscript"/>
        </w:rPr>
        <w:t xml:space="preserve">6</w:t>
      </w:r>
      <w:r>
        <w:t xml:space="preserve">. The observed modulations are thought to provide communicative signals that can facilitate learning by affecting attention and memory</w:t>
      </w:r>
      <w:r>
        <w:rPr>
          <w:vertAlign w:val="superscript"/>
        </w:rPr>
        <w:t xml:space="preserve">7</w:t>
      </w:r>
      <w:r>
        <w:t xml:space="preserve">.</w:t>
      </w:r>
    </w:p>
    <w:p>
      <w:pPr>
        <w:pStyle w:val="Textkrper"/>
      </w:pPr>
      <w:r>
        <w:t xml:space="preserve">Previous research has shown that demonstrators not only adjust their gestures</w:t>
      </w:r>
      <w:r>
        <w:rPr>
          <w:vertAlign w:val="superscript"/>
        </w:rPr>
        <w:t xml:space="preserve">8</w:t>
      </w:r>
      <w:r>
        <w:t xml:space="preserve"> </w:t>
      </w:r>
      <w:r>
        <w:t xml:space="preserve">and actions</w:t>
      </w:r>
      <w:r>
        <w:rPr>
          <w:vertAlign w:val="superscript"/>
        </w:rPr>
        <w:t xml:space="preserve">9</w:t>
      </w:r>
      <w:r>
        <w:t xml:space="preserve"> </w:t>
      </w:r>
      <w:r>
        <w:t xml:space="preserve">to learners’ skills but engage in specific action modulations to highlight certain aspects of demonstrated actions. For example, Schaik and colleagues</w:t>
      </w:r>
      <w:r>
        <w:rPr>
          <w:vertAlign w:val="superscript"/>
        </w:rPr>
        <w:t xml:space="preserve">10</w:t>
      </w:r>
      <w:r>
        <w:t xml:space="preserve"> </w:t>
      </w:r>
      <w:r>
        <w:t xml:space="preserve">showed that adults used specific action modulations for demonstrating different action effects of objects to infants. Ho and colleagues</w:t>
      </w:r>
      <w:r>
        <w:rPr>
          <w:vertAlign w:val="superscript"/>
        </w:rP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Importantly, in some domains teaching requires not only demonstrating</w:t>
      </w:r>
      <w:r>
        <w:t xml:space="preserve"> </w:t>
      </w:r>
      <w:r>
        <w:rPr>
          <w:iCs/>
          <w:i/>
        </w:rPr>
        <w:t xml:space="preserve">what</w:t>
      </w:r>
      <w:r>
        <w:t xml:space="preserve"> </w:t>
      </w:r>
      <w:r>
        <w:t xml:space="preserve">to do, but</w:t>
      </w:r>
      <w:r>
        <w:t xml:space="preserve"> </w:t>
      </w:r>
      <w:r>
        <w:rPr>
          <w:iCs/>
          <w:i/>
        </w:rPr>
        <w:t xml:space="preserve">how</w:t>
      </w:r>
      <w:r>
        <w:t xml:space="preserve"> </w:t>
      </w:r>
      <w:r>
        <w:t xml:space="preserve">to perform actions. In artistic contexts, novices need to learn how exactly to perform actions by relying on specific techniques</w:t>
      </w:r>
      <w:r>
        <w:rPr>
          <w:vertAlign w:val="superscript"/>
        </w:rPr>
        <w:t xml:space="preserve">12</w:t>
      </w:r>
      <w:r>
        <w:t xml:space="preserve">. For example, when playing a piece of music on the piano, it is not sufficient to press the keys in the correct order, but learners need to be able to implement expressive techniques</w:t>
      </w:r>
      <w:r>
        <w:rPr>
          <w:vertAlign w:val="superscript"/>
        </w:rPr>
        <w:t xml:space="preserve">13</w:t>
      </w:r>
      <w:r>
        <w:t xml:space="preserve">. This raises the question of whether and how experts modulate their actions during didactic demonstration in artistic contexts, where expressivity is an integral part of what learners need to acquire. Studying action modulations that serve the teaching of artistic techniques is also of broader theoretical importance: It can show whether action modulations can be used to selectively highlight subtle aspects of actions that define expert performance.</w:t>
      </w:r>
    </w:p>
    <w:p>
      <w:pPr>
        <w:pStyle w:val="Textkrper"/>
      </w:pPr>
      <w:r>
        <w:t xml:space="preserve">In the present study, we employed musical expressive techniques as skills to be taught because multiple properties of the performance (e.g., timing, smoothness, loudness) can be modulated at the same time. Specific and subtle aspects of the performance may need to be highlighted to teach a respective technique.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expressive techniques to be taught. To the extent that experts use action modulations to support their teaching of specific expressive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expression,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51" w:name="experiment-1"/>
    <w:p>
      <w:pPr>
        <w:pStyle w:val="berschrift1"/>
      </w:pPr>
      <w:r>
        <w:t xml:space="preserve">Experiment 1</w:t>
      </w:r>
    </w:p>
    <w:bookmarkStart w:id="30" w:name="materials-and-methods"/>
    <w:p>
      <w:pPr>
        <w:pStyle w:val="berschrift2"/>
      </w:pPr>
      <w:r>
        <w:t xml:space="preserve">Materials and methods</w:t>
      </w:r>
    </w:p>
    <w:bookmarkStart w:id="22" w:name="participants"/>
    <w:p>
      <w:pPr>
        <w:pStyle w:val="berschrift3"/>
      </w:pP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10 had an experience in teaching the piano (mean years of teaching: 3.48,</w:t>
      </w:r>
      <w:r>
        <w:t xml:space="preserve"> </w:t>
      </w:r>
      <w:r>
        <w:rPr>
          <w:iCs/>
          <w:i/>
        </w:rPr>
        <w:t xml:space="preserve">SD</w:t>
      </w:r>
      <w:r>
        <w:t xml:space="preserve"> </w:t>
      </w:r>
      <w:r>
        <w:t xml:space="preserve">= 3.51).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Non-expressive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non-expressive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w:t>
        </w:r>
      </w:hyperlink>
      <w:r>
        <w:t xml:space="preserve">). Participants played the piece 8 times per expressive technique per condition, so there were 32 trials in total (2 conditions x 2 expressive techniques x 8 trials). The order of the conditions was blocked and counterbalanced across participants. The order of the expressive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9" w:name="data-analysis"/>
    <w:p>
      <w:pPr>
        <w:pStyle w:val="berschrift3"/>
      </w:pP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 xml:space="preserve">14</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expressive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Non-expressive sheet music. (B)Articulation. The curved line (slur) indicates legato and the dots indicate staccato. (C)Dynamics. The symbol f' denotes forte and the symbolp’ denotes piano. For data analysis, only the 16th notes were included." title="" id="27" name="Picture"/>
            <a:graphic>
              <a:graphicData uri="http://schemas.openxmlformats.org/drawingml/2006/picture">
                <pic:pic>
                  <pic:nvPicPr>
                    <pic:cNvPr descr="manuscript_files/figure-docx/stim-1-1.png" id="28"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9"/>
    <w:bookmarkEnd w:id="30"/>
    <w:bookmarkStart w:id="31" w:name="results"/>
    <w:p>
      <w:pPr>
        <w:pStyle w:val="berschrift2"/>
      </w:pP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expressive techniques they are trying to teach, key-overlap time (KOT) should be more positive for legato and more negative for staccato when teaching articulation, and key velocity (KV) should be higher for forte and lower for piano when teaching dynamics.</w:t>
      </w:r>
    </w:p>
    <w:bookmarkEnd w:id="31"/>
    <w:bookmarkStart w:id="35" w:name="articulation"/>
    <w:p>
      <w:pPr>
        <w:pStyle w:val="berschrift2"/>
      </w:pPr>
      <w:r>
        <w:t xml:space="preserve">Articulation</w:t>
      </w:r>
    </w:p>
    <w:bookmarkStart w:id="32" w:name="inter-onset-intervals-iois"/>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185.24 (ms),</w:t>
      </w:r>
      <w:r>
        <w:t xml:space="preserve"> </w:t>
      </w:r>
      <w:r>
        <w:rPr>
          <w:iCs/>
          <w:i/>
        </w:rPr>
        <w:t xml:space="preserve">IQR</w:t>
      </w:r>
      <w:r>
        <w:t xml:space="preserve"> </w:t>
      </w:r>
      <w:r>
        <w:t xml:space="preserve">= 19.32]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2"/>
    <w:bookmarkStart w:id="33" w:name="key-overlap-time-kot"/>
    <w:p>
      <w:pPr>
        <w:pStyle w:val="berschrift3"/>
      </w:pP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1158,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8.31,</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0.011,</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-134.03 (ms),</w:t>
      </w:r>
      <w:r>
        <w:t xml:space="preserve"> </w:t>
      </w:r>
      <w:r>
        <w:rPr>
          <w:iCs/>
          <w:i/>
        </w:rPr>
        <w:t xml:space="preserve">SD</w:t>
      </w:r>
      <w:r>
        <w:t xml:space="preserve"> </w:t>
      </w:r>
      <w:r>
        <w:t xml:space="preserve">= 19.86] than in the performing condition [</w:t>
      </w:r>
      <w:r>
        <w:rPr>
          <w:iCs/>
          <w:i/>
        </w:rPr>
        <w:t xml:space="preserve">M</w:t>
      </w:r>
      <w:r>
        <w:t xml:space="preserve"> </w:t>
      </w:r>
      <w:r>
        <w:t xml:space="preserve">= -128.35 (ms),</w:t>
      </w:r>
      <w:r>
        <w:t xml:space="preserve"> </w:t>
      </w:r>
      <w:r>
        <w:rPr>
          <w:iCs/>
          <w:i/>
        </w:rPr>
        <w:t xml:space="preserve">SD</w:t>
      </w:r>
      <w:r>
        <w:t xml:space="preserve"> </w:t>
      </w:r>
      <w:r>
        <w:t xml:space="preserve">= 20.80] (</w:t>
      </w:r>
      <w:r>
        <w:rPr>
          <w:iCs/>
          <w:i/>
        </w:rPr>
        <w:t xml:space="preserve">p</w:t>
      </w:r>
      <w:r>
        <w:t xml:space="preserve"> </w:t>
      </w:r>
      <w:r>
        <w:t xml:space="preserve">= 0.007). For legato there was no significant difference in KOT between the teaching [</w:t>
      </w:r>
      <w:r>
        <w:rPr>
          <w:iCs/>
          <w:i/>
        </w:rPr>
        <w:t xml:space="preserve">M</w:t>
      </w:r>
      <w:r>
        <w:t xml:space="preserve"> </w:t>
      </w:r>
      <w:r>
        <w:t xml:space="preserve">= 15.91 (ms),</w:t>
      </w:r>
      <w:r>
        <w:t xml:space="preserve"> </w:t>
      </w:r>
      <w:r>
        <w:rPr>
          <w:iCs/>
          <w:i/>
        </w:rPr>
        <w:t xml:space="preserve">SD</w:t>
      </w:r>
      <w:r>
        <w:t xml:space="preserve"> </w:t>
      </w:r>
      <w:r>
        <w:t xml:space="preserve">= 15.49] and performing condition [</w:t>
      </w:r>
      <w:r>
        <w:rPr>
          <w:iCs/>
          <w:i/>
        </w:rPr>
        <w:t xml:space="preserve">M</w:t>
      </w:r>
      <w:r>
        <w:t xml:space="preserve"> </w:t>
      </w:r>
      <w:r>
        <w:t xml:space="preserve">= 14.00 (ms),</w:t>
      </w:r>
      <w:r>
        <w:t xml:space="preserve"> </w:t>
      </w:r>
      <w:r>
        <w:rPr>
          <w:iCs/>
          <w:i/>
        </w:rPr>
        <w:t xml:space="preserve">SD</w:t>
      </w:r>
      <w:r>
        <w:t xml:space="preserve"> </w:t>
      </w:r>
      <w:r>
        <w:t xml:space="preserve">= 17.01] (</w:t>
      </w:r>
      <w:r>
        <w:rPr>
          <w:iCs/>
          <w:i/>
        </w:rPr>
        <w:t xml:space="preserve">p</w:t>
      </w:r>
      <w:r>
        <w:t xml:space="preserve"> </w:t>
      </w:r>
      <w:r>
        <w:t xml:space="preserve">= 0.31).</w:t>
      </w:r>
    </w:p>
    <w:bookmarkEnd w:id="33"/>
    <w:bookmarkStart w:id="34" w:name="key-velocity-kv"/>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7.38,</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6.45; Staccato:</w:t>
      </w:r>
      <w:r>
        <w:t xml:space="preserve"> </w:t>
      </w:r>
      <w:r>
        <w:rPr>
          <w:iCs/>
          <w:i/>
        </w:rPr>
        <w:t xml:space="preserve">M</w:t>
      </w:r>
      <w:r>
        <w:t xml:space="preserve"> </w:t>
      </w:r>
      <w:r>
        <w:t xml:space="preserve">= 72.01,</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5.84, Staccato:</w:t>
      </w:r>
      <w:r>
        <w:t xml:space="preserve"> </w:t>
      </w:r>
      <w:r>
        <w:rPr>
          <w:iCs/>
          <w:i/>
        </w:rPr>
        <w:t xml:space="preserve">M</w:t>
      </w:r>
      <w:r>
        <w:t xml:space="preserve"> </w:t>
      </w:r>
      <w:r>
        <w:t xml:space="preserve">= 70.42,</w:t>
      </w:r>
      <w:r>
        <w:t xml:space="preserve"> </w:t>
      </w:r>
      <w:r>
        <w:rPr>
          <w:iCs/>
          <w:i/>
        </w:rPr>
        <w:t xml:space="preserve">SD</w:t>
      </w:r>
      <w:r>
        <w:t xml:space="preserve"> </w:t>
      </w:r>
      <w:r>
        <w:t xml:space="preserve">= 7.96] for each subcomponent (Legato:</w:t>
      </w:r>
      <w:r>
        <w:t xml:space="preserve"> </w:t>
      </w:r>
      <w:r>
        <w:rPr>
          <w:iCs/>
          <w:i/>
        </w:rPr>
        <w:t xml:space="preserve">p</w:t>
      </w:r>
      <w:r>
        <w:t xml:space="preserve"> </w:t>
      </w:r>
      <w:r>
        <w:t xml:space="preserve">= 0.68, Staccato:</w:t>
      </w:r>
      <w:r>
        <w:t xml:space="preserve"> </w:t>
      </w:r>
      <w:r>
        <w:rPr>
          <w:iCs/>
          <w:i/>
        </w:rPr>
        <w:t xml:space="preserve">p</w:t>
      </w:r>
      <w:r>
        <w:t xml:space="preserve"> </w:t>
      </w:r>
      <w:r>
        <w:t xml:space="preserve">= 0.09).</w:t>
      </w:r>
    </w:p>
    <w:bookmarkEnd w:id="34"/>
    <w:bookmarkEnd w:id="35"/>
    <w:bookmarkStart w:id="40" w:name="dynamics"/>
    <w:p>
      <w:pPr>
        <w:pStyle w:val="berschrift2"/>
      </w:pPr>
      <w:r>
        <w:t xml:space="preserve">Dynamics</w:t>
      </w:r>
    </w:p>
    <w:bookmarkStart w:id="36" w:name="inter-onset-intervals-iois-1"/>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186.29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19.58]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6"/>
    <w:bookmarkStart w:id="37" w:name="key-velocity-kv-1"/>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370,</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6.80,</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82.78,</w:t>
      </w:r>
      <w:r>
        <w:t xml:space="preserve"> </w:t>
      </w:r>
      <w:r>
        <w:rPr>
          <w:iCs/>
          <w:i/>
        </w:rPr>
        <w:t xml:space="preserve">SD</w:t>
      </w:r>
      <w:r>
        <w:t xml:space="preserve"> </w:t>
      </w:r>
      <w:r>
        <w:t xml:space="preserve">= 8.30] than in the performing condition [</w:t>
      </w:r>
      <w:r>
        <w:rPr>
          <w:iCs/>
          <w:i/>
        </w:rPr>
        <w:t xml:space="preserve">M</w:t>
      </w:r>
      <w:r>
        <w:t xml:space="preserve"> </w:t>
      </w:r>
      <w:r>
        <w:t xml:space="preserve">= 81.66,</w:t>
      </w:r>
      <w:r>
        <w:t xml:space="preserve"> </w:t>
      </w:r>
      <w:r>
        <w:rPr>
          <w:iCs/>
          <w:i/>
        </w:rPr>
        <w:t xml:space="preserve">SD</w:t>
      </w:r>
      <w:r>
        <w:t xml:space="preserve"> </w:t>
      </w:r>
      <w:r>
        <w:t xml:space="preserve">= 7.43] (</w:t>
      </w:r>
      <w:r>
        <w:rPr>
          <w:iCs/>
          <w:i/>
        </w:rPr>
        <w:t xml:space="preserve">p</w:t>
      </w:r>
      <w:r>
        <w:t xml:space="preserve"> </w:t>
      </w:r>
      <w:r>
        <w:t xml:space="preserve">= 0.069) when instructed to play forte. There was no significant difference in KV between the teaching [</w:t>
      </w:r>
      <w:r>
        <w:rPr>
          <w:iCs/>
          <w:i/>
        </w:rPr>
        <w:t xml:space="preserve">M</w:t>
      </w:r>
      <w:r>
        <w:t xml:space="preserve"> </w:t>
      </w:r>
      <w:r>
        <w:t xml:space="preserve">= 60.63,</w:t>
      </w:r>
      <w:r>
        <w:t xml:space="preserve"> </w:t>
      </w:r>
      <w:r>
        <w:rPr>
          <w:iCs/>
          <w:i/>
        </w:rPr>
        <w:t xml:space="preserve">SD</w:t>
      </w:r>
      <w:r>
        <w:t xml:space="preserve"> </w:t>
      </w:r>
      <w:r>
        <w:t xml:space="preserve">= 5.07] and performing condition [</w:t>
      </w:r>
      <w:r>
        <w:rPr>
          <w:iCs/>
          <w:i/>
        </w:rPr>
        <w:t xml:space="preserve">M</w:t>
      </w:r>
      <w:r>
        <w:t xml:space="preserve"> </w:t>
      </w:r>
      <w:r>
        <w:t xml:space="preserve">= 60.99,</w:t>
      </w:r>
      <w:r>
        <w:t xml:space="preserve"> </w:t>
      </w:r>
      <w:r>
        <w:rPr>
          <w:iCs/>
          <w:i/>
        </w:rPr>
        <w:t xml:space="preserve">SD</w:t>
      </w:r>
      <w:r>
        <w:t xml:space="preserve"> </w:t>
      </w:r>
      <w:r>
        <w:t xml:space="preserve">= 4.40] (</w:t>
      </w:r>
      <w:r>
        <w:rPr>
          <w:iCs/>
          <w:i/>
        </w:rPr>
        <w:t xml:space="preserve">p</w:t>
      </w:r>
      <w:r>
        <w:t xml:space="preserve"> </w:t>
      </w:r>
      <w:r>
        <w:t xml:space="preserve">= 0.24) when instructed to play piano.</w:t>
      </w:r>
    </w:p>
    <w:bookmarkEnd w:id="37"/>
    <w:bookmarkStart w:id="38" w:name="kv-transition-points"/>
    <w:p>
      <w:pPr>
        <w:pStyle w:val="berschrift3"/>
      </w:pP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25.74,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0.032,</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-14.06,</w:t>
      </w:r>
      <w:r>
        <w:t xml:space="preserve"> </w:t>
      </w:r>
      <w:r>
        <w:rPr>
          <w:iCs/>
          <w:i/>
        </w:rPr>
        <w:t xml:space="preserve">SD</w:t>
      </w:r>
      <w:r>
        <w:t xml:space="preserve"> </w:t>
      </w:r>
      <w:r>
        <w:t xml:space="preserve">= 7.20; PtoF:</w:t>
      </w:r>
      <w:r>
        <w:t xml:space="preserve"> </w:t>
      </w:r>
      <w:r>
        <w:rPr>
          <w:iCs/>
          <w:i/>
        </w:rPr>
        <w:t xml:space="preserve">M</w:t>
      </w:r>
      <w:r>
        <w:t xml:space="preserve"> </w:t>
      </w:r>
      <w:r>
        <w:t xml:space="preserve">= 24.26,</w:t>
      </w:r>
      <w:r>
        <w:t xml:space="preserve"> </w:t>
      </w:r>
      <w:r>
        <w:rPr>
          <w:iCs/>
          <w:i/>
        </w:rPr>
        <w:t xml:space="preserve">SD</w:t>
      </w:r>
      <w:r>
        <w:t xml:space="preserve"> </w:t>
      </w:r>
      <w:r>
        <w:t xml:space="preserve">= 9.75] than in the performing condition [FtoP:</w:t>
      </w:r>
      <w:r>
        <w:t xml:space="preserve"> </w:t>
      </w:r>
      <w:r>
        <w:rPr>
          <w:iCs/>
          <w:i/>
        </w:rPr>
        <w:t xml:space="preserve">M</w:t>
      </w:r>
      <w:r>
        <w:t xml:space="preserve"> </w:t>
      </w:r>
      <w:r>
        <w:t xml:space="preserve">= -11.69,</w:t>
      </w:r>
      <w:r>
        <w:t xml:space="preserve"> </w:t>
      </w:r>
      <w:r>
        <w:rPr>
          <w:iCs/>
          <w:i/>
        </w:rPr>
        <w:t xml:space="preserve">SD</w:t>
      </w:r>
      <w:r>
        <w:t xml:space="preserve"> </w:t>
      </w:r>
      <w:r>
        <w:t xml:space="preserve">= 5.97, PtoF:</w:t>
      </w:r>
      <w:r>
        <w:t xml:space="preserve"> </w:t>
      </w:r>
      <w:r>
        <w:rPr>
          <w:iCs/>
          <w:i/>
        </w:rPr>
        <w:t xml:space="preserve">M</w:t>
      </w:r>
      <w:r>
        <w:t xml:space="preserve"> </w:t>
      </w:r>
      <w:r>
        <w:t xml:space="preserve">= 20.88,</w:t>
      </w:r>
      <w:r>
        <w:t xml:space="preserve"> </w:t>
      </w:r>
      <w:r>
        <w:rPr>
          <w:iCs/>
          <w:i/>
        </w:rPr>
        <w:t xml:space="preserve">SD</w:t>
      </w:r>
      <w:r>
        <w:t xml:space="preserve"> </w:t>
      </w:r>
      <w:r>
        <w:t xml:space="preserve">= 8.67].</w:t>
      </w:r>
    </w:p>
    <w:bookmarkEnd w:id="38"/>
    <w:bookmarkStart w:id="39" w:name="key-overlap-time-kot-1"/>
    <w:p>
      <w:pPr>
        <w:pStyle w:val="berschrift3"/>
      </w:pP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377,</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0.31,</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0.42,</w:t>
      </w:r>
      <w:r>
        <w:t xml:space="preserve"> </w:t>
      </w:r>
      <w:r>
        <w:rPr>
          <w:iCs/>
          <w:i/>
        </w:rPr>
        <w:t xml:space="preserve">p</w:t>
      </w:r>
      <w:r>
        <w:t xml:space="preserve"> </w:t>
      </w:r>
      <w:r>
        <w:t xml:space="preserve">= 0.52,</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0.000,</w:t>
      </w:r>
      <w:r>
        <w:t xml:space="preserve"> </w:t>
      </w:r>
      <w:r>
        <w:rPr>
          <w:iCs/>
          <w:i/>
        </w:rPr>
        <w:t xml:space="preserve">p</w:t>
      </w:r>
      <w:r>
        <w:t xml:space="preserve"> </w:t>
      </w:r>
      <w:r>
        <w:t xml:space="preserve">= 0.99,</w:t>
      </w:r>
      <w:r>
        <w:t xml:space="preserve"> </w:t>
      </w:r>
      <m:oMath>
        <m:sSubSup>
          <m:e>
            <m:r>
              <m:t>η</m:t>
            </m:r>
          </m:e>
          <m:sub>
            <m:r>
              <m:t>G</m:t>
            </m:r>
          </m:sub>
          <m:sup>
            <m:r>
              <m:t>2</m:t>
            </m:r>
          </m:sup>
        </m:sSubSup>
      </m:oMath>
      <w:r>
        <w:t xml:space="preserve"> </w:t>
      </w:r>
      <w:r>
        <w:t xml:space="preserve">= 0.000) was significant.</w:t>
      </w:r>
    </w:p>
    <w:bookmarkEnd w:id="39"/>
    <w:bookmarkEnd w:id="40"/>
    <w:bookmarkStart w:id="50" w:name="discussion"/>
    <w:p>
      <w:pPr>
        <w:pStyle w:val="berschrift2"/>
      </w:pP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expressive techniques.</w:t>
      </w:r>
    </w:p>
    <w:p>
      <w:pPr>
        <w:pStyle w:val="CaptionedFigure"/>
      </w:pPr>
      <w:r>
        <w:drawing>
          <wp:inline>
            <wp:extent cx="5969000" cy="2984500"/>
            <wp:effectExtent b="0" l="0" r="0" t="0"/>
            <wp:docPr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42" name="Picture"/>
            <a:graphic>
              <a:graphicData uri="http://schemas.openxmlformats.org/drawingml/2006/picture">
                <pic:pic>
                  <pic:nvPicPr>
                    <pic:cNvPr descr="manuscript_files/figure-docx/plot-ioi-1-1.png" id="43"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Experiment 1: IOIs (ms)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45" name="Picture"/>
            <a:graphic>
              <a:graphicData uri="http://schemas.openxmlformats.org/drawingml/2006/picture">
                <pic:pic>
                  <pic:nvPicPr>
                    <pic:cNvPr descr="manuscript_files/figure-docx/plot-kot-1-1.png" id="46" name="Picture"/>
                    <pic:cNvPicPr>
                      <a:picLocks noChangeArrowheads="1" noChangeAspect="1"/>
                    </pic:cNvPicPr>
                  </pic:nvPicPr>
                  <pic:blipFill>
                    <a:blip r:embed="rId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48" name="Picture"/>
            <a:graphic>
              <a:graphicData uri="http://schemas.openxmlformats.org/drawingml/2006/picture">
                <pic:pic>
                  <pic:nvPicPr>
                    <pic:cNvPr descr="manuscript_files/figure-docx/plot-vel-1-1.png" id="49" name="Picture"/>
                    <pic:cNvPicPr>
                      <a:picLocks noChangeArrowheads="1" noChangeAspect="1"/>
                    </pic:cNvPicPr>
                  </pic:nvPicPr>
                  <pic:blipFill>
                    <a:blip r:embed="rId4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50"/>
    <w:bookmarkEnd w:id="51"/>
    <w:bookmarkStart w:id="83" w:name="experiment-2"/>
    <w:p>
      <w:pPr>
        <w:pStyle w:val="berschrift1"/>
      </w:pP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59" w:name="materials-and-methods-1"/>
    <w:p>
      <w:pPr>
        <w:pStyle w:val="berschrift2"/>
      </w:pPr>
      <w:r>
        <w:t xml:space="preserve">Materials and methods</w:t>
      </w:r>
    </w:p>
    <w:bookmarkStart w:id="52" w:name="participants-1"/>
    <w:p>
      <w:pPr>
        <w:pStyle w:val="berschrift3"/>
      </w:pP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All participants gave their informed consent before the experiment started and received vouchers for their participation. The study (No. 2018-124) was approved by the United Ethical Review Committee for Research in Psychology (EPKEB) in Hungary.</w:t>
      </w:r>
    </w:p>
    <w:bookmarkEnd w:id="52"/>
    <w:bookmarkStart w:id="53" w:name="apparatus-and-stimuli-1"/>
    <w:p>
      <w:pPr>
        <w:pStyle w:val="berschrift3"/>
      </w:pPr>
      <w:r>
        <w:t xml:space="preserve">Apparatus and stimuli.</w:t>
      </w:r>
    </w:p>
    <w:p>
      <w:pPr>
        <w:pStyle w:val="FirstParagraph"/>
      </w:pPr>
      <w:r>
        <w:t xml:space="preserve">The same apparatus as in Experiment 1 was used. We selected Clementi’s Sonatina Op.36 (No.3) in C major as a stimulus because it contained our targeted expressions (i.e., articulation and dynamics) and was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Non-expressive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non-expressive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53"/>
    <w:bookmarkStart w:id="54" w:name="procedure-2"/>
    <w:p>
      <w:pPr>
        <w:pStyle w:val="berschrift3"/>
      </w:pP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Second, we modified the wording of instructions for the performing condition so that both instructions had the same focus on expressive notations (see details in</w:t>
      </w:r>
      <w:r>
        <w:t xml:space="preserve"> </w:t>
      </w:r>
      <w:hyperlink w:anchor="supplementary">
        <w:r>
          <w:rPr>
            <w:rStyle w:val="Hyperlink"/>
            <w:iCs/>
            <w:i/>
          </w:rPr>
          <w:t xml:space="preserve">Supplementary material</w:t>
        </w:r>
      </w:hyperlink>
      <w:r>
        <w:t xml:space="preserve">). Third, participants could choose their preferred tempo from one of three options (100, 110 and 120 quarter beats per minute). The chosen tempo was again cued by a leading metronome. To make sure that participants memorised the piece and had sufficient motor skills, we asked participants to perform the piece without looking at the non-expressive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54"/>
    <w:bookmarkStart w:id="58" w:name="data-analysis-1"/>
    <w:p>
      <w:pPr>
        <w:pStyle w:val="berschrift3"/>
      </w:pP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 KV difference (i.e., KV difference for each interval) at transition points (i.e., forte to piano or piano to forte) as a dependent variable based on the findings of Experiment 1. Three trials were entirely excluded from data analysis because participants did not follow the sheet music.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Non-expressive sheet music. (B)Articulation. The curved line (slur) indicates legato and the dots indicate staccato. (C)Dynamics. The symbol f' denotes forte and the symbolp’ denotes piano. For data analysis, only the 8th notes were included." title="" id="56" name="Picture"/>
            <a:graphic>
              <a:graphicData uri="http://schemas.openxmlformats.org/drawingml/2006/picture">
                <pic:pic>
                  <pic:nvPicPr>
                    <pic:cNvPr descr="manuscript_files/figure-docx/stim-2-1.png" id="57" name="Picture"/>
                    <pic:cNvPicPr>
                      <a:picLocks noChangeArrowheads="1" noChangeAspect="1"/>
                    </pic:cNvPicPr>
                  </pic:nvPicPr>
                  <pic:blipFill>
                    <a:blip r:embed="rId55"/>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58"/>
    <w:bookmarkEnd w:id="59"/>
    <w:bookmarkStart w:id="60" w:name="results-1"/>
    <w:p>
      <w:pPr>
        <w:pStyle w:val="berschrift2"/>
      </w:pP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60"/>
    <w:bookmarkStart w:id="64" w:name="articulation-1"/>
    <w:p>
      <w:pPr>
        <w:pStyle w:val="berschrift2"/>
      </w:pPr>
      <w:r>
        <w:t xml:space="preserve">Articulation</w:t>
      </w:r>
    </w:p>
    <w:bookmarkStart w:id="61" w:name="inter-onset-intervals-iois-2"/>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61"/>
    <w:bookmarkStart w:id="62" w:name="key-overlap-ratios-kors"/>
    <w:p>
      <w:pPr>
        <w:pStyle w:val="berschrift3"/>
      </w:pP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2573,</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8.91,</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&lt; 0.001).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0.63).</w:t>
      </w:r>
    </w:p>
    <w:bookmarkEnd w:id="62"/>
    <w:bookmarkStart w:id="63" w:name="key-velocity-kv-2"/>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7.91,</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1.33,</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0.14,</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63"/>
    <w:bookmarkEnd w:id="64"/>
    <w:bookmarkStart w:id="69" w:name="dynamics-1"/>
    <w:p>
      <w:pPr>
        <w:pStyle w:val="berschrift2"/>
      </w:pPr>
      <w:r>
        <w:t xml:space="preserve">Dynamics</w:t>
      </w:r>
    </w:p>
    <w:bookmarkStart w:id="65" w:name="inter-onset-intervals-iois-3"/>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65"/>
    <w:bookmarkStart w:id="66" w:name="key-velocity-kv-3"/>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6.12,</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0.020) when instructed to play forte. Also, KV was lower in the teaching condition [</w:t>
      </w:r>
      <w:r>
        <w:rPr>
          <w:iCs/>
          <w:i/>
        </w:rPr>
        <w:t xml:space="preserve">M</w:t>
      </w:r>
      <w:r>
        <w:t xml:space="preserve"> </w:t>
      </w:r>
      <w:r>
        <w:t xml:space="preserve">= 60.53,</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62.42,</w:t>
      </w:r>
      <w:r>
        <w:t xml:space="preserve"> </w:t>
      </w:r>
      <w:r>
        <w:rPr>
          <w:iCs/>
          <w:i/>
        </w:rPr>
        <w:t xml:space="preserve">SD</w:t>
      </w:r>
      <w:r>
        <w:t xml:space="preserve"> </w:t>
      </w:r>
      <w:r>
        <w:t xml:space="preserve">= 4.82] (</w:t>
      </w:r>
      <w:r>
        <w:rPr>
          <w:iCs/>
          <w:i/>
        </w:rPr>
        <w:t xml:space="preserve">p</w:t>
      </w:r>
      <w:r>
        <w:t xml:space="preserve"> </w:t>
      </w:r>
      <w:r>
        <w:t xml:space="preserve">= 0.046) when instructed to play piano.</w:t>
      </w:r>
    </w:p>
    <w:bookmarkEnd w:id="66"/>
    <w:bookmarkStart w:id="67" w:name="kv-transition-points-1"/>
    <w:p>
      <w:pPr>
        <w:pStyle w:val="berschrift3"/>
      </w:pP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0.82) and a significant interaction between Condition and Transition Type (</w:t>
      </w:r>
      <w:r>
        <w:rPr>
          <w:iCs/>
          <w:i/>
        </w:rPr>
        <w:t xml:space="preserve">F</w:t>
      </w:r>
      <w:r>
        <w:t xml:space="preserve">(1,19) = 9.15,</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0.029) and from piano to forte (</w:t>
      </w:r>
      <w:r>
        <w:rPr>
          <w:iCs/>
          <w:i/>
        </w:rPr>
        <w:t xml:space="preserve">p</w:t>
      </w:r>
      <w:r>
        <w:t xml:space="preserve"> </w:t>
      </w:r>
      <w:r>
        <w:t xml:space="preserve">= 0.003) in the teaching condition [FtoP:</w:t>
      </w:r>
      <w:r>
        <w:t xml:space="preserve"> </w:t>
      </w:r>
      <w:r>
        <w:rPr>
          <w:iCs/>
          <w:i/>
        </w:rPr>
        <w:t xml:space="preserve">M</w:t>
      </w:r>
      <w:r>
        <w:t xml:space="preserve"> </w:t>
      </w:r>
      <w:r>
        <w:t xml:space="preserve">= -17.23,</w:t>
      </w:r>
      <w:r>
        <w:t xml:space="preserve"> </w:t>
      </w:r>
      <w:r>
        <w:rPr>
          <w:iCs/>
          <w:i/>
        </w:rPr>
        <w:t xml:space="preserve">SD</w:t>
      </w:r>
      <w:r>
        <w:t xml:space="preserve"> </w:t>
      </w:r>
      <w:r>
        <w:t xml:space="preserve">= 8.26, PtoF:</w:t>
      </w:r>
      <w:r>
        <w:t xml:space="preserve"> </w:t>
      </w:r>
      <w:r>
        <w:rPr>
          <w:iCs/>
          <w:i/>
        </w:rPr>
        <w:t xml:space="preserve">M</w:t>
      </w:r>
      <w:r>
        <w:t xml:space="preserve"> </w:t>
      </w:r>
      <w:r>
        <w:t xml:space="preserve">= 20.71,</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-14.04,</w:t>
      </w:r>
      <w:r>
        <w:t xml:space="preserve"> </w:t>
      </w:r>
      <w:r>
        <w:rPr>
          <w:iCs/>
          <w:i/>
        </w:rPr>
        <w:t xml:space="preserve">SD</w:t>
      </w:r>
      <w:r>
        <w:t xml:space="preserve"> </w:t>
      </w:r>
      <w:r>
        <w:t xml:space="preserve">= 7.67, PtoF:</w:t>
      </w:r>
      <w:r>
        <w:t xml:space="preserve"> </w:t>
      </w:r>
      <w:r>
        <w:rPr>
          <w:iCs/>
          <w:i/>
        </w:rPr>
        <w:t xml:space="preserve">M</w:t>
      </w:r>
      <w:r>
        <w:t xml:space="preserve"> </w:t>
      </w:r>
      <w:r>
        <w:t xml:space="preserve">= 16.05,</w:t>
      </w:r>
      <w:r>
        <w:t xml:space="preserve"> </w:t>
      </w:r>
      <w:r>
        <w:rPr>
          <w:iCs/>
          <w:i/>
        </w:rPr>
        <w:t xml:space="preserve">SD</w:t>
      </w:r>
      <w:r>
        <w:t xml:space="preserve"> </w:t>
      </w:r>
      <w:r>
        <w:t xml:space="preserve">= 7.32].</w:t>
      </w:r>
    </w:p>
    <w:bookmarkEnd w:id="67"/>
    <w:bookmarkStart w:id="68" w:name="key-overlap-ratios-kors-1"/>
    <w:p>
      <w:pPr>
        <w:pStyle w:val="berschrift3"/>
      </w:pP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630,</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0.081,</w:t>
      </w:r>
      <w:r>
        <w:t xml:space="preserve"> </w:t>
      </w:r>
      <w:r>
        <w:rPr>
          <w:iCs/>
          <w:i/>
        </w:rPr>
        <w:t xml:space="preserve">p</w:t>
      </w:r>
      <w:r>
        <w:t xml:space="preserve"> </w:t>
      </w:r>
      <w:r>
        <w:t xml:space="preserve">= 0.78,</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0.35,</w:t>
      </w:r>
      <w:r>
        <w:t xml:space="preserve"> </w:t>
      </w:r>
      <w:r>
        <w:rPr>
          <w:iCs/>
          <w:i/>
        </w:rPr>
        <w:t xml:space="preserve">p</w:t>
      </w:r>
      <w:r>
        <w:t xml:space="preserve"> </w:t>
      </w:r>
      <w:r>
        <w:t xml:space="preserve">= 0.56,</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68"/>
    <w:bookmarkEnd w:id="69"/>
    <w:bookmarkStart w:id="82" w:name="discussion-1"/>
    <w:p>
      <w:pPr>
        <w:pStyle w:val="berschrift2"/>
      </w:pPr>
      <w:r>
        <w:t xml:space="preserve">Discussion</w:t>
      </w:r>
    </w:p>
    <w:p>
      <w:pPr>
        <w:pStyle w:val="FirstParagraph"/>
      </w:pPr>
      <w:r>
        <w:t xml:space="preserve">The results from Experiment 2 replicate our earlier findings and provide further evidence that skilled pianists were able to modulate their performance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71" name="Picture"/>
            <a:graphic>
              <a:graphicData uri="http://schemas.openxmlformats.org/drawingml/2006/picture">
                <pic:pic>
                  <pic:nvPicPr>
                    <pic:cNvPr descr="manuscript_files/figure-docx/plot-ioi-2-1.png" id="7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2: Normalised IOIs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74" name="Picture"/>
            <a:graphic>
              <a:graphicData uri="http://schemas.openxmlformats.org/drawingml/2006/picture">
                <pic:pic>
                  <pic:nvPicPr>
                    <pic:cNvPr descr="manuscript_files/figure-docx/plot-kor-2-1.png" id="75" name="Picture"/>
                    <pic:cNvPicPr>
                      <a:picLocks noChangeArrowheads="1" noChangeAspect="1"/>
                    </pic:cNvPicPr>
                  </pic:nvPicPr>
                  <pic:blipFill>
                    <a:blip r:embed="rId7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77" name="Picture"/>
            <a:graphic>
              <a:graphicData uri="http://schemas.openxmlformats.org/drawingml/2006/picture">
                <pic:pic>
                  <pic:nvPicPr>
                    <pic:cNvPr descr="manuscript_files/figure-docx/plot-vel-2-1.png" id="78" name="Picture"/>
                    <pic:cNvPicPr>
                      <a:picLocks noChangeArrowheads="1" noChangeAspect="1"/>
                    </pic:cNvPicPr>
                  </pic:nvPicPr>
                  <pic:blipFill>
                    <a:blip r:embed="rId7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80" name="Picture"/>
            <a:graphic>
              <a:graphicData uri="http://schemas.openxmlformats.org/drawingml/2006/picture">
                <pic:pic>
                  <pic:nvPicPr>
                    <pic:cNvPr descr="manuscript_files/figure-docx/plot-vel-diff-1.png" id="81" name="Picture"/>
                    <pic:cNvPicPr>
                      <a:picLocks noChangeArrowheads="1" noChangeAspect="1"/>
                    </pic:cNvPicPr>
                  </pic:nvPicPr>
                  <pic:blipFill>
                    <a:blip r:embed="rId79"/>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82"/>
    <w:bookmarkEnd w:id="83"/>
    <w:bookmarkStart w:id="84" w:name="general-discussion"/>
    <w:p>
      <w:pPr>
        <w:pStyle w:val="berschrift1"/>
      </w:pPr>
      <w:r>
        <w:t xml:space="preserve">General Discussion</w:t>
      </w:r>
    </w:p>
    <w:p>
      <w:pPr>
        <w:pStyle w:val="FirstParagraph"/>
      </w:pPr>
      <w:r>
        <w:t xml:space="preserve">The aim of the study was to investigate how expert pianists modulate their performance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expressive techniques where timing itself can be used to add an expression to a performance.</w:t>
      </w:r>
    </w:p>
    <w:p>
      <w:pPr>
        <w:pStyle w:val="Textkrper"/>
      </w:pPr>
      <w:r>
        <w:t xml:space="preserve">Musicians and music teachers tend to consider expressive skills as a performer’s most important skill</w:t>
      </w:r>
      <w:r>
        <w:rPr>
          <w:vertAlign w:val="superscript"/>
        </w:rPr>
        <w:t xml:space="preserve">15</w:t>
      </w:r>
      <w:r>
        <w:t xml:space="preserve">. In the present study, experts focused on the teaching of expressions that were notated. However, expression also has other facets</w:t>
      </w:r>
      <w:r>
        <w:rPr>
          <w:vertAlign w:val="superscript"/>
        </w:rPr>
        <w:t xml:space="preserve">13</w:t>
      </w:r>
      <w:r>
        <w:t xml:space="preserve"> </w:t>
      </w:r>
      <w:r>
        <w:t xml:space="preserve">that are not only piece-related but performer- or context-related. An interesting topic for future research is how experts teach not only expressive techniques as such but convey possibilities of interpretation.</w:t>
      </w:r>
    </w:p>
    <w:p>
      <w:pPr>
        <w:pStyle w:val="Textkrper"/>
      </w:pPr>
      <w:r>
        <w:t xml:space="preserve">One limitation of the study is that although we instructed participants to imagine a situation in which they were teaching musical expression to students, there was no feedback from actual students. Given that teachers modulate their demonstration throughout online interactions with learners</w:t>
      </w:r>
      <w:r>
        <w:rPr>
          <w:vertAlign w:val="superscript"/>
        </w:rPr>
        <w:t xml:space="preserve">16</w:t>
      </w:r>
      <w:r>
        <w:t xml:space="preserve">, future studies are needed to investigate how experts dynamically adapt their performance to their students’ skill level and demonstrated abilities.</w:t>
      </w:r>
    </w:p>
    <w:p>
      <w:pPr>
        <w:pStyle w:val="Textkrper"/>
      </w:pPr>
      <w:r>
        <w:t xml:space="preserve">The present findings extend earlier research on teaching-related action modulations. First, our study sheds light on the teaching of expressive techniques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 xml:space="preserve">17</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84"/>
    <w:bookmarkStart w:id="118" w:name="references"/>
    <w:p>
      <w:pPr>
        <w:pStyle w:val="berschrift1"/>
      </w:pPr>
      <w:r>
        <w:t xml:space="preserve">References</w:t>
      </w:r>
    </w:p>
    <w:bookmarkStart w:id="117" w:name="refs"/>
    <w:bookmarkStart w:id="86" w:name="ref-thornton_2008"/>
    <w:p>
      <w:pPr>
        <w:pStyle w:val="Literaturverzeichnis"/>
      </w:pPr>
      <w:r>
        <w:t xml:space="preserve">1.</w:t>
      </w:r>
      <w:r>
        <w:t xml:space="preserve"> </w:t>
      </w:r>
      <w:r>
        <w:t xml:space="preserve">	</w:t>
      </w:r>
      <w:r>
        <w:t xml:space="preserve">Thornton, A. &amp; Raihani, N. J.</w:t>
      </w:r>
      <w:r>
        <w:t xml:space="preserve"> </w:t>
      </w:r>
      <w:hyperlink r:id="rId85">
        <w:r>
          <w:rPr>
            <w:rStyle w:val="Hyperlink"/>
          </w:rPr>
          <w:t xml:space="preserve">The evolution of teaching</w:t>
        </w:r>
      </w:hyperlink>
      <w:r>
        <w:t xml:space="preserve">.</w:t>
      </w:r>
      <w:r>
        <w:t xml:space="preserve"> </w:t>
      </w:r>
      <w:r>
        <w:rPr>
          <w:iCs/>
          <w:i/>
        </w:rPr>
        <w:t xml:space="preserve">Animal Behaviour</w:t>
      </w:r>
      <w:r>
        <w:t xml:space="preserve"> </w:t>
      </w:r>
      <w:r>
        <w:rPr>
          <w:bCs/>
          <w:b/>
        </w:rPr>
        <w:t xml:space="preserve">75</w:t>
      </w:r>
      <w:r>
        <w:t xml:space="preserve">, 1823–1836 (2008).</w:t>
      </w:r>
    </w:p>
    <w:bookmarkEnd w:id="86"/>
    <w:bookmarkStart w:id="88" w:name="ref-tomasello_2016"/>
    <w:p>
      <w:pPr>
        <w:pStyle w:val="Literaturverzeichnis"/>
      </w:pPr>
      <w:r>
        <w:t xml:space="preserve">2.</w:t>
      </w:r>
      <w:r>
        <w:t xml:space="preserve"> </w:t>
      </w:r>
      <w:r>
        <w:t xml:space="preserve">	</w:t>
      </w:r>
      <w:r>
        <w:t xml:space="preserve">Tomasello, M.</w:t>
      </w:r>
      <w:r>
        <w:t xml:space="preserve"> </w:t>
      </w:r>
      <w:hyperlink r:id="rId87">
        <w:r>
          <w:rPr>
            <w:rStyle w:val="Hyperlink"/>
          </w:rPr>
          <w:t xml:space="preserve">The ontogeny of cultural learning</w:t>
        </w:r>
      </w:hyperlink>
      <w:r>
        <w:t xml:space="preserve">.</w:t>
      </w:r>
      <w:r>
        <w:t xml:space="preserve"> </w:t>
      </w:r>
      <w:r>
        <w:rPr>
          <w:iCs/>
          <w:i/>
        </w:rPr>
        <w:t xml:space="preserve">Current Opinion in Psychology</w:t>
      </w:r>
      <w:r>
        <w:t xml:space="preserve"> </w:t>
      </w:r>
      <w:r>
        <w:rPr>
          <w:bCs/>
          <w:b/>
        </w:rPr>
        <w:t xml:space="preserve">8</w:t>
      </w:r>
      <w:r>
        <w:t xml:space="preserve">, 1–4 (2016).</w:t>
      </w:r>
    </w:p>
    <w:bookmarkEnd w:id="88"/>
    <w:bookmarkStart w:id="90" w:name="ref-brand_2002"/>
    <w:p>
      <w:pPr>
        <w:pStyle w:val="Literaturverzeichnis"/>
      </w:pPr>
      <w:r>
        <w:t xml:space="preserve">3.</w:t>
      </w:r>
      <w:r>
        <w:t xml:space="preserve"> </w:t>
      </w:r>
      <w:r>
        <w:t xml:space="preserve">	</w:t>
      </w:r>
      <w:r>
        <w:t xml:space="preserve">Brand, R. J., Baldwin, D. A. &amp; Ashburn, L. A.</w:t>
      </w:r>
      <w:r>
        <w:t xml:space="preserve"> </w:t>
      </w:r>
      <w:hyperlink r:id="rId89">
        <w:r>
          <w:rPr>
            <w:rStyle w:val="Hyperlink"/>
          </w:rPr>
          <w:t xml:space="preserve">Evidence for</w:t>
        </w:r>
        <w:r>
          <w:rPr>
            <w:rStyle w:val="Hyperlink"/>
          </w:rPr>
          <w:t xml:space="preserve"> </w:t>
        </w:r>
        <w:r>
          <w:rPr>
            <w:rStyle w:val="Hyperlink"/>
          </w:rPr>
          <w:t xml:space="preserve">‘motionese’</w:t>
        </w:r>
        <w:r>
          <w:rPr>
            <w:rStyle w:val="Hyperlink"/>
          </w:rPr>
          <w:t xml:space="preserve">: Modifications in mothers’ infant-directed action</w:t>
        </w:r>
      </w:hyperlink>
      <w:r>
        <w:t xml:space="preserve">.</w:t>
      </w:r>
      <w:r>
        <w:t xml:space="preserve"> </w:t>
      </w:r>
      <w:r>
        <w:rPr>
          <w:iCs/>
          <w:i/>
        </w:rPr>
        <w:t xml:space="preserve">Developmental Science</w:t>
      </w:r>
      <w:r>
        <w:t xml:space="preserve"> </w:t>
      </w:r>
      <w:r>
        <w:rPr>
          <w:bCs/>
          <w:b/>
        </w:rPr>
        <w:t xml:space="preserve">5</w:t>
      </w:r>
      <w:r>
        <w:t xml:space="preserve">, 72–83 (2002).</w:t>
      </w:r>
    </w:p>
    <w:bookmarkEnd w:id="90"/>
    <w:bookmarkStart w:id="92" w:name="ref-saint-georges_2013"/>
    <w:p>
      <w:pPr>
        <w:pStyle w:val="Literaturverzeichnis"/>
      </w:pPr>
      <w:r>
        <w:t xml:space="preserve">4.</w:t>
      </w:r>
      <w:r>
        <w:t xml:space="preserve"> </w:t>
      </w:r>
      <w:r>
        <w:t xml:space="preserve">	</w:t>
      </w:r>
      <w:r>
        <w:t xml:space="preserve">Saint-Georges, C.</w:t>
      </w:r>
      <w:r>
        <w:t xml:space="preserve"> </w:t>
      </w:r>
      <w:r>
        <w:rPr>
          <w:iCs/>
          <w:i/>
        </w:rPr>
        <w:t xml:space="preserve">et al.</w:t>
      </w:r>
      <w:r>
        <w:t xml:space="preserve"> </w:t>
      </w:r>
      <w:hyperlink r:id="rId91">
        <w:r>
          <w:rPr>
            <w:rStyle w:val="Hyperlink"/>
          </w:rPr>
          <w:t xml:space="preserve">Motherese in</w:t>
        </w:r>
        <w:r>
          <w:rPr>
            <w:rStyle w:val="Hyperlink"/>
          </w:rPr>
          <w:t xml:space="preserve"> </w:t>
        </w:r>
        <w:r>
          <w:rPr>
            <w:rStyle w:val="Hyperlink"/>
          </w:rPr>
          <w:t xml:space="preserve">Interaction</w:t>
        </w:r>
        <w:r>
          <w:rPr>
            <w:rStyle w:val="Hyperlink"/>
          </w:rPr>
          <w:t xml:space="preserve">:</w:t>
        </w:r>
        <w:r>
          <w:rPr>
            <w:rStyle w:val="Hyperlink"/>
          </w:rPr>
          <w:t xml:space="preserve"> </w:t>
        </w:r>
        <w:r>
          <w:rPr>
            <w:rStyle w:val="Hyperlink"/>
          </w:rPr>
          <w:t xml:space="preserve">At</w:t>
        </w:r>
        <w:r>
          <w:rPr>
            <w:rStyle w:val="Hyperlink"/>
          </w:rPr>
          <w:t xml:space="preserve"> </w:t>
        </w:r>
        <w:r>
          <w:rPr>
            <w:rStyle w:val="Hyperlink"/>
          </w:rPr>
          <w:t xml:space="preserve">the</w:t>
        </w:r>
        <w:r>
          <w:rPr>
            <w:rStyle w:val="Hyperlink"/>
          </w:rPr>
          <w:t xml:space="preserve"> </w:t>
        </w:r>
        <w:r>
          <w:rPr>
            <w:rStyle w:val="Hyperlink"/>
          </w:rPr>
          <w:t xml:space="preserve">Cross-Road</w:t>
        </w:r>
        <w:r>
          <w:rPr>
            <w:rStyle w:val="Hyperlink"/>
          </w:rPr>
          <w:t xml:space="preserve"> </w:t>
        </w:r>
        <w:r>
          <w:rPr>
            <w:rStyle w:val="Hyperlink"/>
          </w:rPr>
          <w:t xml:space="preserve">of</w:t>
        </w:r>
        <w:r>
          <w:rPr>
            <w:rStyle w:val="Hyperlink"/>
          </w:rPr>
          <w:t xml:space="preserve"> </w:t>
        </w:r>
        <w:r>
          <w:rPr>
            <w:rStyle w:val="Hyperlink"/>
          </w:rPr>
          <w:t xml:space="preserve">Emotion</w:t>
        </w:r>
        <w:r>
          <w:rPr>
            <w:rStyle w:val="Hyperlink"/>
          </w:rPr>
          <w:t xml:space="preserve"> </w:t>
        </w:r>
        <w:r>
          <w:rPr>
            <w:rStyle w:val="Hyperlink"/>
          </w:rPr>
          <w:t xml:space="preserve">and</w:t>
        </w:r>
        <w:r>
          <w:rPr>
            <w:rStyle w:val="Hyperlink"/>
          </w:rPr>
          <w:t xml:space="preserve"> </w:t>
        </w:r>
        <w:r>
          <w:rPr>
            <w:rStyle w:val="Hyperlink"/>
          </w:rPr>
          <w:t xml:space="preserve">Cognition</w:t>
        </w:r>
        <w:r>
          <w:rPr>
            <w:rStyle w:val="Hyperlink"/>
          </w:rPr>
          <w:t xml:space="preserve">? (</w:t>
        </w:r>
        <w:r>
          <w:rPr>
            <w:rStyle w:val="Hyperlink"/>
          </w:rPr>
          <w:t xml:space="preserve">A Systematic Review</w:t>
        </w:r>
        <w:r>
          <w:rPr>
            <w:rStyle w:val="Hyperlink"/>
          </w:rPr>
          <w:t xml:space="preserve">)</w:t>
        </w:r>
      </w:hyperlink>
      <w:r>
        <w:t xml:space="preserve">.</w:t>
      </w:r>
      <w:r>
        <w:t xml:space="preserve"> </w:t>
      </w:r>
      <w:r>
        <w:rPr>
          <w:iCs/>
          <w:i/>
        </w:rPr>
        <w:t xml:space="preserve">PLOS ONE</w:t>
      </w:r>
      <w:r>
        <w:t xml:space="preserve"> </w:t>
      </w:r>
      <w:r>
        <w:rPr>
          <w:bCs/>
          <w:b/>
        </w:rPr>
        <w:t xml:space="preserve">8</w:t>
      </w:r>
      <w:r>
        <w:t xml:space="preserve">, e78103 (2013).</w:t>
      </w:r>
    </w:p>
    <w:bookmarkEnd w:id="92"/>
    <w:bookmarkStart w:id="94" w:name="ref-uther_2007"/>
    <w:p>
      <w:pPr>
        <w:pStyle w:val="Literaturverzeichnis"/>
      </w:pPr>
      <w:r>
        <w:t xml:space="preserve">5.</w:t>
      </w:r>
      <w:r>
        <w:t xml:space="preserve"> </w:t>
      </w:r>
      <w:r>
        <w:t xml:space="preserve">	</w:t>
      </w:r>
      <w:r>
        <w:t xml:space="preserve">Uther, M., Knoll, M. A. &amp; Burnham, D.</w:t>
      </w:r>
      <w:r>
        <w:t xml:space="preserve"> </w:t>
      </w:r>
      <w:hyperlink r:id="rId93">
        <w:r>
          <w:rPr>
            <w:rStyle w:val="Hyperlink"/>
          </w:rPr>
          <w:t xml:space="preserve">Do you speak</w:t>
        </w:r>
        <w:r>
          <w:rPr>
            <w:rStyle w:val="Hyperlink"/>
          </w:rPr>
          <w:t xml:space="preserve"> </w:t>
        </w:r>
        <w:r>
          <w:rPr>
            <w:rStyle w:val="Hyperlink"/>
          </w:rPr>
          <w:t xml:space="preserve">E-NG-L-I-SH</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comparison of foreigner- and infant-directed speech</w:t>
        </w:r>
      </w:hyperlink>
      <w:r>
        <w:t xml:space="preserve">.</w:t>
      </w:r>
      <w:r>
        <w:t xml:space="preserve"> </w:t>
      </w:r>
      <w:r>
        <w:rPr>
          <w:iCs/>
          <w:i/>
        </w:rPr>
        <w:t xml:space="preserve">Speech Communication</w:t>
      </w:r>
      <w:r>
        <w:t xml:space="preserve"> </w:t>
      </w:r>
      <w:r>
        <w:rPr>
          <w:bCs/>
          <w:b/>
        </w:rPr>
        <w:t xml:space="preserve">49</w:t>
      </w:r>
      <w:r>
        <w:t xml:space="preserve">, 2–7 (2007).</w:t>
      </w:r>
    </w:p>
    <w:bookmarkEnd w:id="94"/>
    <w:bookmarkStart w:id="96" w:name="ref-mcellin_2017"/>
    <w:p>
      <w:pPr>
        <w:pStyle w:val="Literaturverzeichnis"/>
      </w:pPr>
      <w:r>
        <w:t xml:space="preserve">6.</w:t>
      </w:r>
      <w:r>
        <w:t xml:space="preserve"> </w:t>
      </w:r>
      <w:r>
        <w:t xml:space="preserve">	</w:t>
      </w:r>
      <w:r>
        <w:t xml:space="preserve">McEllin, L., Knoblich, G. &amp; Sebanz, N.</w:t>
      </w:r>
      <w:r>
        <w:t xml:space="preserve"> </w:t>
      </w:r>
      <w:hyperlink r:id="rId95">
        <w:r>
          <w:rPr>
            <w:rStyle w:val="Hyperlink"/>
          </w:rPr>
          <w:t xml:space="preserve">Distinct kinematic markers of demonstration and joint action coordination?</w:t>
        </w:r>
        <w:r>
          <w:rPr>
            <w:rStyle w:val="Hyperlink"/>
          </w:rPr>
          <w:t xml:space="preserve"> </w:t>
        </w:r>
        <w:r>
          <w:rPr>
            <w:rStyle w:val="Hyperlink"/>
          </w:rPr>
          <w:t xml:space="preserve">Evidence</w:t>
        </w:r>
        <w:r>
          <w:rPr>
            <w:rStyle w:val="Hyperlink"/>
          </w:rPr>
          <w:t xml:space="preserve"> </w:t>
        </w:r>
        <w:r>
          <w:rPr>
            <w:rStyle w:val="Hyperlink"/>
          </w:rPr>
          <w:t xml:space="preserve">from virtual xylophone playing.</w:t>
        </w:r>
      </w:hyperlink>
      <w:r>
        <w:t xml:space="preserve"> </w:t>
      </w:r>
      <w:r>
        <w:rPr>
          <w:iCs/>
          <w:i/>
        </w:rPr>
        <w:t xml:space="preserve">Journal of Experimental Psychology: Human Perception and Performance</w:t>
      </w:r>
      <w:r>
        <w:t xml:space="preserve"> </w:t>
      </w:r>
      <w:r>
        <w:rPr>
          <w:bCs/>
          <w:b/>
        </w:rPr>
        <w:t xml:space="preserve">44</w:t>
      </w:r>
      <w:r>
        <w:t xml:space="preserve">, 885 (2017).</w:t>
      </w:r>
    </w:p>
    <w:bookmarkEnd w:id="96"/>
    <w:bookmarkStart w:id="98" w:name="ref-csibra_2009"/>
    <w:p>
      <w:pPr>
        <w:pStyle w:val="Literaturverzeichnis"/>
      </w:pPr>
      <w:r>
        <w:t xml:space="preserve">7.</w:t>
      </w:r>
      <w:r>
        <w:t xml:space="preserve"> </w:t>
      </w:r>
      <w:r>
        <w:t xml:space="preserve">	</w:t>
      </w:r>
      <w:r>
        <w:t xml:space="preserve">Csibra, G. &amp; Gergely, G.</w:t>
      </w:r>
      <w:r>
        <w:t xml:space="preserve"> </w:t>
      </w:r>
      <w:hyperlink r:id="rId97">
        <w:r>
          <w:rPr>
            <w:rStyle w:val="Hyperlink"/>
          </w:rPr>
          <w:t xml:space="preserve">Natural pedagogy</w:t>
        </w:r>
      </w:hyperlink>
      <w:r>
        <w:t xml:space="preserve">.</w:t>
      </w:r>
      <w:r>
        <w:t xml:space="preserve"> </w:t>
      </w:r>
      <w:r>
        <w:rPr>
          <w:iCs/>
          <w:i/>
        </w:rPr>
        <w:t xml:space="preserve">Trends in Cognitive Sciences</w:t>
      </w:r>
      <w:r>
        <w:t xml:space="preserve"> </w:t>
      </w:r>
      <w:r>
        <w:rPr>
          <w:bCs/>
          <w:b/>
        </w:rPr>
        <w:t xml:space="preserve">13</w:t>
      </w:r>
      <w:r>
        <w:t xml:space="preserve">, 148–153 (2009).</w:t>
      </w:r>
    </w:p>
    <w:bookmarkEnd w:id="98"/>
    <w:bookmarkStart w:id="100" w:name="ref-campisi_2013"/>
    <w:p>
      <w:pPr>
        <w:pStyle w:val="Literaturverzeichnis"/>
      </w:pPr>
      <w:r>
        <w:t xml:space="preserve">8.</w:t>
      </w:r>
      <w:r>
        <w:t xml:space="preserve"> </w:t>
      </w:r>
      <w:r>
        <w:t xml:space="preserve">	</w:t>
      </w:r>
      <w:r>
        <w:t xml:space="preserve">Campisi, E. &amp; Özyürek, A.</w:t>
      </w:r>
      <w:r>
        <w:t xml:space="preserve"> </w:t>
      </w:r>
      <w:hyperlink r:id="rId99">
        <w:r>
          <w:rPr>
            <w:rStyle w:val="Hyperlink"/>
          </w:rPr>
          <w:t xml:space="preserve">Iconicity as a communicative strategy:</w:t>
        </w:r>
        <w:r>
          <w:rPr>
            <w:rStyle w:val="Hyperlink"/>
          </w:rPr>
          <w:t xml:space="preserve"> </w:t>
        </w:r>
        <w:r>
          <w:rPr>
            <w:rStyle w:val="Hyperlink"/>
          </w:rPr>
          <w:t xml:space="preserve">Recipient</w:t>
        </w:r>
        <w:r>
          <w:rPr>
            <w:rStyle w:val="Hyperlink"/>
          </w:rPr>
          <w:t xml:space="preserve"> </w:t>
        </w:r>
        <w:r>
          <w:rPr>
            <w:rStyle w:val="Hyperlink"/>
          </w:rPr>
          <w:t xml:space="preserve">design in multimodal demonstrations for adults and children</w:t>
        </w:r>
      </w:hyperlink>
      <w:r>
        <w:t xml:space="preserve">.</w:t>
      </w:r>
      <w:r>
        <w:t xml:space="preserve"> </w:t>
      </w:r>
      <w:r>
        <w:rPr>
          <w:iCs/>
          <w:i/>
        </w:rPr>
        <w:t xml:space="preserve">Journal of Pragmatics</w:t>
      </w:r>
      <w:r>
        <w:t xml:space="preserve"> </w:t>
      </w:r>
      <w:r>
        <w:rPr>
          <w:bCs/>
          <w:b/>
        </w:rPr>
        <w:t xml:space="preserve">47</w:t>
      </w:r>
      <w:r>
        <w:t xml:space="preserve">, 14–27 (2013).</w:t>
      </w:r>
    </w:p>
    <w:bookmarkEnd w:id="100"/>
    <w:bookmarkStart w:id="102" w:name="ref-fukuyama_2015"/>
    <w:p>
      <w:pPr>
        <w:pStyle w:val="Literaturverzeichnis"/>
      </w:pPr>
      <w:r>
        <w:t xml:space="preserve">9.</w:t>
      </w:r>
      <w:r>
        <w:t xml:space="preserve"> </w:t>
      </w:r>
      <w:r>
        <w:t xml:space="preserve">	</w:t>
      </w:r>
      <w:r>
        <w:t xml:space="preserve">Fukuyama, H.</w:t>
      </w:r>
      <w:r>
        <w:t xml:space="preserve"> </w:t>
      </w:r>
      <w:r>
        <w:rPr>
          <w:iCs/>
          <w:i/>
        </w:rPr>
        <w:t xml:space="preserve">et al.</w:t>
      </w:r>
      <w:r>
        <w:t xml:space="preserve"> </w:t>
      </w:r>
      <w:hyperlink r:id="rId101">
        <w:r>
          <w:rPr>
            <w:rStyle w:val="Hyperlink"/>
          </w:rPr>
          <w:t xml:space="preserve">Infant’s action skill dynamically modulates parental action demonstration in the dyadic interaction</w:t>
        </w:r>
      </w:hyperlink>
      <w:r>
        <w:t xml:space="preserve">.</w:t>
      </w:r>
      <w:r>
        <w:t xml:space="preserve"> </w:t>
      </w:r>
      <w:r>
        <w:rPr>
          <w:iCs/>
          <w:i/>
        </w:rPr>
        <w:t xml:space="preserve">Developmental Science</w:t>
      </w:r>
      <w:r>
        <w:t xml:space="preserve"> </w:t>
      </w:r>
      <w:r>
        <w:rPr>
          <w:bCs/>
          <w:b/>
        </w:rPr>
        <w:t xml:space="preserve">18</w:t>
      </w:r>
      <w:r>
        <w:t xml:space="preserve">, 1006–1013 (2015).</w:t>
      </w:r>
    </w:p>
    <w:bookmarkEnd w:id="102"/>
    <w:bookmarkStart w:id="104" w:name="ref-schaik_2019"/>
    <w:p>
      <w:pPr>
        <w:pStyle w:val="Literaturverzeichnis"/>
      </w:pPr>
      <w:r>
        <w:t xml:space="preserve">10.</w:t>
      </w:r>
      <w:r>
        <w:t xml:space="preserve"> </w:t>
      </w:r>
      <w:r>
        <w:t xml:space="preserve">	</w:t>
      </w:r>
      <w:r>
        <w:t xml:space="preserve">Schaik, J. E. van, Meyer, M., Ham, C. R. van &amp; Hunnius, S.</w:t>
      </w:r>
      <w:r>
        <w:t xml:space="preserve"> </w:t>
      </w:r>
      <w:hyperlink r:id="rId103">
        <w:r>
          <w:rPr>
            <w:rStyle w:val="Hyperlink"/>
          </w:rPr>
          <w:t xml:space="preserve">Motion tracking of parents’ infant- versus adult-directed actions reveals general and action-specific modulations</w:t>
        </w:r>
      </w:hyperlink>
      <w:r>
        <w:t xml:space="preserve">.</w:t>
      </w:r>
      <w:r>
        <w:t xml:space="preserve"> </w:t>
      </w:r>
      <w:r>
        <w:rPr>
          <w:iCs/>
          <w:i/>
        </w:rPr>
        <w:t xml:space="preserve">Developmental Science</w:t>
      </w:r>
      <w:r>
        <w:t xml:space="preserve"> </w:t>
      </w:r>
      <w:r>
        <w:rPr>
          <w:bCs/>
          <w:b/>
        </w:rPr>
        <w:t xml:space="preserve">0</w:t>
      </w:r>
      <w:r>
        <w:t xml:space="preserve">, e12869 (2019).</w:t>
      </w:r>
    </w:p>
    <w:bookmarkEnd w:id="104"/>
    <w:bookmarkStart w:id="105" w:name="ref-NIPS2016_6413"/>
    <w:p>
      <w:pPr>
        <w:pStyle w:val="Literaturverzeichnis"/>
      </w:pPr>
      <w:r>
        <w:t xml:space="preserve">11.</w:t>
      </w:r>
      <w:r>
        <w:t xml:space="preserve"> </w:t>
      </w:r>
      <w:r>
        <w:t xml:space="preserve">	</w:t>
      </w:r>
      <w:r>
        <w:t xml:space="preserve">Ho, M. K., Littman, M., MacGlashan, J., Cushman, F. &amp; Austerweil, J. L. Showing versus doing:</w:t>
      </w:r>
      <w:r>
        <w:t xml:space="preserve"> </w:t>
      </w:r>
      <w:r>
        <w:t xml:space="preserve">Teaching</w:t>
      </w:r>
      <w:r>
        <w:t xml:space="preserve"> </w:t>
      </w:r>
      <w:r>
        <w:t xml:space="preserve">by demonstration. in</w:t>
      </w:r>
      <w:r>
        <w:t xml:space="preserve"> </w:t>
      </w:r>
      <w:r>
        <w:rPr>
          <w:iCs/>
          <w:i/>
        </w:rPr>
        <w:t xml:space="preserve">Advances in neural information processing systems 29</w:t>
      </w:r>
      <w:r>
        <w:t xml:space="preserve"> </w:t>
      </w:r>
      <w:r>
        <w:t xml:space="preserve">(eds. Lee, D. D., Sugiyama, M., Luxburg, U. V., Guyon, I. &amp; Garnett, R.) 3027–3035 (</w:t>
      </w:r>
      <w:r>
        <w:t xml:space="preserve">Curran Associates, Inc.</w:t>
      </w:r>
      <w:r>
        <w:t xml:space="preserve">, 2016).</w:t>
      </w:r>
    </w:p>
    <w:bookmarkEnd w:id="105"/>
    <w:bookmarkStart w:id="107" w:name="ref-sloboda_2000"/>
    <w:p>
      <w:pPr>
        <w:pStyle w:val="Literaturverzeichnis"/>
      </w:pPr>
      <w:r>
        <w:t xml:space="preserve">12.</w:t>
      </w:r>
      <w:r>
        <w:t xml:space="preserve"> </w:t>
      </w:r>
      <w:r>
        <w:t xml:space="preserve">	</w:t>
      </w:r>
      <w:r>
        <w:t xml:space="preserve">Sloboda, J. A.</w:t>
      </w:r>
      <w:r>
        <w:t xml:space="preserve"> </w:t>
      </w:r>
      <w:hyperlink r:id="rId106">
        <w:r>
          <w:rPr>
            <w:rStyle w:val="Hyperlink"/>
          </w:rPr>
          <w:t xml:space="preserve">Individual differences in music performance</w:t>
        </w:r>
      </w:hyperlink>
      <w:r>
        <w:t xml:space="preserve">.</w:t>
      </w:r>
      <w:r>
        <w:t xml:space="preserve"> </w:t>
      </w:r>
      <w:r>
        <w:rPr>
          <w:iCs/>
          <w:i/>
        </w:rPr>
        <w:t xml:space="preserve">Trends in Cognitive Sciences</w:t>
      </w:r>
      <w:r>
        <w:t xml:space="preserve"> </w:t>
      </w:r>
      <w:r>
        <w:rPr>
          <w:bCs/>
          <w:b/>
        </w:rPr>
        <w:t xml:space="preserve">4</w:t>
      </w:r>
      <w:r>
        <w:t xml:space="preserve">, 397–403 (2000).</w:t>
      </w:r>
    </w:p>
    <w:bookmarkEnd w:id="107"/>
    <w:bookmarkStart w:id="109" w:name="ref-juslin_2003"/>
    <w:p>
      <w:pPr>
        <w:pStyle w:val="Literaturverzeichnis"/>
      </w:pPr>
      <w:r>
        <w:t xml:space="preserve">13.</w:t>
      </w:r>
      <w:r>
        <w:t xml:space="preserve"> </w:t>
      </w:r>
      <w:r>
        <w:t xml:space="preserve">	</w:t>
      </w:r>
      <w:r>
        <w:t xml:space="preserve">Juslin, P. N.</w:t>
      </w:r>
      <w:r>
        <w:t xml:space="preserve"> </w:t>
      </w:r>
      <w:hyperlink r:id="rId108">
        <w:r>
          <w:rPr>
            <w:rStyle w:val="Hyperlink"/>
          </w:rPr>
          <w:t xml:space="preserve">Five</w:t>
        </w:r>
        <w:r>
          <w:rPr>
            <w:rStyle w:val="Hyperlink"/>
          </w:rPr>
          <w:t xml:space="preserve"> </w:t>
        </w:r>
        <w:r>
          <w:rPr>
            <w:rStyle w:val="Hyperlink"/>
          </w:rPr>
          <w:t xml:space="preserve">Facets</w:t>
        </w:r>
        <w:r>
          <w:rPr>
            <w:rStyle w:val="Hyperlink"/>
          </w:rPr>
          <w:t xml:space="preserve"> </w:t>
        </w:r>
        <w:r>
          <w:rPr>
            <w:rStyle w:val="Hyperlink"/>
          </w:rPr>
          <w:t xml:space="preserve">of</w:t>
        </w:r>
        <w:r>
          <w:rPr>
            <w:rStyle w:val="Hyperlink"/>
          </w:rPr>
          <w:t xml:space="preserve"> </w:t>
        </w:r>
        <w:r>
          <w:rPr>
            <w:rStyle w:val="Hyperlink"/>
          </w:rPr>
          <w:t xml:space="preserve">Musical Expression</w:t>
        </w:r>
        <w:r>
          <w:rPr>
            <w:rStyle w:val="Hyperlink"/>
          </w:rPr>
          <w:t xml:space="preserve">:</w:t>
        </w:r>
        <w:r>
          <w:rPr>
            <w:rStyle w:val="Hyperlink"/>
          </w:rPr>
          <w:t xml:space="preserve"> </w:t>
        </w:r>
        <w:r>
          <w:rPr>
            <w:rStyle w:val="Hyperlink"/>
          </w:rPr>
          <w:t xml:space="preserve">A Psychologist</w:t>
        </w:r>
        <w:r>
          <w:rPr>
            <w:rStyle w:val="Hyperlink"/>
          </w:rPr>
          <w:t xml:space="preserve">’s</w:t>
        </w:r>
        <w:r>
          <w:rPr>
            <w:rStyle w:val="Hyperlink"/>
          </w:rPr>
          <w:t xml:space="preserve"> </w:t>
        </w:r>
        <w:r>
          <w:rPr>
            <w:rStyle w:val="Hyperlink"/>
          </w:rPr>
          <w:t xml:space="preserve">Perspective</w:t>
        </w:r>
        <w:r>
          <w:rPr>
            <w:rStyle w:val="Hyperlink"/>
          </w:rPr>
          <w:t xml:space="preserve"> </w:t>
        </w:r>
        <w:r>
          <w:rPr>
            <w:rStyle w:val="Hyperlink"/>
          </w:rPr>
          <w:t xml:space="preserve">on</w:t>
        </w:r>
        <w:r>
          <w:rPr>
            <w:rStyle w:val="Hyperlink"/>
          </w:rPr>
          <w:t xml:space="preserve"> </w:t>
        </w:r>
        <w:r>
          <w:rPr>
            <w:rStyle w:val="Hyperlink"/>
          </w:rPr>
          <w:t xml:space="preserve">Music Performance</w:t>
        </w:r>
      </w:hyperlink>
      <w:r>
        <w:t xml:space="preserve">.</w:t>
      </w:r>
      <w:r>
        <w:t xml:space="preserve"> </w:t>
      </w:r>
      <w:r>
        <w:rPr>
          <w:iCs/>
          <w:i/>
        </w:rPr>
        <w:t xml:space="preserve">Psychology of Music</w:t>
      </w:r>
      <w:r>
        <w:t xml:space="preserve"> </w:t>
      </w:r>
      <w:r>
        <w:rPr>
          <w:bCs/>
          <w:b/>
        </w:rPr>
        <w:t xml:space="preserve">31</w:t>
      </w:r>
      <w:r>
        <w:t xml:space="preserve">, 273–302 (2003).</w:t>
      </w:r>
    </w:p>
    <w:bookmarkEnd w:id="109"/>
    <w:bookmarkStart w:id="111" w:name="ref-bresin_2000"/>
    <w:p>
      <w:pPr>
        <w:pStyle w:val="Literaturverzeichnis"/>
      </w:pPr>
      <w:r>
        <w:t xml:space="preserve">14.</w:t>
      </w:r>
      <w:r>
        <w:t xml:space="preserve"> </w:t>
      </w:r>
      <w:r>
        <w:t xml:space="preserve">	</w:t>
      </w:r>
      <w:r>
        <w:t xml:space="preserve">Bresin, R. &amp; Battel, G. U.</w:t>
      </w:r>
      <w:r>
        <w:t xml:space="preserve"> </w:t>
      </w:r>
      <w:hyperlink r:id="rId110">
        <w:r>
          <w:rPr>
            <w:rStyle w:val="Hyperlink"/>
          </w:rPr>
          <w:t xml:space="preserve">Articulation</w:t>
        </w:r>
        <w:r>
          <w:rPr>
            <w:rStyle w:val="Hyperlink"/>
          </w:rPr>
          <w:t xml:space="preserve"> </w:t>
        </w:r>
        <w:r>
          <w:rPr>
            <w:rStyle w:val="Hyperlink"/>
          </w:rPr>
          <w:t xml:space="preserve">Strategies</w:t>
        </w:r>
        <w:r>
          <w:rPr>
            <w:rStyle w:val="Hyperlink"/>
          </w:rPr>
          <w:t xml:space="preserve"> </w:t>
        </w:r>
        <w:r>
          <w:rPr>
            <w:rStyle w:val="Hyperlink"/>
          </w:rPr>
          <w:t xml:space="preserve">in</w:t>
        </w:r>
        <w:r>
          <w:rPr>
            <w:rStyle w:val="Hyperlink"/>
          </w:rPr>
          <w:t xml:space="preserve"> </w:t>
        </w:r>
        <w:r>
          <w:rPr>
            <w:rStyle w:val="Hyperlink"/>
          </w:rPr>
          <w:t xml:space="preserve">Expressive Piano Performance Analysis</w:t>
        </w:r>
        <w:r>
          <w:rPr>
            <w:rStyle w:val="Hyperlink"/>
          </w:rPr>
          <w:t xml:space="preserve"> </w:t>
        </w:r>
        <w:r>
          <w:rPr>
            <w:rStyle w:val="Hyperlink"/>
          </w:rPr>
          <w:t xml:space="preserve">of</w:t>
        </w:r>
        <w:r>
          <w:rPr>
            <w:rStyle w:val="Hyperlink"/>
          </w:rPr>
          <w:t xml:space="preserve"> </w:t>
        </w:r>
        <w:r>
          <w:rPr>
            <w:rStyle w:val="Hyperlink"/>
          </w:rPr>
          <w:t xml:space="preserve">Legato</w:t>
        </w:r>
        <w:r>
          <w:rPr>
            <w:rStyle w:val="Hyperlink"/>
          </w:rPr>
          <w:t xml:space="preserve">,</w:t>
        </w:r>
        <w:r>
          <w:rPr>
            <w:rStyle w:val="Hyperlink"/>
          </w:rPr>
          <w:t xml:space="preserve"> </w:t>
        </w:r>
        <w:r>
          <w:rPr>
            <w:rStyle w:val="Hyperlink"/>
          </w:rPr>
          <w:t xml:space="preserve">Staccato</w:t>
        </w:r>
        <w:r>
          <w:rPr>
            <w:rStyle w:val="Hyperlink"/>
          </w:rPr>
          <w:t xml:space="preserve">, and</w:t>
        </w:r>
        <w:r>
          <w:rPr>
            <w:rStyle w:val="Hyperlink"/>
          </w:rPr>
          <w:t xml:space="preserve"> </w:t>
        </w:r>
        <w:r>
          <w:rPr>
            <w:rStyle w:val="Hyperlink"/>
          </w:rPr>
          <w:t xml:space="preserve">Repeated Notes</w:t>
        </w:r>
        <w:r>
          <w:rPr>
            <w:rStyle w:val="Hyperlink"/>
          </w:rPr>
          <w:t xml:space="preserve"> </w:t>
        </w:r>
        <w:r>
          <w:rPr>
            <w:rStyle w:val="Hyperlink"/>
          </w:rPr>
          <w:t xml:space="preserve">in</w:t>
        </w:r>
        <w:r>
          <w:rPr>
            <w:rStyle w:val="Hyperlink"/>
          </w:rPr>
          <w:t xml:space="preserve"> </w:t>
        </w:r>
        <w:r>
          <w:rPr>
            <w:rStyle w:val="Hyperlink"/>
          </w:rPr>
          <w:t xml:space="preserve">Performances</w:t>
        </w:r>
        <w:r>
          <w:rPr>
            <w:rStyle w:val="Hyperlink"/>
          </w:rPr>
          <w:t xml:space="preserve"> </w:t>
        </w:r>
        <w:r>
          <w:rPr>
            <w:rStyle w:val="Hyperlink"/>
          </w:rPr>
          <w:t xml:space="preserve">of the</w:t>
        </w:r>
        <w:r>
          <w:rPr>
            <w:rStyle w:val="Hyperlink"/>
          </w:rPr>
          <w:t xml:space="preserve"> </w:t>
        </w:r>
        <w:r>
          <w:rPr>
            <w:rStyle w:val="Hyperlink"/>
          </w:rPr>
          <w:t xml:space="preserve">Andante Movement</w:t>
        </w:r>
        <w:r>
          <w:rPr>
            <w:rStyle w:val="Hyperlink"/>
          </w:rPr>
          <w:t xml:space="preserve"> </w:t>
        </w:r>
        <w:r>
          <w:rPr>
            <w:rStyle w:val="Hyperlink"/>
          </w:rPr>
          <w:t xml:space="preserve">of</w:t>
        </w:r>
        <w:r>
          <w:rPr>
            <w:rStyle w:val="Hyperlink"/>
          </w:rPr>
          <w:t xml:space="preserve"> </w:t>
        </w:r>
        <w:r>
          <w:rPr>
            <w:rStyle w:val="Hyperlink"/>
          </w:rPr>
          <w:t xml:space="preserve">Mozart</w:t>
        </w:r>
        <w:r>
          <w:rPr>
            <w:rStyle w:val="Hyperlink"/>
          </w:rPr>
          <w:t xml:space="preserve">’s</w:t>
        </w:r>
        <w:r>
          <w:rPr>
            <w:rStyle w:val="Hyperlink"/>
          </w:rPr>
          <w:t xml:space="preserve"> </w:t>
        </w:r>
        <w:r>
          <w:rPr>
            <w:rStyle w:val="Hyperlink"/>
          </w:rPr>
          <w:t xml:space="preserve">Sonata</w:t>
        </w:r>
        <w:r>
          <w:rPr>
            <w:rStyle w:val="Hyperlink"/>
          </w:rPr>
          <w:t xml:space="preserve"> </w:t>
        </w:r>
        <w:r>
          <w:rPr>
            <w:rStyle w:val="Hyperlink"/>
          </w:rPr>
          <w:t xml:space="preserve">in</w:t>
        </w:r>
        <w:r>
          <w:rPr>
            <w:rStyle w:val="Hyperlink"/>
          </w:rPr>
          <w:t xml:space="preserve"> </w:t>
        </w:r>
        <w:r>
          <w:rPr>
            <w:rStyle w:val="Hyperlink"/>
          </w:rPr>
          <w:t xml:space="preserve">G Major</w:t>
        </w:r>
        <w:r>
          <w:rPr>
            <w:rStyle w:val="Hyperlink"/>
          </w:rPr>
          <w:t xml:space="preserve"> </w:t>
        </w:r>
        <w:r>
          <w:rPr>
            <w:rStyle w:val="Hyperlink"/>
          </w:rPr>
          <w:t xml:space="preserve">(</w:t>
        </w:r>
        <w:r>
          <w:rPr>
            <w:rStyle w:val="Hyperlink"/>
          </w:rPr>
          <w:t xml:space="preserve">K</w:t>
        </w:r>
        <w:r>
          <w:rPr>
            <w:rStyle w:val="Hyperlink"/>
          </w:rPr>
          <w:t xml:space="preserve"> </w:t>
        </w:r>
        <w:r>
          <w:rPr>
            <w:rStyle w:val="Hyperlink"/>
          </w:rPr>
          <w:t xml:space="preserve">545)</w:t>
        </w:r>
      </w:hyperlink>
      <w:r>
        <w:t xml:space="preserve">.</w:t>
      </w:r>
      <w:r>
        <w:t xml:space="preserve"> </w:t>
      </w:r>
      <w:r>
        <w:rPr>
          <w:iCs/>
          <w:i/>
        </w:rPr>
        <w:t xml:space="preserve">Journal of New Music Research</w:t>
      </w:r>
      <w:r>
        <w:t xml:space="preserve"> </w:t>
      </w:r>
      <w:r>
        <w:rPr>
          <w:bCs/>
          <w:b/>
        </w:rPr>
        <w:t xml:space="preserve">29</w:t>
      </w:r>
      <w:r>
        <w:t xml:space="preserve">, 211–224 (2000).</w:t>
      </w:r>
    </w:p>
    <w:bookmarkEnd w:id="111"/>
    <w:bookmarkStart w:id="113" w:name="ref-lindstrom_2003"/>
    <w:p>
      <w:pPr>
        <w:pStyle w:val="Literaturverzeichnis"/>
      </w:pPr>
      <w:r>
        <w:t xml:space="preserve">15.</w:t>
      </w:r>
      <w:r>
        <w:t xml:space="preserve"> </w:t>
      </w:r>
      <w:r>
        <w:t xml:space="preserve">	</w:t>
      </w:r>
      <w:r>
        <w:t xml:space="preserve">Lindström, E., Juslin, P. N., Bresin, R. &amp; Williamon, A.</w:t>
      </w:r>
      <w:r>
        <w:t xml:space="preserve"> </w:t>
      </w:r>
      <w:hyperlink r:id="rId112">
        <w:r>
          <w:rPr>
            <w:rStyle w:val="Hyperlink"/>
          </w:rPr>
          <w:t xml:space="preserve">‘</w:t>
        </w:r>
        <w:r>
          <w:rPr>
            <w:rStyle w:val="Hyperlink"/>
          </w:rPr>
          <w:t xml:space="preserve">Expressivity</w:t>
        </w:r>
        <w:r>
          <w:rPr>
            <w:rStyle w:val="Hyperlink"/>
          </w:rPr>
          <w:t xml:space="preserve"> </w:t>
        </w:r>
        <w:r>
          <w:rPr>
            <w:rStyle w:val="Hyperlink"/>
          </w:rPr>
          <w:t xml:space="preserve">comes from within your soul’</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questionnaire study of music students’ perspectives on expressivity</w:t>
        </w:r>
      </w:hyperlink>
      <w:r>
        <w:t xml:space="preserve">.</w:t>
      </w:r>
      <w:r>
        <w:t xml:space="preserve"> </w:t>
      </w:r>
      <w:r>
        <w:rPr>
          <w:iCs/>
          <w:i/>
        </w:rPr>
        <w:t xml:space="preserve">Research Studies in Music Education</w:t>
      </w:r>
      <w:r>
        <w:t xml:space="preserve"> </w:t>
      </w:r>
      <w:r>
        <w:rPr>
          <w:bCs/>
          <w:b/>
        </w:rPr>
        <w:t xml:space="preserve">20</w:t>
      </w:r>
      <w:r>
        <w:t xml:space="preserve">, 23–47 (2003).</w:t>
      </w:r>
    </w:p>
    <w:bookmarkEnd w:id="113"/>
    <w:bookmarkStart w:id="115" w:name="ref-okazaki_2019"/>
    <w:p>
      <w:pPr>
        <w:pStyle w:val="Literaturverzeichnis"/>
      </w:pPr>
      <w:r>
        <w:t xml:space="preserve">16.</w:t>
      </w:r>
      <w:r>
        <w:t xml:space="preserve"> </w:t>
      </w:r>
      <w:r>
        <w:t xml:space="preserve">	</w:t>
      </w:r>
      <w:r>
        <w:t xml:space="preserve">Okazaki, S., Muraoka, Y. &amp; Osu, R.</w:t>
      </w:r>
      <w:r>
        <w:t xml:space="preserve"> </w:t>
      </w:r>
      <w:hyperlink r:id="rId114">
        <w:r>
          <w:rPr>
            <w:rStyle w:val="Hyperlink"/>
          </w:rPr>
          <w:t xml:space="preserve">Teacher-learner interaction quantifies scaffolding behaviour in imitation learning</w:t>
        </w:r>
      </w:hyperlink>
      <w:r>
        <w:t xml:space="preserve">.</w:t>
      </w:r>
      <w:r>
        <w:t xml:space="preserve"> </w:t>
      </w:r>
      <w:r>
        <w:rPr>
          <w:iCs/>
          <w:i/>
        </w:rPr>
        <w:t xml:space="preserve">Sci Rep</w:t>
      </w:r>
      <w:r>
        <w:t xml:space="preserve"> </w:t>
      </w:r>
      <w:r>
        <w:rPr>
          <w:bCs/>
          <w:b/>
        </w:rPr>
        <w:t xml:space="preserve">9</w:t>
      </w:r>
      <w:r>
        <w:t xml:space="preserve">, 1–13 (2019).</w:t>
      </w:r>
    </w:p>
    <w:bookmarkEnd w:id="115"/>
    <w:bookmarkStart w:id="116" w:name="ref-sperber_1995"/>
    <w:p>
      <w:pPr>
        <w:pStyle w:val="Literaturverzeichnis"/>
      </w:pPr>
      <w:r>
        <w:t xml:space="preserve">17.</w:t>
      </w:r>
      <w:r>
        <w:t xml:space="preserve"> </w:t>
      </w:r>
      <w:r>
        <w:t xml:space="preserve">	</w:t>
      </w:r>
      <w:r>
        <w:t xml:space="preserve">Sperber, D. &amp; Wilson, D.</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 (</w:t>
      </w:r>
      <w:r>
        <w:t xml:space="preserve">Blackwell Publishing</w:t>
      </w:r>
      <w:r>
        <w:t xml:space="preserve">, 1995).</w:t>
      </w:r>
    </w:p>
    <w:bookmarkEnd w:id="116"/>
    <w:bookmarkEnd w:id="117"/>
    <w:bookmarkEnd w:id="118"/>
    <w:bookmarkStart w:id="119" w:name="acknowledgements"/>
    <w:p>
      <w:pPr>
        <w:pStyle w:val="berschrift1"/>
      </w:pPr>
      <w:r>
        <w:t xml:space="preserve">Acknowledgements</w:t>
      </w:r>
    </w:p>
    <w:p>
      <w:pPr>
        <w:pStyle w:val="FirstParagraph"/>
      </w:pPr>
      <w:r>
        <w:t xml:space="preserve">This research was supported by the European Research Council under the European Union’s Seventh Framework Program (FP7/2007–2013)/ERC Grant agreement no. 609819, SOMICS, and by ERC Grant agreement no. 616072, JAXPERTISE. We thank Dávid Csűrös for his help with data collection.</w:t>
      </w:r>
    </w:p>
    <w:bookmarkEnd w:id="119"/>
    <w:bookmarkStart w:id="120" w:name="author-contributions"/>
    <w:p>
      <w:pPr>
        <w:pStyle w:val="berschrift1"/>
      </w:pPr>
      <w:r>
        <w:t xml:space="preserve">Author contributions</w:t>
      </w:r>
    </w:p>
    <w:p>
      <w:pPr>
        <w:pStyle w:val="FirstParagraph"/>
      </w:pPr>
      <w:r>
        <w:t xml:space="preserve">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bookmarkEnd w:id="120"/>
    <w:bookmarkStart w:id="122" w:name="data-availability-statement"/>
    <w:p>
      <w:pPr>
        <w:pStyle w:val="berschrift1"/>
      </w:pPr>
      <w:r>
        <w:t xml:space="preserve">Data availability statement</w:t>
      </w:r>
    </w:p>
    <w:p>
      <w:pPr>
        <w:pStyle w:val="FirstParagraph"/>
      </w:pPr>
      <w:r>
        <w:t xml:space="preserve">All data is available at</w:t>
      </w:r>
      <w:r>
        <w:t xml:space="preserve"> </w:t>
      </w:r>
      <w:hyperlink r:id="rId121">
        <w:r>
          <w:rPr>
            <w:rStyle w:val="Hyperlink"/>
          </w:rPr>
          <w:t xml:space="preserve">https://osf.io/8nbjh/</w:t>
        </w:r>
      </w:hyperlink>
      <w:r>
        <w:t xml:space="preserve">.</w:t>
      </w:r>
    </w:p>
    <w:bookmarkEnd w:id="122"/>
    <w:bookmarkStart w:id="123" w:name="competing-interests"/>
    <w:p>
      <w:pPr>
        <w:pStyle w:val="berschrift1"/>
      </w:pPr>
      <w:r>
        <w:t xml:space="preserve">Competing interests</w:t>
      </w:r>
    </w:p>
    <w:p>
      <w:pPr>
        <w:pStyle w:val="FirstParagraph"/>
      </w:pPr>
      <w:r>
        <w:t xml:space="preserve">The authors declare no competing interests.</w:t>
      </w:r>
    </w:p>
    <w:bookmarkEnd w:id="123"/>
    <w:bookmarkStart w:id="124" w:name="supplementary"/>
    <w:p>
      <w:pPr>
        <w:pStyle w:val="berschrift1"/>
      </w:pPr>
      <w:r>
        <w:t xml:space="preserve">Supplementary material</w:t>
      </w:r>
    </w:p>
    <w:bookmarkEnd w:id="124"/>
    <w:bookmarkStart w:id="127" w:name="instructions"/>
    <w:p>
      <w:pPr>
        <w:pStyle w:val="berschrift1"/>
      </w:pPr>
      <w:r>
        <w:t xml:space="preserve">Instructions</w:t>
      </w:r>
    </w:p>
    <w:bookmarkStart w:id="125" w:name="experiment-1-1"/>
    <w:p>
      <w:pPr>
        <w:pStyle w:val="berschrift2"/>
      </w:pP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25"/>
    <w:bookmarkStart w:id="126" w:name="experiment-2-1"/>
    <w:p>
      <w:pPr>
        <w:pStyle w:val="berschrift2"/>
      </w:pP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26"/>
    <w:bookmarkEnd w:id="127"/>
    <w:bookmarkStart w:id="131" w:name="variability"/>
    <w:p>
      <w:pPr>
        <w:pStyle w:val="berschrift1"/>
      </w:pPr>
      <w:r>
        <w:t xml:space="preserve">Variability</w:t>
      </w:r>
    </w:p>
    <w:bookmarkStart w:id="128" w:name="data-analysis-2"/>
    <w:p>
      <w:pPr>
        <w:pStyle w:val="berschrift2"/>
      </w:pPr>
      <w:r>
        <w:t xml:space="preserve">Data analysis</w:t>
      </w:r>
    </w:p>
    <w:bookmarkEnd w:id="128"/>
    <w:bookmarkStart w:id="129" w:name="results-experiment-1"/>
    <w:p>
      <w:pPr>
        <w:pStyle w:val="berschrift2"/>
      </w:pPr>
      <w:r>
        <w:t xml:space="preserve">Results (Experiment 1)</w:t>
      </w:r>
    </w:p>
    <w:bookmarkEnd w:id="129"/>
    <w:bookmarkStart w:id="130" w:name="results-experiment-2"/>
    <w:p>
      <w:pPr>
        <w:pStyle w:val="berschrift2"/>
      </w:pPr>
      <w:r>
        <w:t xml:space="preserve">Results (Experiment 2)</w:t>
      </w:r>
    </w:p>
    <w:bookmarkEnd w:id="130"/>
    <w:bookmarkEnd w:id="13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hyperlink" Id="rId23" Target="https://cycling74.com/products/max" TargetMode="External" /><Relationship Type="http://schemas.openxmlformats.org/officeDocument/2006/relationships/hyperlink" Id="rId106"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14" Target="https://doi.org/10.1038/s41598-019-44049-x" TargetMode="External" /><Relationship Type="http://schemas.openxmlformats.org/officeDocument/2006/relationships/hyperlink" Id="rId110" Target="https://doi.org/10.1076/jnmr.29.3.211.3092"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08" Target="https://doi.org/10.1177/03057356030313003" TargetMode="External" /><Relationship Type="http://schemas.openxmlformats.org/officeDocument/2006/relationships/hyperlink" Id="rId112"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21" Target="https://osf.io/8nbjh/"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106"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14" Target="https://doi.org/10.1038/s41598-019-44049-x" TargetMode="External" /><Relationship Type="http://schemas.openxmlformats.org/officeDocument/2006/relationships/hyperlink" Id="rId110" Target="https://doi.org/10.1076/jnmr.29.3.211.3092"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08" Target="https://doi.org/10.1177/03057356030313003" TargetMode="External" /><Relationship Type="http://schemas.openxmlformats.org/officeDocument/2006/relationships/hyperlink" Id="rId112"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21" Target="https://osf.io/8nbjh/"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2022-06-24T14:23:00Z</dcterms:created>
  <dcterms:modified xsi:type="dcterms:W3CDTF">2022-06-24T14:23:00Z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sl">
    <vt:lpwstr>/Users/atsukotominaga/Google Drive/Project/music-teaching/paper/nature.csl</vt:lpwstr>
  </property>
  <property fmtid="{D5CDD505-2E9C-101B-9397-08002B2CF9AE}" pid="5" name="draft">
    <vt:lpwstr>False</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linenumbers">
    <vt:lpwstr>False</vt:lpwstr>
  </property>
  <property fmtid="{D5CDD505-2E9C-101B-9397-08002B2CF9AE}" pid="10" name="mask">
    <vt:lpwstr>False</vt:lpwstr>
  </property>
  <property fmtid="{D5CDD505-2E9C-101B-9397-08002B2CF9AE}" pid="11" name="output">
    <vt:lpwstr>papaja::apa6_word</vt:lpwstr>
  </property>
  <property fmtid="{D5CDD505-2E9C-101B-9397-08002B2CF9AE}" pid="12" name="shorttitle">
    <vt:lpwstr>The sound of teaching music</vt:lpwstr>
  </property>
  <property fmtid="{D5CDD505-2E9C-101B-9397-08002B2CF9AE}" pid="13" name="tablelist">
    <vt:lpwstr>False</vt:lpwstr>
  </property>
</Properties>
</file>