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Expert</w:t>
      </w:r>
      <w:r>
        <w:t xml:space="preserve"> </w:t>
      </w:r>
      <w:r>
        <w:t xml:space="preserve">pianists</w:t>
      </w:r>
      <w:r>
        <w:t xml:space="preserve"> </w:t>
      </w:r>
      <w:r>
        <w:t xml:space="preserve">make</w:t>
      </w:r>
      <w:r>
        <w:t xml:space="preserve"> </w:t>
      </w:r>
      <w:r>
        <w:t xml:space="preserve">specific</w:t>
      </w:r>
      <w:r>
        <w:t xml:space="preserve"> </w:t>
      </w:r>
      <w:r>
        <w:t xml:space="preserve">exaggerations</w:t>
      </w:r>
      <w:r>
        <w:t xml:space="preserve"> </w:t>
      </w:r>
      <w:r>
        <w:t xml:space="preserve">for</w:t>
      </w:r>
      <w:r>
        <w:t xml:space="preserve"> </w:t>
      </w:r>
      <w:r>
        <w:t xml:space="preserve">teaching</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generalise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Expert pianists make specific exaggerations for teaching</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second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15,16</w:t>
      </w:r>
      <w:r>
        <w:t xml:space="preserve"> </w:t>
      </w:r>
      <w:r>
        <w:t xml:space="preserve">and non-verbal bodily cues</w:t>
      </w:r>
      <w:r>
        <w:rPr>
          <w:vertAlign w:val="superscript"/>
        </w:rPr>
        <w:t xml:space="preserve">17</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a 4/4 metre.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18</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a 4/4 metre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shows that musicians have their own preferred tempo, which affects their temporal variability</w:t>
      </w:r>
      <w:r>
        <w:rPr>
          <w:vertAlign w:val="superscript"/>
        </w:rPr>
        <w:t xml:space="preserve">19</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post-hoc comparions did not find significant differences between the two conditions for each subcomponent.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20</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Materials</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rPr>
          <w:vertAlign w:val="superscript"/>
        </w:rPr>
        <w:t xml:space="preserve">21</w:t>
      </w:r>
      <w:r>
        <w:t xml:space="preserve">. In the present study, experts focused on the teaching of specific expressions that were notated. However, expression also has other facets</w:t>
      </w:r>
      <w:r>
        <w:rPr>
          <w:vertAlign w:val="superscript"/>
        </w:rPr>
        <w:t xml:space="preserve">22</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23</w:t>
      </w:r>
      <w:r>
        <w:t xml:space="preserve">. The current research opens up the possibility of studying the teaching of expressive performance by demonstrating that pianists could signal didactic intentions without relying on verbal instructions, which are heavily used in actual teaching settings</w:t>
      </w:r>
      <w:r>
        <w:rPr>
          <w:vertAlign w:val="superscript"/>
        </w:rPr>
        <w:t xml:space="preserve">15,24</w:t>
      </w:r>
      <w:r>
        <w:t xml:space="preserve">. Given that students often learn by listening to recordings</w:t>
      </w:r>
      <w:r>
        <w:rPr>
          <w:vertAlign w:val="superscript"/>
        </w:rPr>
        <w:t xml:space="preserve">25</w:t>
      </w:r>
      <w:r>
        <w:t xml:space="preserve">, it is important to investigate how performance itself could affect students’ learning processes. It would also be interesting to examine how teachers’ playing (i.e., demonstrations) relates to the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26</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woody_2006"/>
    <w:p>
      <w:pPr>
        <w:pStyle w:val="Literaturverzeichnis"/>
      </w:pPr>
      <w:r>
        <w:t xml:space="preserve">16.</w:t>
      </w:r>
      <w:r>
        <w:t xml:space="preserve"> </w:t>
      </w:r>
      <w:r>
        <w:t xml:space="preserve">	</w:t>
      </w:r>
      <w:r>
        <w:t xml:space="preserve">Woody, R. H.</w:t>
      </w:r>
      <w:r>
        <w:t xml:space="preserve"> </w:t>
      </w:r>
      <w:hyperlink r:id="rId114">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Various Instructional Conditions</w:t>
        </w:r>
        <w:r>
          <w:rPr>
            <w:rStyle w:val="Hyperlink"/>
          </w:rPr>
          <w:t xml:space="preserve"> </w:t>
        </w:r>
        <w:r>
          <w:rPr>
            <w:rStyle w:val="Hyperlink"/>
          </w:rPr>
          <w:t xml:space="preserve">on</w:t>
        </w:r>
        <w:r>
          <w:rPr>
            <w:rStyle w:val="Hyperlink"/>
          </w:rPr>
          <w:t xml:space="preserve"> </w:t>
        </w:r>
        <w:r>
          <w:rPr>
            <w:rStyle w:val="Hyperlink"/>
          </w:rPr>
          <w:t xml:space="preserve">Expressive Music Performance</w:t>
        </w:r>
      </w:hyperlink>
      <w:r>
        <w:t xml:space="preserve">.</w:t>
      </w:r>
      <w:r>
        <w:t xml:space="preserve"> </w:t>
      </w:r>
      <w:r>
        <w:rPr>
          <w:iCs/>
          <w:i/>
        </w:rPr>
        <w:t xml:space="preserve">Journal of Research in Music Education</w:t>
      </w:r>
      <w:r>
        <w:t xml:space="preserve"> </w:t>
      </w:r>
      <w:r>
        <w:rPr>
          <w:bCs/>
          <w:b/>
        </w:rPr>
        <w:t xml:space="preserve">54</w:t>
      </w:r>
      <w:r>
        <w:t xml:space="preserve">, 21–36 (2006).</w:t>
      </w:r>
    </w:p>
    <w:bookmarkEnd w:id="115"/>
    <w:bookmarkStart w:id="117" w:name="ref-simones_2015"/>
    <w:p>
      <w:pPr>
        <w:pStyle w:val="Literaturverzeichnis"/>
      </w:pPr>
      <w:r>
        <w:t xml:space="preserve">17.</w:t>
      </w:r>
      <w:r>
        <w:t xml:space="preserve"> </w:t>
      </w:r>
      <w:r>
        <w:t xml:space="preserve">	</w:t>
      </w:r>
      <w:r>
        <w:t xml:space="preserve">Simones, L., Schroeder, F. &amp; Rodger, M.</w:t>
      </w:r>
      <w:r>
        <w:t xml:space="preserve"> </w:t>
      </w:r>
      <w:hyperlink r:id="rId116">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7"/>
    <w:bookmarkStart w:id="119" w:name="ref-bresin_2000"/>
    <w:p>
      <w:pPr>
        <w:pStyle w:val="Literaturverzeichnis"/>
      </w:pPr>
      <w:r>
        <w:t xml:space="preserve">18.</w:t>
      </w:r>
      <w:r>
        <w:t xml:space="preserve"> </w:t>
      </w:r>
      <w:r>
        <w:t xml:space="preserve">	</w:t>
      </w:r>
      <w:r>
        <w:t xml:space="preserve">Bresin, R. &amp; Battel, G. U.</w:t>
      </w:r>
      <w:r>
        <w:t xml:space="preserve"> </w:t>
      </w:r>
      <w:hyperlink r:id="rId118">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9"/>
    <w:bookmarkStart w:id="121" w:name="ref-zamm_2018"/>
    <w:p>
      <w:pPr>
        <w:pStyle w:val="Literaturverzeichnis"/>
      </w:pPr>
      <w:r>
        <w:t xml:space="preserve">19.</w:t>
      </w:r>
      <w:r>
        <w:t xml:space="preserve"> </w:t>
      </w:r>
      <w:r>
        <w:t xml:space="preserve">	</w:t>
      </w:r>
      <w:r>
        <w:t xml:space="preserve">Zamm, A., Wang, Y. &amp; Palmer, C.</w:t>
      </w:r>
      <w:r>
        <w:t xml:space="preserve"> </w:t>
      </w:r>
      <w:hyperlink r:id="rId120">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21"/>
    <w:bookmarkStart w:id="123" w:name="ref-okazaki_2019"/>
    <w:p>
      <w:pPr>
        <w:pStyle w:val="Literaturverzeichnis"/>
      </w:pPr>
      <w:r>
        <w:t xml:space="preserve">20.</w:t>
      </w:r>
      <w:r>
        <w:t xml:space="preserve"> </w:t>
      </w:r>
      <w:r>
        <w:t xml:space="preserve">	</w:t>
      </w:r>
      <w:r>
        <w:t xml:space="preserve">Okazaki, S., Muraoka, Y. &amp; Osu, R.</w:t>
      </w:r>
      <w:r>
        <w:t xml:space="preserve"> </w:t>
      </w:r>
      <w:hyperlink r:id="rId122">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3"/>
    <w:bookmarkStart w:id="125" w:name="ref-lindstrom_2003"/>
    <w:p>
      <w:pPr>
        <w:pStyle w:val="Literaturverzeichnis"/>
      </w:pPr>
      <w:r>
        <w:t xml:space="preserve">21.</w:t>
      </w:r>
      <w:r>
        <w:t xml:space="preserve"> </w:t>
      </w:r>
      <w:r>
        <w:t xml:space="preserve">	</w:t>
      </w:r>
      <w:r>
        <w:t xml:space="preserve">Lindström, E., Juslin, P. N., Bresin, R. &amp; Williamon, A.</w:t>
      </w:r>
      <w:r>
        <w:t xml:space="preserve"> </w:t>
      </w:r>
      <w:hyperlink r:id="rId124">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5"/>
    <w:bookmarkStart w:id="127" w:name="ref-juslin_2003"/>
    <w:p>
      <w:pPr>
        <w:pStyle w:val="Literaturverzeichnis"/>
      </w:pPr>
      <w:r>
        <w:t xml:space="preserve">22.</w:t>
      </w:r>
      <w:r>
        <w:t xml:space="preserve"> </w:t>
      </w:r>
      <w:r>
        <w:t xml:space="preserve">	</w:t>
      </w:r>
      <w:r>
        <w:t xml:space="preserve">Juslin, P. N.</w:t>
      </w:r>
      <w:r>
        <w:t xml:space="preserve"> </w:t>
      </w:r>
      <w:hyperlink r:id="rId126">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7"/>
    <w:bookmarkStart w:id="128" w:name="ref-meissner_2021"/>
    <w:p>
      <w:pPr>
        <w:pStyle w:val="Literaturverzeichnis"/>
      </w:pPr>
      <w:r>
        <w:t xml:space="preserve">23.</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8"/>
    <w:bookmarkStart w:id="130" w:name="ref-colprit_2000"/>
    <w:p>
      <w:pPr>
        <w:pStyle w:val="Literaturverzeichnis"/>
      </w:pPr>
      <w:r>
        <w:t xml:space="preserve">24.</w:t>
      </w:r>
      <w:r>
        <w:t xml:space="preserve"> </w:t>
      </w:r>
      <w:r>
        <w:t xml:space="preserve">	</w:t>
      </w:r>
      <w:r>
        <w:t xml:space="preserve">Colprit, E. J.</w:t>
      </w:r>
      <w:r>
        <w:t xml:space="preserve"> </w:t>
      </w:r>
      <w:hyperlink r:id="rId129">
        <w:r>
          <w:rPr>
            <w:rStyle w:val="Hyperlink"/>
          </w:rPr>
          <w:t xml:space="preserve">Observation and</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Suzuki String Teaching</w:t>
        </w:r>
      </w:hyperlink>
      <w:r>
        <w:t xml:space="preserve">.</w:t>
      </w:r>
      <w:r>
        <w:t xml:space="preserve"> </w:t>
      </w:r>
      <w:r>
        <w:rPr>
          <w:iCs/>
          <w:i/>
        </w:rPr>
        <w:t xml:space="preserve">Journal of Research in Music Education</w:t>
      </w:r>
      <w:r>
        <w:t xml:space="preserve"> </w:t>
      </w:r>
      <w:r>
        <w:rPr>
          <w:bCs/>
          <w:b/>
        </w:rPr>
        <w:t xml:space="preserve">48</w:t>
      </w:r>
      <w:r>
        <w:t xml:space="preserve">, 206–221 (2000).</w:t>
      </w:r>
    </w:p>
    <w:bookmarkEnd w:id="130"/>
    <w:bookmarkStart w:id="132" w:name="ref-volioti_2017"/>
    <w:p>
      <w:pPr>
        <w:pStyle w:val="Literaturverzeichnis"/>
      </w:pPr>
      <w:r>
        <w:t xml:space="preserve">25.</w:t>
      </w:r>
      <w:r>
        <w:t xml:space="preserve"> </w:t>
      </w:r>
      <w:r>
        <w:t xml:space="preserve">	</w:t>
      </w:r>
      <w:r>
        <w:t xml:space="preserve">Volioti, G. &amp; Williamon, A.</w:t>
      </w:r>
      <w:r>
        <w:t xml:space="preserve"> </w:t>
      </w:r>
      <w:hyperlink r:id="rId131">
        <w:r>
          <w:rPr>
            <w:rStyle w:val="Hyperlink"/>
          </w:rPr>
          <w:t xml:space="preserve">Recordings as learning and practising resources for performance:</w:t>
        </w:r>
        <w:r>
          <w:rPr>
            <w:rStyle w:val="Hyperlink"/>
          </w:rPr>
          <w:t xml:space="preserve"> </w:t>
        </w:r>
        <w:r>
          <w:rPr>
            <w:rStyle w:val="Hyperlink"/>
          </w:rPr>
          <w:t xml:space="preserve">Exploring</w:t>
        </w:r>
        <w:r>
          <w:rPr>
            <w:rStyle w:val="Hyperlink"/>
          </w:rPr>
          <w:t xml:space="preserve"> </w:t>
        </w:r>
        <w:r>
          <w:rPr>
            <w:rStyle w:val="Hyperlink"/>
          </w:rPr>
          <w:t xml:space="preserve">attitudes and behaviours of music students and professionals</w:t>
        </w:r>
      </w:hyperlink>
      <w:r>
        <w:t xml:space="preserve">.</w:t>
      </w:r>
      <w:r>
        <w:t xml:space="preserve"> </w:t>
      </w:r>
      <w:r>
        <w:rPr>
          <w:iCs/>
          <w:i/>
        </w:rPr>
        <w:t xml:space="preserve">Musicae Scientiae</w:t>
      </w:r>
      <w:r>
        <w:t xml:space="preserve"> </w:t>
      </w:r>
      <w:r>
        <w:rPr>
          <w:bCs/>
          <w:b/>
        </w:rPr>
        <w:t xml:space="preserve">21</w:t>
      </w:r>
      <w:r>
        <w:t xml:space="preserve">, 499–523 (2017).</w:t>
      </w:r>
    </w:p>
    <w:bookmarkEnd w:id="132"/>
    <w:bookmarkStart w:id="133" w:name="ref-sperber_1995"/>
    <w:p>
      <w:pPr>
        <w:pStyle w:val="Literaturverzeichnis"/>
      </w:pPr>
      <w:r>
        <w:t xml:space="preserve">26.</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with and without teaching experience in piano.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left: legato, right: staccato).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left: forte, right: piano).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left: legato, right: staccato).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left: forte, right: piano).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0.31,</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EXPERT PIANISTS MAKE SPECIFIC EXAGGERATIONS FOR TEACHING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EXPERT PIANISTS MAKE SPECIFIC EXAGGERATIONS FOR TEACHING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2" Target="https://doi.org/10.1038/s41598-019-44049-x" TargetMode="External" /><Relationship Type="http://schemas.openxmlformats.org/officeDocument/2006/relationships/hyperlink" Id="rId118"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14" Target="https://doi.org/10.1177/002242940605400103" TargetMode="External" /><Relationship Type="http://schemas.openxmlformats.org/officeDocument/2006/relationships/hyperlink" Id="rId126" Target="https://doi.org/10.1177/03057356030313003" TargetMode="External" /><Relationship Type="http://schemas.openxmlformats.org/officeDocument/2006/relationships/hyperlink" Id="rId116" Target="https://doi.org/10.1177/0305735613498918" TargetMode="External" /><Relationship Type="http://schemas.openxmlformats.org/officeDocument/2006/relationships/hyperlink" Id="rId120" Target="https://doi.org/10.1177/0748730418783651" TargetMode="External" /><Relationship Type="http://schemas.openxmlformats.org/officeDocument/2006/relationships/hyperlink" Id="rId131" Target="https://doi.org/10.1177/1029864916674048" TargetMode="External" /><Relationship Type="http://schemas.openxmlformats.org/officeDocument/2006/relationships/hyperlink" Id="rId112" Target="https://doi.org/10.1177/1321103X0001400102" TargetMode="External" /><Relationship Type="http://schemas.openxmlformats.org/officeDocument/2006/relationships/hyperlink" Id="rId124"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29"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pianists make specific exaggerations for teaching</dc:title>
  <dc:creator/>
  <cp:keywords/>
  <dcterms:created xsi:type="dcterms:W3CDTF">2023-01-06T20:43:58Z</dcterms:created>
  <dcterms:modified xsi:type="dcterms:W3CDTF">2023-01-06T20:43:58Z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/Users/atsukotominaga/PhD/Project/music-teaching/paper/nature.csl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Expert pianists make specific exaggerations for teaching</vt:lpwstr>
  </property>
  <property fmtid="{D5CDD505-2E9C-101B-9397-08002B2CF9AE}" pid="13" name="tablelist">
    <vt:lpwstr>False</vt:lpwstr>
  </property>
</Properties>
</file>