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43.png" ContentType="image/png"/>
  <Override PartName="/word/media/rId41.png" ContentType="image/png"/>
  <Override PartName="/word/media/rId70.png" ContentType="image/png"/>
  <Override PartName="/word/media/rId73.png" ContentType="image/png"/>
  <Override PartName="/word/media/rId44.png" ContentType="image/png"/>
  <Override PartName="/word/media/rId154.png" ContentType="image/png"/>
  <Override PartName="/word/media/rId47.png" ContentType="image/png"/>
  <Override PartName="/word/media/rId76.png" ContentType="image/png"/>
  <Override PartName="/word/media/rId79.png" ContentType="image/png"/>
  <Override PartName="/word/media/rId162.png" ContentType="image/png"/>
  <Override PartName="/word/media/rId26.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Tominaga^1,*^,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Author"/>
      </w:pPr>
      <w:r>
        <w:t xml:space="preserve">^*^ Corresponding author: Tominaga_</w:t>
      </w:r>
      <w:hyperlink r:id="rId20">
        <w:r>
          <w:rPr>
            <w:rStyle w:val="Hyperlink"/>
          </w:rPr>
          <w:t xml:space="preserve">Atsuko@phd.ceu.edu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also occur during teaching performance of a music instrument, where subtle movement modulations are crucial for achieving artistic expression. While exaggerating performances of goal-directed actions outside of artistic contexts may be straightforward, it is an open question whether and how exaggeration for the purpose of teaching operates for actions that are expressive even when performed outside of a teaching context. Pianists were asked to demonstrate to students the techniques required for implementing notated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We found consistent results across a simple musical scale (Experiment 1) and a more naturalistic piece of music (Experiment 2). These findings show that teaching-specific action modulations generalize to expressive actions and suggest that action modulations serve to highlight the most relevant aspects of the actions to be learnt.</w:t>
      </w:r>
    </w:p>
    <w:p>
      <w:pPr>
        <w:pStyle w:val="Textkrper"/>
      </w:pPr>
      <w:r>
        <w:rPr>
          <w:iCs/>
          <w:i/>
        </w:rPr>
        <w:t xml:space="preserve">Keywords:</w:t>
      </w:r>
      <w:r>
        <w:t xml:space="preserve"> </w:t>
      </w:r>
      <w:r>
        <w:t xml:space="preserve">teaching, skill transmission, sensorimotor communication, artistic expression, music</w:t>
      </w:r>
    </w:p>
    <w:p>
      <w:pPr>
        <w:pStyle w:val="h1-pagebreak"/>
      </w:pPr>
      <w:r>
        <w:t xml:space="preserve">The sound of teaching music: Expert pianists’ performance modulations for novices</w:t>
      </w:r>
    </w:p>
    <w:bookmarkStart w:id="21" w:name="introduction"/>
    <w:p>
      <w:pPr>
        <w:pStyle w:val="berschrift1"/>
      </w:pPr>
      <w:r>
        <w:t xml:space="preserve">Introduction</w:t>
      </w:r>
    </w:p>
    <w:p>
      <w:pPr>
        <w:pStyle w:val="FirstParagraph"/>
      </w:pPr>
      <w:r>
        <w:t xml:space="preserve">Deliberate teaching has supported human skill transmission over generations and provides a key route for learning</w:t>
      </w:r>
      <w:r>
        <w:rPr>
          <w:vertAlign w:val="superscript"/>
        </w:rPr>
        <w:t xml:space="preserve">1,2</w:t>
      </w:r>
      <w:r>
        <w:t xml:space="preserve">. Experts modulate their behaviour so that novices can extract relevant information to learn a novel skill. For instance, adults modulate their speech (motherese) and actions (motionese) when demonstrating a skill to infant learners</w:t>
      </w:r>
      <w:r>
        <w:rPr>
          <w:vertAlign w:val="superscript"/>
        </w:rPr>
        <w:t xml:space="preserve">3,4</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rPr>
          <w:vertAlign w:val="superscript"/>
        </w:rPr>
        <w:t xml:space="preserve">5</w:t>
      </w:r>
      <w:r>
        <w:t xml:space="preserve"> </w:t>
      </w:r>
      <w:r>
        <w:t xml:space="preserve">and when skilled adults were teaching xylophone melodies to novices</w:t>
      </w:r>
      <w:r>
        <w:rPr>
          <w:vertAlign w:val="superscript"/>
        </w:rPr>
        <w:t xml:space="preserve">6</w:t>
      </w:r>
      <w:r>
        <w:t xml:space="preserve">. The observed modulations are thought to provide communicative signals that can facilitate learning by affecting attention and memory</w:t>
      </w:r>
      <w:r>
        <w:rPr>
          <w:vertAlign w:val="superscript"/>
        </w:rPr>
        <w:t xml:space="preserve">7</w:t>
      </w:r>
      <w:r>
        <w:t xml:space="preserve">.</w:t>
      </w:r>
    </w:p>
    <w:p>
      <w:pPr>
        <w:pStyle w:val="Textkrper"/>
      </w:pPr>
      <w:r>
        <w:t xml:space="preserve">Previous research has shown that demonstrators not only adjust their gestures</w:t>
      </w:r>
      <w:r>
        <w:rPr>
          <w:vertAlign w:val="superscript"/>
        </w:rPr>
        <w:t xml:space="preserve">8</w:t>
      </w:r>
      <w:r>
        <w:t xml:space="preserve"> </w:t>
      </w:r>
      <w:r>
        <w:t xml:space="preserve">and actions</w:t>
      </w:r>
      <w:r>
        <w:rPr>
          <w:vertAlign w:val="superscript"/>
        </w:rPr>
        <w:t xml:space="preserve">9</w:t>
      </w:r>
      <w:r>
        <w:t xml:space="preserve"> </w:t>
      </w:r>
      <w:r>
        <w:t xml:space="preserve">to learners’ skills but engage in specific action modulations to highlight certain aspects of demonstrated actions. For example, Schaik and colleagues</w:t>
      </w:r>
      <w:r>
        <w:rPr>
          <w:vertAlign w:val="superscript"/>
        </w:rPr>
        <w:t xml:space="preserve">10</w:t>
      </w:r>
      <w:r>
        <w:t xml:space="preserve"> </w:t>
      </w:r>
      <w:r>
        <w:t xml:space="preserve">showed that adults used specific action modulations for demonstrating different action effects of objects to infants. Ho and colleagues</w:t>
      </w:r>
      <w:r>
        <w:rPr>
          <w:vertAlign w:val="superscript"/>
        </w:rP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Performing actions with exaggeration is straightforward for actions that are normally performed in the most efficient way possible</w:t>
      </w:r>
      <w:r>
        <w:rPr>
          <w:vertAlign w:val="superscript"/>
        </w:rPr>
        <w:t xml:space="preserve">12</w:t>
      </w:r>
      <w:r>
        <w:t xml:space="preserve">. However, how can particular aspects of actions be highlighted when the actions themselves are expressive even outside of a teaching context? This is the case in music performance, where pieces are played with expression. Expressivity is a vital component of performance and typically the main focus of music teaching</w:t>
      </w:r>
      <w:r>
        <w:rPr>
          <w:vertAlign w:val="superscript"/>
        </w:rPr>
        <w:t xml:space="preserve">13</w:t>
      </w:r>
      <w:r>
        <w:t xml:space="preserve">. Expressive skills are generally considered to be separate from technical skills, however, fine motor control is required to implement subtle sound modulations in expressive performance</w:t>
      </w:r>
      <w:r>
        <w:rPr>
          <w:vertAlign w:val="superscript"/>
        </w:rPr>
        <w:t xml:space="preserve">14</w:t>
      </w:r>
      <w:r>
        <w:t xml:space="preserve">. In some music genres such as Western classical music, it is crucial to acquire the motor skills needed to perform a piece expressively. For example, pianists translate their own interpretations of music and convey their emotions by modulating specific parameters such as timing, smoothness and loudness of sound. This raises the question of whether and how musicians modulate their actions during didactic demonstration of expressive techniques.</w:t>
      </w:r>
    </w:p>
    <w:p>
      <w:pPr>
        <w:pStyle w:val="Textkrper"/>
      </w:pPr>
      <w:r>
        <w:t xml:space="preserve">In naturalistic teaching settings, teachers have many possibilities for how to convey to a learner how to play a piece expressively. They may use verbal communication</w:t>
      </w:r>
      <w:r>
        <w:rPr>
          <w:vertAlign w:val="superscript"/>
        </w:rPr>
        <w:t xml:space="preserve">15, woody_2006</w:t>
      </w:r>
      <w:r>
        <w:t xml:space="preserve"> </w:t>
      </w:r>
      <w:r>
        <w:t xml:space="preserve">and non-verbal bodily cues</w:t>
      </w:r>
      <w:r>
        <w:rPr>
          <w:vertAlign w:val="superscript"/>
        </w:rPr>
        <w:t xml:space="preserve">16</w:t>
      </w:r>
      <w:r>
        <w:t xml:space="preserve"> </w:t>
      </w:r>
      <w:r>
        <w:t xml:space="preserve">as well as modulating the sounds that they are producing. In the present study, we focused entirely on the teaching of expressive techniques through sound in order to determine whether expert musicians would systematically exaggerate the actions necessary to implement a particular technique for musical expression.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pPr>
        <w:pStyle w:val="Textkrper"/>
      </w:pPr>
      <w:r>
        <w:t xml:space="preserve">If experts rely on generic action modulations, it can be expected that they will play more slowly during didactic demonstration, regardless of the kind of techniques to be taught. To the extent that experts use action modulations to support their teaching of specific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expression,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51" w:name="experiment-1"/>
    <w:p>
      <w:pPr>
        <w:pStyle w:val="berschrift1"/>
      </w:pPr>
      <w:r>
        <w:t xml:space="preserve">Experiment 1</w:t>
      </w:r>
    </w:p>
    <w:bookmarkStart w:id="30" w:name="materials-and-methods"/>
    <w:p>
      <w:pPr>
        <w:pStyle w:val="berschrift2"/>
      </w:pPr>
      <w:r>
        <w:t xml:space="preserve">Materials and methods</w:t>
      </w:r>
    </w:p>
    <w:bookmarkStart w:id="22" w:name="participants"/>
    <w:p>
      <w:pPr>
        <w:pStyle w:val="berschrift3"/>
      </w:pP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10 participants had an experience in teaching the piano (</w:t>
      </w:r>
      <w:r>
        <w:rPr>
          <w:iCs/>
          <w:i/>
        </w:rPr>
        <w:t xml:space="preserve">M</w:t>
      </w:r>
      <w:r>
        <w:t xml:space="preserve"> </w:t>
      </w:r>
      <w:r>
        <w:t xml:space="preserve">= 3.48 years,</w:t>
      </w:r>
      <w:r>
        <w:t xml:space="preserve"> </w:t>
      </w:r>
      <w:r>
        <w:rPr>
          <w:iCs/>
          <w:i/>
        </w:rPr>
        <w:t xml:space="preserve">SD</w:t>
      </w:r>
      <w:r>
        <w:t xml:space="preserve"> </w:t>
      </w:r>
      <w:r>
        <w:t xml:space="preserve">= 3.51). All participants gave their informed consent before the experiment started and received vouchers for their participation. The study (No. 2018-124) was approved by the United Ethical Review Committee for Research in Psychology (EPKEB) in Hungary.</w:t>
      </w:r>
    </w:p>
    <w:bookmarkEnd w:id="22"/>
    <w:bookmarkStart w:id="24" w:name="apparatus-and-stimuli"/>
    <w:p>
      <w:pPr>
        <w:pStyle w:val="berschrift3"/>
      </w:pP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Original sheet music (i.e., sheet music without expressive notations,</w:t>
      </w:r>
      <w:r>
        <w:t xml:space="preserve"> </w:t>
      </w:r>
      <w:r>
        <w:rPr>
          <w:iCs/>
          <w:i/>
        </w:rPr>
        <w:t xml:space="preserve">Fig</w:t>
      </w:r>
      <w:r>
        <w:rPr>
          <w:iCs/>
          <w:i/>
        </w:rPr>
        <w:t xml:space="preserve"> </w:t>
      </w:r>
      <w:r>
        <w:rPr>
          <w:iCs/>
          <w:i/>
        </w:rPr>
        <w:t xml:space="preserve"> </w:t>
      </w:r>
      <w:r>
        <w:rPr>
          <w:iCs/>
          <w:i/>
        </w:rPr>
        <w:t xml:space="preserve">A</w:t>
      </w:r>
      <w:r>
        <w:t xml:space="preserve">) was used for the purpose of practice. Expressive notations were added to the original sheet music for the experiment. They referred to either articulation or dynamics (</w:t>
      </w:r>
      <w:r>
        <w:rPr>
          <w:iCs/>
          <w:i/>
        </w:rPr>
        <w:t xml:space="preserve">Fig</w:t>
      </w:r>
      <w:r>
        <w:rPr>
          <w:iCs/>
          <w:i/>
        </w:rPr>
        <w:t xml:space="preserve"> </w:t>
      </w:r>
      <w:r>
        <w:rPr>
          <w:iCs/>
          <w:i/>
        </w:rPr>
        <w:t xml:space="preserve"> </w:t>
      </w:r>
      <w:r>
        <w:rPr>
          <w:iCs/>
          <w:i/>
        </w:rPr>
        <w:t xml:space="preserve">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or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w:t>
      </w:r>
      <w:r>
        <w:rPr>
          <w:iCs/>
          <w:i/>
        </w:rPr>
        <w:t xml:space="preserve">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w:t>
        </w:r>
      </w:hyperlink>
      <w:r>
        <w:t xml:space="preserve">). Participants played the piece 8 times per expressive technique per condition, so there were 32 trials in total (2 conditions x 2 expressive techniques x 8 trials). The order of the conditions was blocked and counterbalanced across participants. The order of the expressive techniques within each condition was also blocked and counterbalanced across participants. A leading metronome (80 quarter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9" w:name="data-analysis"/>
    <w:p>
      <w:pPr>
        <w:pStyle w:val="berschrift3"/>
      </w:pP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rPr>
          <w:vertAlign w:val="superscript"/>
        </w:rPr>
        <w:t xml:space="preserve">17</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We found that some participants did not follow sheet music (e.g., hold some notes longer than notated), therefore the order of offsets did not correspond to that of onsets. We counted these as errors and removed the erroneous notes even if the order of onsets was correct.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pPr>
        <w:pStyle w:val="Textkrper"/>
      </w:pPr>
      <w:r>
        <w:t xml:space="preserve">We performed separate analyses for the two expressive techniques (i.e., articulation and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5394557"/>
            <wp:effectExtent b="0" l="0" r="0" t="0"/>
            <wp:docPr descr="Figure 1.  (A)Original sheet music. (B)Articulation. The curved line (slur) indicates legato and the dots indicate staccato. (C)Dynamics. The symbol f' denotes forte and the symbolp’ denotes piano. For data analysis, only the 16th notes were included." title="" id="27" name="Picture"/>
            <a:graphic>
              <a:graphicData uri="http://schemas.openxmlformats.org/drawingml/2006/picture">
                <pic:pic>
                  <pic:nvPicPr>
                    <pic:cNvPr descr="manuscript_files/figure-docx/stim-1-1.png" id="28" name="Picture"/>
                    <pic:cNvPicPr>
                      <a:picLocks noChangeArrowheads="1" noChangeAspect="1"/>
                    </pic:cNvPicPr>
                  </pic:nvPicPr>
                  <pic:blipFill>
                    <a:blip r:embed="rId26"/>
                    <a:stretch>
                      <a:fillRect/>
                    </a:stretch>
                  </pic:blipFill>
                  <pic:spPr bwMode="auto">
                    <a:xfrm>
                      <a:off x="0" y="0"/>
                      <a:ext cx="5969000" cy="5394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9"/>
    <w:bookmarkEnd w:id="30"/>
    <w:bookmarkStart w:id="31" w:name="results"/>
    <w:p>
      <w:pPr>
        <w:pStyle w:val="berschrift2"/>
      </w:pP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 To recall our predictions, if participants play more slowly when they are trying to teach, inter-onset intervals (IOIs) should be larger when teaching. If participants specifically modulate relevant aspects of the expressive techniques they are trying to teach, key-overlap time (KOT) should be more positive for legato and more negative for staccato when teaching articulation, and key velocity (KV) should be higher for forte and lower for piano when teaching dynamics.</w:t>
      </w:r>
    </w:p>
    <w:bookmarkEnd w:id="31"/>
    <w:bookmarkStart w:id="35" w:name="articulation"/>
    <w:p>
      <w:pPr>
        <w:pStyle w:val="berschrift2"/>
      </w:pPr>
      <w:r>
        <w:t xml:space="preserve">Articulation</w:t>
      </w:r>
    </w:p>
    <w:bookmarkStart w:id="32" w:name="inter-onset-intervals-iois"/>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185.23 (ms),</w:t>
      </w:r>
      <w:r>
        <w:t xml:space="preserve"> </w:t>
      </w:r>
      <w:r>
        <w:rPr>
          <w:iCs/>
          <w:i/>
        </w:rPr>
        <w:t xml:space="preserve">IQR</w:t>
      </w:r>
      <w:r>
        <w:t xml:space="preserve"> </w:t>
      </w:r>
      <w:r>
        <w:t xml:space="preserve">= 19.30]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32"/>
    <w:bookmarkStart w:id="33" w:name="key-overlap-time-kot"/>
    <w:p>
      <w:pPr>
        <w:pStyle w:val="berschrift3"/>
      </w:pPr>
      <w:r>
        <w:t xml:space="preserve">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1149,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8.52,</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0.010,</w:t>
      </w:r>
      <w:r>
        <w:t xml:space="preserve"> </w:t>
      </w:r>
      <w:r>
        <w:rPr>
          <w:iCs/>
          <w:i/>
        </w:rPr>
        <w:t xml:space="preserve">Fig</w:t>
      </w:r>
      <w:r>
        <w:rPr>
          <w:iCs/>
          <w:i/>
        </w:rPr>
        <w:t xml:space="preserve"> </w:t>
      </w:r>
      <w:r>
        <w:t xml:space="preserve">). Post-hoc comparisons based on the estimated marginal means with Tukey adjustment showed that for staccato KOT was more negative in the teaching condition [</w:t>
      </w:r>
      <w:r>
        <w:rPr>
          <w:iCs/>
          <w:i/>
        </w:rPr>
        <w:t xml:space="preserve">M</w:t>
      </w:r>
      <w:r>
        <w:t xml:space="preserve"> </w:t>
      </w:r>
      <w:r>
        <w:t xml:space="preserve">= -133.79 (ms),</w:t>
      </w:r>
      <w:r>
        <w:t xml:space="preserve"> </w:t>
      </w:r>
      <w:r>
        <w:rPr>
          <w:iCs/>
          <w:i/>
        </w:rPr>
        <w:t xml:space="preserve">SD</w:t>
      </w:r>
      <w:r>
        <w:t xml:space="preserve"> </w:t>
      </w:r>
      <w:r>
        <w:t xml:space="preserve">= 20.13] than in the performing condition [</w:t>
      </w:r>
      <w:r>
        <w:rPr>
          <w:iCs/>
          <w:i/>
        </w:rPr>
        <w:t xml:space="preserve">M</w:t>
      </w:r>
      <w:r>
        <w:t xml:space="preserve"> </w:t>
      </w:r>
      <w:r>
        <w:t xml:space="preserve">= -128.34 (ms),</w:t>
      </w:r>
      <w:r>
        <w:t xml:space="preserve"> </w:t>
      </w:r>
      <w:r>
        <w:rPr>
          <w:iCs/>
          <w:i/>
        </w:rPr>
        <w:t xml:space="preserve">SD</w:t>
      </w:r>
      <w:r>
        <w:t xml:space="preserve"> </w:t>
      </w:r>
      <w:r>
        <w:t xml:space="preserve">= 20.86] (</w:t>
      </w:r>
      <w:r>
        <w:rPr>
          <w:iCs/>
          <w:i/>
        </w:rPr>
        <w:t xml:space="preserve">p</w:t>
      </w:r>
      <w:r>
        <w:t xml:space="preserve"> </w:t>
      </w:r>
      <w:r>
        <w:t xml:space="preserve">= 0.005). For legato there was no significant difference in KOT between the teaching [</w:t>
      </w:r>
      <w:r>
        <w:rPr>
          <w:iCs/>
          <w:i/>
        </w:rPr>
        <w:t xml:space="preserve">M</w:t>
      </w:r>
      <w:r>
        <w:t xml:space="preserve"> </w:t>
      </w:r>
      <w:r>
        <w:t xml:space="preserve">= 15.90 (ms),</w:t>
      </w:r>
      <w:r>
        <w:t xml:space="preserve"> </w:t>
      </w:r>
      <w:r>
        <w:rPr>
          <w:iCs/>
          <w:i/>
        </w:rPr>
        <w:t xml:space="preserve">SD</w:t>
      </w:r>
      <w:r>
        <w:t xml:space="preserve"> </w:t>
      </w:r>
      <w:r>
        <w:t xml:space="preserve">= 15.51] and performing condition [</w:t>
      </w:r>
      <w:r>
        <w:rPr>
          <w:iCs/>
          <w:i/>
        </w:rPr>
        <w:t xml:space="preserve">M</w:t>
      </w:r>
      <w:r>
        <w:t xml:space="preserve"> </w:t>
      </w:r>
      <w:r>
        <w:t xml:space="preserve">= 14.01 (ms),</w:t>
      </w:r>
      <w:r>
        <w:t xml:space="preserve"> </w:t>
      </w:r>
      <w:r>
        <w:rPr>
          <w:iCs/>
          <w:i/>
        </w:rPr>
        <w:t xml:space="preserve">SD</w:t>
      </w:r>
      <w:r>
        <w:t xml:space="preserve"> </w:t>
      </w:r>
      <w:r>
        <w:t xml:space="preserve">= 17.02] (</w:t>
      </w:r>
      <w:r>
        <w:rPr>
          <w:iCs/>
          <w:i/>
        </w:rPr>
        <w:t xml:space="preserve">p</w:t>
      </w:r>
      <w:r>
        <w:t xml:space="preserve"> </w:t>
      </w:r>
      <w:r>
        <w:t xml:space="preserve">= 0.32).</w:t>
      </w:r>
    </w:p>
    <w:bookmarkEnd w:id="33"/>
    <w:bookmarkStart w:id="34" w:name="key-velocity-kv"/>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7.45,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6.46; Staccato:</w:t>
      </w:r>
      <w:r>
        <w:t xml:space="preserve"> </w:t>
      </w:r>
      <w:r>
        <w:rPr>
          <w:iCs/>
          <w:i/>
        </w:rPr>
        <w:t xml:space="preserve">M</w:t>
      </w:r>
      <w:r>
        <w:t xml:space="preserve"> </w:t>
      </w:r>
      <w:r>
        <w:t xml:space="preserve">= 72.00,</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5.86, Staccato:</w:t>
      </w:r>
      <w:r>
        <w:t xml:space="preserve"> </w:t>
      </w:r>
      <w:r>
        <w:rPr>
          <w:iCs/>
          <w:i/>
        </w:rPr>
        <w:t xml:space="preserve">M</w:t>
      </w:r>
      <w:r>
        <w:t xml:space="preserve"> </w:t>
      </w:r>
      <w:r>
        <w:t xml:space="preserve">= 70.41,</w:t>
      </w:r>
      <w:r>
        <w:t xml:space="preserve"> </w:t>
      </w:r>
      <w:r>
        <w:rPr>
          <w:iCs/>
          <w:i/>
        </w:rPr>
        <w:t xml:space="preserve">SD</w:t>
      </w:r>
      <w:r>
        <w:t xml:space="preserve"> </w:t>
      </w:r>
      <w:r>
        <w:t xml:space="preserve">= 7.97] for each subcomponent (Legato:</w:t>
      </w:r>
      <w:r>
        <w:t xml:space="preserve"> </w:t>
      </w:r>
      <w:r>
        <w:rPr>
          <w:iCs/>
          <w:i/>
        </w:rPr>
        <w:t xml:space="preserve">p</w:t>
      </w:r>
      <w:r>
        <w:t xml:space="preserve"> </w:t>
      </w:r>
      <w:r>
        <w:t xml:space="preserve">= 0.68, Staccato:</w:t>
      </w:r>
      <w:r>
        <w:t xml:space="preserve"> </w:t>
      </w:r>
      <w:r>
        <w:rPr>
          <w:iCs/>
          <w:i/>
        </w:rPr>
        <w:t xml:space="preserve">p</w:t>
      </w:r>
      <w:r>
        <w:t xml:space="preserve"> </w:t>
      </w:r>
      <w:r>
        <w:t xml:space="preserve">= 0.09).</w:t>
      </w:r>
    </w:p>
    <w:bookmarkEnd w:id="34"/>
    <w:bookmarkEnd w:id="35"/>
    <w:bookmarkStart w:id="40" w:name="dynamics"/>
    <w:p>
      <w:pPr>
        <w:pStyle w:val="berschrift2"/>
      </w:pPr>
      <w:r>
        <w:t xml:space="preserve">Dynamics</w:t>
      </w:r>
    </w:p>
    <w:bookmarkStart w:id="36" w:name="inter-onset-intervals-iois-1"/>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no significant difference between the teaching condition [</w:t>
      </w:r>
      <w:r>
        <w:rPr>
          <w:iCs/>
          <w:i/>
        </w:rPr>
        <w:t xml:space="preserve">Mdn</w:t>
      </w:r>
      <w:r>
        <w:t xml:space="preserve"> </w:t>
      </w:r>
      <w:r>
        <w:t xml:space="preserve">= 186.28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19.59]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 two-tailed,</w:t>
      </w:r>
      <w:r>
        <w:t xml:space="preserve"> </w:t>
      </w:r>
      <w:r>
        <w:rPr>
          <w:iCs/>
          <w:i/>
        </w:rPr>
        <w:t xml:space="preserve">Fig</w:t>
      </w:r>
      <w:r>
        <w:rPr>
          <w:iCs/>
          <w:i/>
        </w:rPr>
        <w:t xml:space="preserve"> </w:t>
      </w:r>
      <w:r>
        <w:t xml:space="preserve">).</w:t>
      </w:r>
    </w:p>
    <w:bookmarkEnd w:id="36"/>
    <w:bookmarkStart w:id="37" w:name="key-velocity-kv-1"/>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369,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6.83,</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82.78,</w:t>
      </w:r>
      <w:r>
        <w:t xml:space="preserve"> </w:t>
      </w:r>
      <w:r>
        <w:rPr>
          <w:iCs/>
          <w:i/>
        </w:rPr>
        <w:t xml:space="preserve">SD</w:t>
      </w:r>
      <w:r>
        <w:t xml:space="preserve"> </w:t>
      </w:r>
      <w:r>
        <w:t xml:space="preserve">= 8.31] than in the performing condition [</w:t>
      </w:r>
      <w:r>
        <w:rPr>
          <w:iCs/>
          <w:i/>
        </w:rPr>
        <w:t xml:space="preserve">M</w:t>
      </w:r>
      <w:r>
        <w:t xml:space="preserve"> </w:t>
      </w:r>
      <w:r>
        <w:t xml:space="preserve">= 81.65,</w:t>
      </w:r>
      <w:r>
        <w:t xml:space="preserve"> </w:t>
      </w:r>
      <w:r>
        <w:rPr>
          <w:iCs/>
          <w:i/>
        </w:rPr>
        <w:t xml:space="preserve">SD</w:t>
      </w:r>
      <w:r>
        <w:t xml:space="preserve"> </w:t>
      </w:r>
      <w:r>
        <w:t xml:space="preserve">= 7.43] (</w:t>
      </w:r>
      <w:r>
        <w:rPr>
          <w:iCs/>
          <w:i/>
        </w:rPr>
        <w:t xml:space="preserve">p</w:t>
      </w:r>
      <w:r>
        <w:t xml:space="preserve"> </w:t>
      </w:r>
      <w:r>
        <w:t xml:space="preserve">= 0.068) when instructed to play forte. There was no significant difference in KV between the teaching [</w:t>
      </w:r>
      <w:r>
        <w:rPr>
          <w:iCs/>
          <w:i/>
        </w:rPr>
        <w:t xml:space="preserve">M</w:t>
      </w:r>
      <w:r>
        <w:t xml:space="preserve"> </w:t>
      </w:r>
      <w:r>
        <w:t xml:space="preserve">= 60.63,</w:t>
      </w:r>
      <w:r>
        <w:t xml:space="preserve"> </w:t>
      </w:r>
      <w:r>
        <w:rPr>
          <w:iCs/>
          <w:i/>
        </w:rPr>
        <w:t xml:space="preserve">SD</w:t>
      </w:r>
      <w:r>
        <w:t xml:space="preserve"> </w:t>
      </w:r>
      <w:r>
        <w:t xml:space="preserve">= 5.08] and performing condition [</w:t>
      </w:r>
      <w:r>
        <w:rPr>
          <w:iCs/>
          <w:i/>
        </w:rPr>
        <w:t xml:space="preserve">M</w:t>
      </w:r>
      <w:r>
        <w:t xml:space="preserve"> </w:t>
      </w:r>
      <w:r>
        <w:t xml:space="preserve">= 60.99,</w:t>
      </w:r>
      <w:r>
        <w:t xml:space="preserve"> </w:t>
      </w:r>
      <w:r>
        <w:rPr>
          <w:iCs/>
          <w:i/>
        </w:rPr>
        <w:t xml:space="preserve">SD</w:t>
      </w:r>
      <w:r>
        <w:t xml:space="preserve"> </w:t>
      </w:r>
      <w:r>
        <w:t xml:space="preserve">= 4.41] (</w:t>
      </w:r>
      <w:r>
        <w:rPr>
          <w:iCs/>
          <w:i/>
        </w:rPr>
        <w:t xml:space="preserve">p</w:t>
      </w:r>
      <w:r>
        <w:t xml:space="preserve"> </w:t>
      </w:r>
      <w:r>
        <w:t xml:space="preserve">= 0.24) when instructed to play piano.</w:t>
      </w:r>
    </w:p>
    <w:bookmarkEnd w:id="37"/>
    <w:bookmarkStart w:id="38" w:name="kv-transition-points"/>
    <w:p>
      <w:pPr>
        <w:pStyle w:val="berschrift3"/>
      </w:pP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25.99,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0.033,</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0.002) and from piano to forte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-14.11,</w:t>
      </w:r>
      <w:r>
        <w:t xml:space="preserve"> </w:t>
      </w:r>
      <w:r>
        <w:rPr>
          <w:iCs/>
          <w:i/>
        </w:rPr>
        <w:t xml:space="preserve">SD</w:t>
      </w:r>
      <w:r>
        <w:t xml:space="preserve"> </w:t>
      </w:r>
      <w:r>
        <w:t xml:space="preserve">= 7.17; PtoF:</w:t>
      </w:r>
      <w:r>
        <w:t xml:space="preserve"> </w:t>
      </w:r>
      <w:r>
        <w:rPr>
          <w:iCs/>
          <w:i/>
        </w:rPr>
        <w:t xml:space="preserve">M</w:t>
      </w:r>
      <w:r>
        <w:t xml:space="preserve"> </w:t>
      </w:r>
      <w:r>
        <w:t xml:space="preserve">= 24.27,</w:t>
      </w:r>
      <w:r>
        <w:t xml:space="preserve"> </w:t>
      </w:r>
      <w:r>
        <w:rPr>
          <w:iCs/>
          <w:i/>
        </w:rPr>
        <w:t xml:space="preserve">SD</w:t>
      </w:r>
      <w:r>
        <w:t xml:space="preserve"> </w:t>
      </w:r>
      <w:r>
        <w:t xml:space="preserve">= 9.77] than in the performing condition [FtoP:</w:t>
      </w:r>
      <w:r>
        <w:t xml:space="preserve"> </w:t>
      </w:r>
      <w:r>
        <w:rPr>
          <w:iCs/>
          <w:i/>
        </w:rPr>
        <w:t xml:space="preserve">M</w:t>
      </w:r>
      <w:r>
        <w:t xml:space="preserve"> </w:t>
      </w:r>
      <w:r>
        <w:t xml:space="preserve">= -11.70,</w:t>
      </w:r>
      <w:r>
        <w:t xml:space="preserve"> </w:t>
      </w:r>
      <w:r>
        <w:rPr>
          <w:iCs/>
          <w:i/>
        </w:rPr>
        <w:t xml:space="preserve">SD</w:t>
      </w:r>
      <w:r>
        <w:t xml:space="preserve"> </w:t>
      </w:r>
      <w:r>
        <w:t xml:space="preserve">= 5.99, PtoF:</w:t>
      </w:r>
      <w:r>
        <w:t xml:space="preserve"> </w:t>
      </w:r>
      <w:r>
        <w:rPr>
          <w:iCs/>
          <w:i/>
        </w:rPr>
        <w:t xml:space="preserve">M</w:t>
      </w:r>
      <w:r>
        <w:t xml:space="preserve"> </w:t>
      </w:r>
      <w:r>
        <w:t xml:space="preserve">= 20.87,</w:t>
      </w:r>
      <w:r>
        <w:t xml:space="preserve"> </w:t>
      </w:r>
      <w:r>
        <w:rPr>
          <w:iCs/>
          <w:i/>
        </w:rPr>
        <w:t xml:space="preserve">SD</w:t>
      </w:r>
      <w:r>
        <w:t xml:space="preserve"> </w:t>
      </w:r>
      <w:r>
        <w:t xml:space="preserve">= 8.67].</w:t>
      </w:r>
    </w:p>
    <w:bookmarkEnd w:id="38"/>
    <w:bookmarkStart w:id="39" w:name="key-overlap-time-kot-1"/>
    <w:p>
      <w:pPr>
        <w:pStyle w:val="berschrift3"/>
      </w:pP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308,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0.30,</w:t>
      </w:r>
      <w:r>
        <w:t xml:space="preserve"> </w:t>
      </w:r>
      <w:r>
        <w:rPr>
          <w:iCs/>
          <w:i/>
        </w:rPr>
        <w:t xml:space="preserve">Fig</w:t>
      </w:r>
      <w:r>
        <w:rPr>
          <w:iCs/>
          <w:i/>
        </w:rPr>
        <w:t xml:space="preserve"> </w:t>
      </w:r>
      <w:r>
        <w:t xml:space="preserve">), reflecting more key-overlap for forte notes compared to piano notes. Neither the main effect of Condition (</w:t>
      </w:r>
      <w:r>
        <w:rPr>
          <w:iCs/>
          <w:i/>
        </w:rPr>
        <w:t xml:space="preserve">F</w:t>
      </w:r>
      <w:r>
        <w:t xml:space="preserve">(1,30) = 0.60,</w:t>
      </w:r>
      <w:r>
        <w:t xml:space="preserve"> </w:t>
      </w:r>
      <w:r>
        <w:rPr>
          <w:iCs/>
          <w:i/>
        </w:rPr>
        <w:t xml:space="preserve">p</w:t>
      </w:r>
      <w:r>
        <w:t xml:space="preserve"> </w:t>
      </w:r>
      <w:r>
        <w:t xml:space="preserve">= 0.44,</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0.053,</w:t>
      </w:r>
      <w:r>
        <w:t xml:space="preserve"> </w:t>
      </w:r>
      <w:r>
        <w:rPr>
          <w:iCs/>
          <w:i/>
        </w:rPr>
        <w:t xml:space="preserve">p</w:t>
      </w:r>
      <w:r>
        <w:t xml:space="preserve"> </w:t>
      </w:r>
      <w:r>
        <w:t xml:space="preserve">= 0.82,</w:t>
      </w:r>
      <w:r>
        <w:t xml:space="preserve"> </w:t>
      </w:r>
      <m:oMath>
        <m:sSubSup>
          <m:e>
            <m:r>
              <m:t>η</m:t>
            </m:r>
          </m:e>
          <m:sub>
            <m:r>
              <m:t>G</m:t>
            </m:r>
          </m:sub>
          <m:sup>
            <m:r>
              <m:t>2</m:t>
            </m:r>
          </m:sup>
        </m:sSubSup>
      </m:oMath>
      <w:r>
        <w:t xml:space="preserve"> </w:t>
      </w:r>
      <w:r>
        <w:t xml:space="preserve">= 0.000) was significant.</w:t>
      </w:r>
    </w:p>
    <w:bookmarkEnd w:id="39"/>
    <w:bookmarkEnd w:id="40"/>
    <w:bookmarkStart w:id="50" w:name="discussion"/>
    <w:p>
      <w:pPr>
        <w:pStyle w:val="berschrift2"/>
      </w:pP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rPr>
          <w:vertAlign w:val="superscript"/>
        </w:rP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participants exaggerated staccato when teaching articulation and forte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expressive techniques.</w:t>
      </w:r>
    </w:p>
    <w:p>
      <w:pPr>
        <w:pStyle w:val="CaptionedFigure"/>
      </w:pPr>
      <w:r>
        <w:drawing>
          <wp:inline>
            <wp:extent cx="5969000" cy="2984500"/>
            <wp:effectExtent b="0" l="0" r="0" t="0"/>
            <wp:docPr descr="Figure 2.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42" name="Picture"/>
            <a:graphic>
              <a:graphicData uri="http://schemas.openxmlformats.org/drawingml/2006/picture">
                <pic:pic>
                  <pic:nvPicPr>
                    <pic:cNvPr descr="manuscript_files/figure-docx/plot-ioi-1-1.png" id="43"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Experiment 1: IOIs (ms)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45" name="Picture"/>
            <a:graphic>
              <a:graphicData uri="http://schemas.openxmlformats.org/drawingml/2006/picture">
                <pic:pic>
                  <pic:nvPicPr>
                    <pic:cNvPr descr="manuscript_files/figure-docx/plot-kot-1-1.png" id="46" name="Picture"/>
                    <pic:cNvPicPr>
                      <a:picLocks noChangeArrowheads="1" noChangeAspect="1"/>
                    </pic:cNvPicPr>
                  </pic:nvPicPr>
                  <pic:blipFill>
                    <a:blip r:embed="rId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48" name="Picture"/>
            <a:graphic>
              <a:graphicData uri="http://schemas.openxmlformats.org/drawingml/2006/picture">
                <pic:pic>
                  <pic:nvPicPr>
                    <pic:cNvPr descr="manuscript_files/figure-docx/plot-vel-1-1.png" id="49" name="Picture"/>
                    <pic:cNvPicPr>
                      <a:picLocks noChangeArrowheads="1" noChangeAspect="1"/>
                    </pic:cNvPicPr>
                  </pic:nvPicPr>
                  <pic:blipFill>
                    <a:blip r:embed="rId4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50"/>
    <w:bookmarkEnd w:id="51"/>
    <w:bookmarkStart w:id="83" w:name="experiment-2"/>
    <w:p>
      <w:pPr>
        <w:pStyle w:val="berschrift1"/>
      </w:pPr>
      <w:r>
        <w:t xml:space="preserve">Experiment 2</w:t>
      </w:r>
    </w:p>
    <w:p>
      <w:pPr>
        <w:pStyle w:val="FirstParagraph"/>
      </w:pPr>
      <w:r>
        <w:t xml:space="preserve">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bookmarkStart w:id="59" w:name="materials-and-methods-1"/>
    <w:p>
      <w:pPr>
        <w:pStyle w:val="berschrift2"/>
      </w:pPr>
      <w:r>
        <w:t xml:space="preserve">Materials and methods</w:t>
      </w:r>
    </w:p>
    <w:bookmarkStart w:id="52" w:name="participants-1"/>
    <w:p>
      <w:pPr>
        <w:pStyle w:val="berschrift3"/>
      </w:pP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 11 participants had an experience in teaching the piano (</w:t>
      </w:r>
      <w:r>
        <w:rPr>
          <w:iCs/>
          <w:i/>
        </w:rPr>
        <w:t xml:space="preserve">M</w:t>
      </w:r>
      <w:r>
        <w:t xml:space="preserve"> </w:t>
      </w:r>
      <w:r>
        <w:t xml:space="preserve">= 4.14 years,</w:t>
      </w:r>
      <w:r>
        <w:t xml:space="preserve"> </w:t>
      </w:r>
      <w:r>
        <w:rPr>
          <w:iCs/>
          <w:i/>
        </w:rPr>
        <w:t xml:space="preserve">SD</w:t>
      </w:r>
      <w:r>
        <w:t xml:space="preserve"> </w:t>
      </w:r>
      <w:r>
        <w:t xml:space="preserve">= 3.65). All participants gave their informed consent before the experiment started and received vouchers for their participation. The study (No. 2018-124) was approved by the United Ethical Review Committee for Research in Psychology (EPKEB) in Hungary.</w:t>
      </w:r>
    </w:p>
    <w:bookmarkEnd w:id="52"/>
    <w:bookmarkStart w:id="53" w:name="apparatus-and-stimuli-1"/>
    <w:p>
      <w:pPr>
        <w:pStyle w:val="berschrift3"/>
      </w:pPr>
      <w:r>
        <w:t xml:space="preserve">Apparatus and stimuli.</w:t>
      </w:r>
    </w:p>
    <w:p>
      <w:pPr>
        <w:pStyle w:val="FirstParagraph"/>
      </w:pPr>
      <w:r>
        <w:t xml:space="preserve">The same apparatus as in Experiment 1 was used. We selected Clementi’s Sonatina Op.36 (No.3) in C major as a stimulus because it contained our targeted expressions (i.e., articulation and dynamics) and was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Original sheet music was used for the purpose of practice (</w:t>
      </w:r>
      <w:r>
        <w:rPr>
          <w:iCs/>
          <w:i/>
        </w:rPr>
        <w:t xml:space="preserve">Fig</w:t>
      </w:r>
      <w:r>
        <w:rPr>
          <w:iCs/>
          <w:i/>
        </w:rPr>
        <w:t xml:space="preserve"> </w:t>
      </w:r>
      <w:r>
        <w:rPr>
          <w:iCs/>
          <w:i/>
        </w:rPr>
        <w:t xml:space="preserve"> </w:t>
      </w:r>
      <w:r>
        <w:rPr>
          <w:iCs/>
          <w:i/>
        </w:rPr>
        <w:t xml:space="preserve">A</w:t>
      </w:r>
      <w:r>
        <w:t xml:space="preserve">). Expressive notations were added to the original sheet music for the experiment (</w:t>
      </w:r>
      <w:r>
        <w:rPr>
          <w:iCs/>
          <w:i/>
        </w:rPr>
        <w:t xml:space="preserve">Fig</w:t>
      </w:r>
      <w:r>
        <w:rPr>
          <w:iCs/>
          <w:i/>
        </w:rPr>
        <w:t xml:space="preserve"> </w:t>
      </w:r>
      <w:r>
        <w:rPr>
          <w:iCs/>
          <w:i/>
        </w:rPr>
        <w:t xml:space="preserve"> </w:t>
      </w:r>
      <w:r>
        <w:rPr>
          <w:iCs/>
          <w:i/>
        </w:rPr>
        <w:t xml:space="preserve">B-C</w:t>
      </w:r>
      <w:r>
        <w:t xml:space="preserve">). These excerpts were confirmed to be musically natural by a doctoral student in piano performance at Liszt Ferenc Academy of Music in Hungary. The fingering was also assigned and confirmed by the same doctoral student.</w:t>
      </w:r>
    </w:p>
    <w:bookmarkEnd w:id="53"/>
    <w:bookmarkStart w:id="54" w:name="procedure-2"/>
    <w:p>
      <w:pPr>
        <w:pStyle w:val="berschrift3"/>
      </w:pP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w:t>
      </w:r>
      <w:r>
        <w:rPr>
          <w:iCs/>
          <w:i/>
        </w:rPr>
        <w:t xml:space="preserve">A</w:t>
      </w:r>
      <w:r>
        <w:t xml:space="preserve">) prior to the experiment so that they had enough time to familiarise themselves with the piece and perform it without pitch errors while performing it with different notated expressions in the lab. Second, we modified the wording of instructions for the performing condition so that both instructions had the same focus on expressive notations because there was less emphasis on expression in the instruction in the performing condition in Experiment 1 (see details in</w:t>
      </w:r>
      <w:r>
        <w:t xml:space="preserve"> </w:t>
      </w:r>
      <w:hyperlink w:anchor="supplementary">
        <w:r>
          <w:rPr>
            <w:rStyle w:val="Hyperlink"/>
            <w:iCs/>
            <w:i/>
          </w:rPr>
          <w:t xml:space="preserve">Supplementary material</w:t>
        </w:r>
      </w:hyperlink>
      <w:r>
        <w:t xml:space="preserve">). Third, participants could choose their preferred tempo from one of three options (100, 110 and 120 quarter beats per minute) because some evidence show that musicians have their own preferred tempo, which affects their temporal variability</w:t>
      </w:r>
      <w:r>
        <w:rPr>
          <w:vertAlign w:val="superscript"/>
        </w:rPr>
        <w:t xml:space="preserve">18</w:t>
      </w:r>
      <w:r>
        <w:t xml:space="preserve">. The chosen tempo was again cued by a leading metronome. To make sure that participants memorised the piece and had sufficient motor skills, we asked participants to perform the piece without looking at the original sheet music (</w:t>
      </w:r>
      <w:r>
        <w:rPr>
          <w:iCs/>
          <w:i/>
        </w:rPr>
        <w:t xml:space="preserve">Fig</w:t>
      </w:r>
      <w:r>
        <w:rPr>
          <w:iCs/>
          <w:i/>
        </w:rPr>
        <w:t xml:space="preserve"> </w:t>
      </w:r>
      <w:r>
        <w:rPr>
          <w:iCs/>
          <w:i/>
        </w:rPr>
        <w:t xml:space="preserve"> </w:t>
      </w:r>
      <w:r>
        <w:rPr>
          <w:iCs/>
          <w:i/>
        </w:rPr>
        <w:t xml:space="preserve">A</w:t>
      </w:r>
      <w:r>
        <w:t xml:space="preserve">). Those who could not perform the piece without pitch errors twice consecutively within five attempts were excluded from data analysis (as a result, one participant was excluded). The rest of the procedure was identical to Experiment 1.</w:t>
      </w:r>
    </w:p>
    <w:bookmarkEnd w:id="54"/>
    <w:bookmarkStart w:id="58" w:name="data-analysis-1"/>
    <w:p>
      <w:pPr>
        <w:pStyle w:val="berschrift3"/>
      </w:pP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 KV difference (i.e., KV difference for each interval) at transition points (i.e., forte to piano or piano to forte) as a dependent variable based on the findings of Experiment 1. Three trials were entirely excluded from data analysis because participants did not follow the sheet music.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340548"/>
            <wp:effectExtent b="0" l="0" r="0" t="0"/>
            <wp:docPr descr="Figure 5.  (A)Original sheet music. (B)Articulation. The curved line (slur) indicates legato and the dots indicate staccato. (C)Dynamics. The symbol f' denotes forte and the symbolp’ denotes piano. For data analysis, only the 8th notes were included." title="" id="56" name="Picture"/>
            <a:graphic>
              <a:graphicData uri="http://schemas.openxmlformats.org/drawingml/2006/picture">
                <pic:pic>
                  <pic:nvPicPr>
                    <pic:cNvPr descr="manuscript_files/figure-docx/stim-2-1.png" id="57" name="Picture"/>
                    <pic:cNvPicPr>
                      <a:picLocks noChangeArrowheads="1" noChangeAspect="1"/>
                    </pic:cNvPicPr>
                  </pic:nvPicPr>
                  <pic:blipFill>
                    <a:blip r:embed="rId55"/>
                    <a:stretch>
                      <a:fillRect/>
                    </a:stretch>
                  </pic:blipFill>
                  <pic:spPr bwMode="auto">
                    <a:xfrm>
                      <a:off x="0" y="0"/>
                      <a:ext cx="5969000" cy="7340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58"/>
    <w:bookmarkEnd w:id="59"/>
    <w:bookmarkStart w:id="60" w:name="results-1"/>
    <w:p>
      <w:pPr>
        <w:pStyle w:val="berschrift2"/>
      </w:pP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w:t>
      </w:r>
    </w:p>
    <w:bookmarkEnd w:id="60"/>
    <w:bookmarkStart w:id="64" w:name="articulation-1"/>
    <w:p>
      <w:pPr>
        <w:pStyle w:val="berschrift2"/>
      </w:pPr>
      <w:r>
        <w:t xml:space="preserve">Articulation</w:t>
      </w:r>
    </w:p>
    <w:bookmarkStart w:id="61" w:name="inter-onset-intervals-iois-2"/>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 two-tailed,</w:t>
      </w:r>
      <w:r>
        <w:t xml:space="preserve"> </w:t>
      </w:r>
      <w:r>
        <w:rPr>
          <w:iCs/>
          <w:i/>
        </w:rPr>
        <w:t xml:space="preserve">Fig</w:t>
      </w:r>
      <w:r>
        <w:rPr>
          <w:iCs/>
          <w:i/>
        </w:rPr>
        <w:t xml:space="preserve"> </w:t>
      </w:r>
      <w:r>
        <w:t xml:space="preserve">). A Wilcoxon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 two-tailed).</w:t>
      </w:r>
    </w:p>
    <w:bookmarkEnd w:id="61"/>
    <w:bookmarkStart w:id="62" w:name="key-overlap-ratios-kors"/>
    <w:p>
      <w:pPr>
        <w:pStyle w:val="berschrift3"/>
      </w:pPr>
      <w:r>
        <w:t xml:space="preserve">Key-Overlap Ratios (KORs).</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2566,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8.75,</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KORs were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&lt; 0.001). For legato there was no significant difference in KORs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0.64).</w:t>
      </w:r>
    </w:p>
    <w:bookmarkEnd w:id="62"/>
    <w:bookmarkStart w:id="63" w:name="key-velocity-kv-2"/>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7.85,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1.34,</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0.15,</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63"/>
    <w:bookmarkEnd w:id="64"/>
    <w:bookmarkStart w:id="69" w:name="dynamics-1"/>
    <w:p>
      <w:pPr>
        <w:pStyle w:val="berschrift2"/>
      </w:pPr>
      <w:r>
        <w:t xml:space="preserve">Dynamics</w:t>
      </w:r>
    </w:p>
    <w:bookmarkStart w:id="65" w:name="inter-onset-intervals-iois-3"/>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 two-tailed,</w:t>
      </w:r>
      <w:r>
        <w:t xml:space="preserve"> </w:t>
      </w:r>
      <w:r>
        <w:rPr>
          <w:iCs/>
          <w:i/>
        </w:rPr>
        <w:t xml:space="preserve">Fig</w:t>
      </w:r>
      <w:r>
        <w:rPr>
          <w:iCs/>
          <w:i/>
        </w:rPr>
        <w:t xml:space="preserve"> </w:t>
      </w:r>
      <w:r>
        <w:t xml:space="preserve">). A Wilcoxon Signed-rank test also confirmed that there was no significant difference between the two conditions (</w:t>
      </w:r>
      <w:r>
        <w:rPr>
          <w:iCs/>
          <w:i/>
        </w:rPr>
        <w:t xml:space="preserve">p</w:t>
      </w:r>
      <w:r>
        <w:t xml:space="preserve"> </w:t>
      </w:r>
      <w:r>
        <w:t xml:space="preserve">= 0.96,</w:t>
      </w:r>
      <w:r>
        <w:t xml:space="preserve"> </w:t>
      </w:r>
      <w:r>
        <w:rPr>
          <w:iCs/>
          <w:i/>
        </w:rPr>
        <w:t xml:space="preserve">r</w:t>
      </w:r>
      <w:r>
        <w:t xml:space="preserve"> </w:t>
      </w:r>
      <w:r>
        <w:t xml:space="preserve">= 0.02, two-tailed).</w:t>
      </w:r>
    </w:p>
    <w:bookmarkEnd w:id="65"/>
    <w:bookmarkStart w:id="66" w:name="key-velocity-kv-3"/>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6.11,</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83.20,</w:t>
      </w:r>
      <w:r>
        <w:t xml:space="preserve"> </w:t>
      </w:r>
      <w:r>
        <w:rPr>
          <w:iCs/>
          <w:i/>
        </w:rPr>
        <w:t xml:space="preserve">SD</w:t>
      </w:r>
      <w:r>
        <w:t xml:space="preserve"> </w:t>
      </w:r>
      <w:r>
        <w:t xml:space="preserve">= 8.84] than in the performing condition [</w:t>
      </w:r>
      <w:r>
        <w:rPr>
          <w:iCs/>
          <w:i/>
        </w:rPr>
        <w:t xml:space="preserve">M</w:t>
      </w:r>
      <w:r>
        <w:t xml:space="preserve"> </w:t>
      </w:r>
      <w:r>
        <w:t xml:space="preserve">= 81.49,</w:t>
      </w:r>
      <w:r>
        <w:t xml:space="preserve"> </w:t>
      </w:r>
      <w:r>
        <w:rPr>
          <w:iCs/>
          <w:i/>
        </w:rPr>
        <w:t xml:space="preserve">SD</w:t>
      </w:r>
      <w:r>
        <w:t xml:space="preserve"> </w:t>
      </w:r>
      <w:r>
        <w:t xml:space="preserve">= 8.12] (</w:t>
      </w:r>
      <w:r>
        <w:rPr>
          <w:iCs/>
          <w:i/>
        </w:rPr>
        <w:t xml:space="preserve">p</w:t>
      </w:r>
      <w:r>
        <w:t xml:space="preserve"> </w:t>
      </w:r>
      <w:r>
        <w:t xml:space="preserve">= 0.020) when instructed to play forte. Also, KV was lower in the teaching condition [</w:t>
      </w:r>
      <w:r>
        <w:rPr>
          <w:iCs/>
          <w:i/>
        </w:rPr>
        <w:t xml:space="preserve">M</w:t>
      </w:r>
      <w:r>
        <w:t xml:space="preserve"> </w:t>
      </w:r>
      <w:r>
        <w:t xml:space="preserve">= 60.54,</w:t>
      </w:r>
      <w:r>
        <w:t xml:space="preserve"> </w:t>
      </w:r>
      <w:r>
        <w:rPr>
          <w:iCs/>
          <w:i/>
        </w:rPr>
        <w:t xml:space="preserve">SD</w:t>
      </w:r>
      <w:r>
        <w:t xml:space="preserve"> </w:t>
      </w:r>
      <w:r>
        <w:t xml:space="preserve">= 3.76] than in the performing condition [</w:t>
      </w:r>
      <w:r>
        <w:rPr>
          <w:iCs/>
          <w:i/>
        </w:rPr>
        <w:t xml:space="preserve">M</w:t>
      </w:r>
      <w:r>
        <w:t xml:space="preserve"> </w:t>
      </w:r>
      <w:r>
        <w:t xml:space="preserve">= 62.43,</w:t>
      </w:r>
      <w:r>
        <w:t xml:space="preserve"> </w:t>
      </w:r>
      <w:r>
        <w:rPr>
          <w:iCs/>
          <w:i/>
        </w:rPr>
        <w:t xml:space="preserve">SD</w:t>
      </w:r>
      <w:r>
        <w:t xml:space="preserve"> </w:t>
      </w:r>
      <w:r>
        <w:t xml:space="preserve">= 4.83] (</w:t>
      </w:r>
      <w:r>
        <w:rPr>
          <w:iCs/>
          <w:i/>
        </w:rPr>
        <w:t xml:space="preserve">p</w:t>
      </w:r>
      <w:r>
        <w:t xml:space="preserve"> </w:t>
      </w:r>
      <w:r>
        <w:t xml:space="preserve">= 0.046) when instructed to play piano.</w:t>
      </w:r>
    </w:p>
    <w:bookmarkEnd w:id="66"/>
    <w:bookmarkStart w:id="67" w:name="kv-transition-points-1"/>
    <w:p>
      <w:pPr>
        <w:pStyle w:val="berschrift3"/>
      </w:pP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(1,19) = 9.13,</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0.028) and from piano to forte (</w:t>
      </w:r>
      <w:r>
        <w:rPr>
          <w:iCs/>
          <w:i/>
        </w:rPr>
        <w:t xml:space="preserve">p</w:t>
      </w:r>
      <w:r>
        <w:t xml:space="preserve"> </w:t>
      </w:r>
      <w:r>
        <w:t xml:space="preserve">= 0.004) in the teaching condition [FtoP:</w:t>
      </w:r>
      <w:r>
        <w:t xml:space="preserve"> </w:t>
      </w:r>
      <w:r>
        <w:rPr>
          <w:iCs/>
          <w:i/>
        </w:rPr>
        <w:t xml:space="preserve">M</w:t>
      </w:r>
      <w:r>
        <w:t xml:space="preserve"> </w:t>
      </w:r>
      <w:r>
        <w:t xml:space="preserve">= -17.28,</w:t>
      </w:r>
      <w:r>
        <w:t xml:space="preserve"> </w:t>
      </w:r>
      <w:r>
        <w:rPr>
          <w:iCs/>
          <w:i/>
        </w:rPr>
        <w:t xml:space="preserve">SD</w:t>
      </w:r>
      <w:r>
        <w:t xml:space="preserve"> </w:t>
      </w:r>
      <w:r>
        <w:t xml:space="preserve">= 8.17, PtoF:</w:t>
      </w:r>
      <w:r>
        <w:t xml:space="preserve"> </w:t>
      </w:r>
      <w:r>
        <w:rPr>
          <w:iCs/>
          <w:i/>
        </w:rPr>
        <w:t xml:space="preserve">M</w:t>
      </w:r>
      <w:r>
        <w:t xml:space="preserve"> </w:t>
      </w:r>
      <w:r>
        <w:t xml:space="preserve">= 20.72,</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-14.08,</w:t>
      </w:r>
      <w:r>
        <w:t xml:space="preserve"> </w:t>
      </w:r>
      <w:r>
        <w:rPr>
          <w:iCs/>
          <w:i/>
        </w:rPr>
        <w:t xml:space="preserve">SD</w:t>
      </w:r>
      <w:r>
        <w:t xml:space="preserve"> </w:t>
      </w:r>
      <w:r>
        <w:t xml:space="preserve">= 7.62, PtoF:</w:t>
      </w:r>
      <w:r>
        <w:t xml:space="preserve"> </w:t>
      </w:r>
      <w:r>
        <w:rPr>
          <w:iCs/>
          <w:i/>
        </w:rPr>
        <w:t xml:space="preserve">M</w:t>
      </w:r>
      <w:r>
        <w:t xml:space="preserve"> </w:t>
      </w:r>
      <w:r>
        <w:t xml:space="preserve">= 16.08,</w:t>
      </w:r>
      <w:r>
        <w:t xml:space="preserve"> </w:t>
      </w:r>
      <w:r>
        <w:rPr>
          <w:iCs/>
          <w:i/>
        </w:rPr>
        <w:t xml:space="preserve">SD</w:t>
      </w:r>
      <w:r>
        <w:t xml:space="preserve"> </w:t>
      </w:r>
      <w:r>
        <w:t xml:space="preserve">= 7.32].</w:t>
      </w:r>
    </w:p>
    <w:bookmarkEnd w:id="67"/>
    <w:bookmarkStart w:id="68" w:name="key-overlap-ratios-kors-1"/>
    <w:p>
      <w:pPr>
        <w:pStyle w:val="berschrift3"/>
      </w:pPr>
      <w:r>
        <w:t xml:space="preserve">Key-Overlap Ratios (KORs).</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629,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key-overlap for forte notes compared to piano notes. Neither the main effect of Condition (</w:t>
      </w:r>
      <w:r>
        <w:rPr>
          <w:iCs/>
          <w:i/>
        </w:rPr>
        <w:t xml:space="preserve">F</w:t>
      </w:r>
      <w:r>
        <w:t xml:space="preserve">(1,19) = 0.084,</w:t>
      </w:r>
      <w:r>
        <w:t xml:space="preserve"> </w:t>
      </w:r>
      <w:r>
        <w:rPr>
          <w:iCs/>
          <w:i/>
        </w:rPr>
        <w:t xml:space="preserve">p</w:t>
      </w:r>
      <w:r>
        <w:t xml:space="preserve"> </w:t>
      </w:r>
      <w:r>
        <w:t xml:space="preserve">= 0.77,</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0.45,</w:t>
      </w:r>
      <w:r>
        <w:t xml:space="preserve"> </w:t>
      </w:r>
      <w:r>
        <w:rPr>
          <w:iCs/>
          <w:i/>
        </w:rPr>
        <w:t xml:space="preserve">p</w:t>
      </w:r>
      <w:r>
        <w:t xml:space="preserve"> </w:t>
      </w:r>
      <w:r>
        <w:t xml:space="preserve">= 0.51,</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68"/>
    <w:bookmarkEnd w:id="69"/>
    <w:bookmarkStart w:id="82" w:name="discussion-1"/>
    <w:p>
      <w:pPr>
        <w:pStyle w:val="berschrift2"/>
      </w:pPr>
      <w:r>
        <w:t xml:space="preserve">Discussion</w:t>
      </w:r>
    </w:p>
    <w:p>
      <w:pPr>
        <w:pStyle w:val="FirstParagraph"/>
      </w:pPr>
      <w:r>
        <w:t xml:space="preserve">The results from Experiment 2 replicate our earlier findings and provide further evidence that skilled pianists were able to modulate their performance for teaching purposes. As in Experiment 1, we observed slower performance only while teaching the notated articulation. Again, KORs showed that when teaching articulation, participants exaggerated staccato while there was no significant difference in legato between the two conditions. While teaching dynamics, KV showed that participants exaggerated forte and piano. This pattern of exaggeration was more pronounced than in Experiment 1, where only higher KV for forte was observed.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71" name="Picture"/>
            <a:graphic>
              <a:graphicData uri="http://schemas.openxmlformats.org/drawingml/2006/picture">
                <pic:pic>
                  <pic:nvPicPr>
                    <pic:cNvPr descr="manuscript_files/figure-docx/plot-ioi-2-1.png" id="72" name="Picture"/>
                    <pic:cNvPicPr>
                      <a:picLocks noChangeArrowheads="1" noChangeAspect="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2: Normalised IOIs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7.  Experiment 2: KORs when playing the piece with either articulation (left) or dynamics (right). Each box indicates the IQR with the median, and whiskers extend to a maximum of 1.5 × IQR beyond the box. Significance levels: *  &lt; .05, **  &lt; .01, ***  &lt; .001" title="" id="74" name="Picture"/>
            <a:graphic>
              <a:graphicData uri="http://schemas.openxmlformats.org/drawingml/2006/picture">
                <pic:pic>
                  <pic:nvPicPr>
                    <pic:cNvPr descr="manuscript_files/figure-docx/plot-kor-2-1.png" id="75" name="Picture"/>
                    <pic:cNvPicPr>
                      <a:picLocks noChangeArrowheads="1" noChangeAspect="1"/>
                    </pic:cNvPicPr>
                  </pic:nvPicPr>
                  <pic:blipFill>
                    <a:blip r:embed="rId7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Experiment 2: KORs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77" name="Picture"/>
            <a:graphic>
              <a:graphicData uri="http://schemas.openxmlformats.org/drawingml/2006/picture">
                <pic:pic>
                  <pic:nvPicPr>
                    <pic:cNvPr descr="manuscript_files/figure-docx/plot-vel-2-1.png" id="78" name="Picture"/>
                    <pic:cNvPicPr>
                      <a:picLocks noChangeArrowheads="1" noChangeAspect="1"/>
                    </pic:cNvPicPr>
                  </pic:nvPicPr>
                  <pic:blipFill>
                    <a:blip r:embed="rId7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80" name="Picture"/>
            <a:graphic>
              <a:graphicData uri="http://schemas.openxmlformats.org/drawingml/2006/picture">
                <pic:pic>
                  <pic:nvPicPr>
                    <pic:cNvPr descr="manuscript_files/figure-docx/plot-vel-diff-1.png" id="81" name="Picture"/>
                    <pic:cNvPicPr>
                      <a:picLocks noChangeArrowheads="1" noChangeAspect="1"/>
                    </pic:cNvPicPr>
                  </pic:nvPicPr>
                  <pic:blipFill>
                    <a:blip r:embed="rId79"/>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82"/>
    <w:bookmarkEnd w:id="83"/>
    <w:bookmarkStart w:id="84" w:name="general-discussion"/>
    <w:p>
      <w:pPr>
        <w:pStyle w:val="berschrift1"/>
      </w:pPr>
      <w:r>
        <w:t xml:space="preserve">General Discussion</w:t>
      </w:r>
    </w:p>
    <w:p>
      <w:pPr>
        <w:pStyle w:val="FirstParagraph"/>
      </w:pPr>
      <w:r>
        <w:t xml:space="preserve">The aim of the study was to investigate how expert pianists modulate their performance to teach expressive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expressive techniques where timing itself can be used to add an expression to a performance.</w:t>
      </w:r>
    </w:p>
    <w:p>
      <w:pPr>
        <w:pStyle w:val="Textkrper"/>
      </w:pPr>
      <w:r>
        <w:t xml:space="preserve">Musicians and music teachers tend to consider expressive skills as a performer’s most important skill</w:t>
      </w:r>
      <w:r>
        <w:rPr>
          <w:vertAlign w:val="superscript"/>
        </w:rPr>
        <w:t xml:space="preserve">19</w:t>
      </w:r>
      <w:r>
        <w:t xml:space="preserve">. In the present study, experts focused on the teaching of expressions that were notated. However, expression also has other facets</w:t>
      </w:r>
      <w:r>
        <w:rPr>
          <w:vertAlign w:val="superscript"/>
        </w:rPr>
        <w:t xml:space="preserve">20</w:t>
      </w:r>
      <w:r>
        <w:t xml:space="preserve"> </w:t>
      </w:r>
      <w:r>
        <w:t xml:space="preserve">that are not only piece-related but performer- or context-related. An interesting topic for future research is how experts teach not only expressive techniques as such but convey possibilities of interpretation.</w:t>
      </w:r>
    </w:p>
    <w:p>
      <w:pPr>
        <w:pStyle w:val="Textkrper"/>
      </w:pPr>
      <w:r>
        <w:t xml:space="preserve">One limitation of the study is that although we instructed participants to imagine a situation in which they were teaching musical expression to students, there was no feedback from actual students. Given that teachers modulate their demonstration throughout online interactions with learners</w:t>
      </w:r>
      <w:r>
        <w:rPr>
          <w:vertAlign w:val="superscript"/>
        </w:rPr>
        <w:t xml:space="preserve">21</w:t>
      </w:r>
      <w:r>
        <w:t xml:space="preserve">, future studies are needed to investigate how experts dynamically adapt their performance to their students’ skill level and demonstrated abilities.</w:t>
      </w:r>
    </w:p>
    <w:p>
      <w:pPr>
        <w:pStyle w:val="Textkrper"/>
      </w:pPr>
      <w:r>
        <w:t xml:space="preserve">The present findings extend earlier research on teaching-related action modulations. First, our study sheds light on the teaching of expressive techniques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rPr>
          <w:vertAlign w:val="superscript"/>
        </w:rPr>
        <w:t xml:space="preserve">22</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84"/>
    <w:bookmarkStart w:id="128" w:name="references"/>
    <w:p>
      <w:pPr>
        <w:pStyle w:val="berschrift1"/>
      </w:pPr>
      <w:r>
        <w:t xml:space="preserve">References</w:t>
      </w:r>
    </w:p>
    <w:bookmarkStart w:id="127" w:name="refs"/>
    <w:bookmarkStart w:id="86" w:name="ref-thornton_2008"/>
    <w:p>
      <w:pPr>
        <w:pStyle w:val="Literaturverzeichnis"/>
      </w:pPr>
      <w:r>
        <w:t xml:space="preserve">1.</w:t>
      </w:r>
      <w:r>
        <w:t xml:space="preserve"> </w:t>
      </w:r>
      <w:r>
        <w:t xml:space="preserve">	</w:t>
      </w:r>
      <w:r>
        <w:t xml:space="preserve">Thornton, A. &amp; Raihani, N. J.</w:t>
      </w:r>
      <w:r>
        <w:t xml:space="preserve"> </w:t>
      </w:r>
      <w:hyperlink r:id="rId85">
        <w:r>
          <w:rPr>
            <w:rStyle w:val="Hyperlink"/>
          </w:rPr>
          <w:t xml:space="preserve">The evolution of teaching</w:t>
        </w:r>
      </w:hyperlink>
      <w:r>
        <w:t xml:space="preserve">.</w:t>
      </w:r>
      <w:r>
        <w:t xml:space="preserve"> </w:t>
      </w:r>
      <w:r>
        <w:rPr>
          <w:iCs/>
          <w:i/>
        </w:rPr>
        <w:t xml:space="preserve">Animal Behaviour</w:t>
      </w:r>
      <w:r>
        <w:t xml:space="preserve"> </w:t>
      </w:r>
      <w:r>
        <w:rPr>
          <w:bCs/>
          <w:b/>
        </w:rPr>
        <w:t xml:space="preserve">75</w:t>
      </w:r>
      <w:r>
        <w:t xml:space="preserve">, 1823–1836 (2008).</w:t>
      </w:r>
    </w:p>
    <w:bookmarkEnd w:id="86"/>
    <w:bookmarkStart w:id="88" w:name="ref-tomasello_2016"/>
    <w:p>
      <w:pPr>
        <w:pStyle w:val="Literaturverzeichnis"/>
      </w:pPr>
      <w:r>
        <w:t xml:space="preserve">2.</w:t>
      </w:r>
      <w:r>
        <w:t xml:space="preserve"> </w:t>
      </w:r>
      <w:r>
        <w:t xml:space="preserve">	</w:t>
      </w:r>
      <w:r>
        <w:t xml:space="preserve">Tomasello, M.</w:t>
      </w:r>
      <w:r>
        <w:t xml:space="preserve"> </w:t>
      </w:r>
      <w:hyperlink r:id="rId87">
        <w:r>
          <w:rPr>
            <w:rStyle w:val="Hyperlink"/>
          </w:rPr>
          <w:t xml:space="preserve">The ontogeny of cultural learning</w:t>
        </w:r>
      </w:hyperlink>
      <w:r>
        <w:t xml:space="preserve">.</w:t>
      </w:r>
      <w:r>
        <w:t xml:space="preserve"> </w:t>
      </w:r>
      <w:r>
        <w:rPr>
          <w:iCs/>
          <w:i/>
        </w:rPr>
        <w:t xml:space="preserve">Current Opinion in Psychology</w:t>
      </w:r>
      <w:r>
        <w:t xml:space="preserve"> </w:t>
      </w:r>
      <w:r>
        <w:rPr>
          <w:bCs/>
          <w:b/>
        </w:rPr>
        <w:t xml:space="preserve">8</w:t>
      </w:r>
      <w:r>
        <w:t xml:space="preserve">, 1–4 (2016).</w:t>
      </w:r>
    </w:p>
    <w:bookmarkEnd w:id="88"/>
    <w:bookmarkStart w:id="90" w:name="ref-brand_2002"/>
    <w:p>
      <w:pPr>
        <w:pStyle w:val="Literaturverzeichnis"/>
      </w:pPr>
      <w:r>
        <w:t xml:space="preserve">3.</w:t>
      </w:r>
      <w:r>
        <w:t xml:space="preserve"> </w:t>
      </w:r>
      <w:r>
        <w:t xml:space="preserve">	</w:t>
      </w:r>
      <w:r>
        <w:t xml:space="preserve">Brand, R. J., Baldwin, D. A. &amp; Ashburn, L. A.</w:t>
      </w:r>
      <w:r>
        <w:t xml:space="preserve"> </w:t>
      </w:r>
      <w:hyperlink r:id="rId89">
        <w:r>
          <w:rPr>
            <w:rStyle w:val="Hyperlink"/>
          </w:rPr>
          <w:t xml:space="preserve">Evidence for</w:t>
        </w:r>
        <w:r>
          <w:rPr>
            <w:rStyle w:val="Hyperlink"/>
          </w:rPr>
          <w:t xml:space="preserve"> </w:t>
        </w:r>
        <w:r>
          <w:rPr>
            <w:rStyle w:val="Hyperlink"/>
          </w:rPr>
          <w:t xml:space="preserve">‘motionese’</w:t>
        </w:r>
        <w:r>
          <w:rPr>
            <w:rStyle w:val="Hyperlink"/>
          </w:rPr>
          <w:t xml:space="preserve">: Modifications in mothers’ infant-directed action</w:t>
        </w:r>
      </w:hyperlink>
      <w:r>
        <w:t xml:space="preserve">.</w:t>
      </w:r>
      <w:r>
        <w:t xml:space="preserve"> </w:t>
      </w:r>
      <w:r>
        <w:rPr>
          <w:iCs/>
          <w:i/>
        </w:rPr>
        <w:t xml:space="preserve">Developmental Science</w:t>
      </w:r>
      <w:r>
        <w:t xml:space="preserve"> </w:t>
      </w:r>
      <w:r>
        <w:rPr>
          <w:bCs/>
          <w:b/>
        </w:rPr>
        <w:t xml:space="preserve">5</w:t>
      </w:r>
      <w:r>
        <w:t xml:space="preserve">, 72–83 (2002).</w:t>
      </w:r>
    </w:p>
    <w:bookmarkEnd w:id="90"/>
    <w:bookmarkStart w:id="92" w:name="ref-saint-georges_2013"/>
    <w:p>
      <w:pPr>
        <w:pStyle w:val="Literaturverzeichnis"/>
      </w:pPr>
      <w:r>
        <w:t xml:space="preserve">4.</w:t>
      </w:r>
      <w:r>
        <w:t xml:space="preserve"> </w:t>
      </w:r>
      <w:r>
        <w:t xml:space="preserve">	</w:t>
      </w:r>
      <w:r>
        <w:t xml:space="preserve">Saint-Georges, C.</w:t>
      </w:r>
      <w:r>
        <w:t xml:space="preserve"> </w:t>
      </w:r>
      <w:r>
        <w:rPr>
          <w:iCs/>
          <w:i/>
        </w:rPr>
        <w:t xml:space="preserve">et al.</w:t>
      </w:r>
      <w:r>
        <w:t xml:space="preserve"> </w:t>
      </w:r>
      <w:hyperlink r:id="rId91">
        <w:r>
          <w:rPr>
            <w:rStyle w:val="Hyperlink"/>
          </w:rPr>
          <w:t xml:space="preserve">Motherese in</w:t>
        </w:r>
        <w:r>
          <w:rPr>
            <w:rStyle w:val="Hyperlink"/>
          </w:rPr>
          <w:t xml:space="preserve"> </w:t>
        </w:r>
        <w:r>
          <w:rPr>
            <w:rStyle w:val="Hyperlink"/>
          </w:rPr>
          <w:t xml:space="preserve">Interaction</w:t>
        </w:r>
        <w:r>
          <w:rPr>
            <w:rStyle w:val="Hyperlink"/>
          </w:rPr>
          <w:t xml:space="preserve">:</w:t>
        </w:r>
        <w:r>
          <w:rPr>
            <w:rStyle w:val="Hyperlink"/>
          </w:rPr>
          <w:t xml:space="preserve"> </w:t>
        </w:r>
        <w:r>
          <w:rPr>
            <w:rStyle w:val="Hyperlink"/>
          </w:rPr>
          <w:t xml:space="preserve">At</w:t>
        </w:r>
        <w:r>
          <w:rPr>
            <w:rStyle w:val="Hyperlink"/>
          </w:rPr>
          <w:t xml:space="preserve"> </w:t>
        </w:r>
        <w:r>
          <w:rPr>
            <w:rStyle w:val="Hyperlink"/>
          </w:rPr>
          <w:t xml:space="preserve">the</w:t>
        </w:r>
        <w:r>
          <w:rPr>
            <w:rStyle w:val="Hyperlink"/>
          </w:rPr>
          <w:t xml:space="preserve"> </w:t>
        </w:r>
        <w:r>
          <w:rPr>
            <w:rStyle w:val="Hyperlink"/>
          </w:rPr>
          <w:t xml:space="preserve">Cross-Road</w:t>
        </w:r>
        <w:r>
          <w:rPr>
            <w:rStyle w:val="Hyperlink"/>
          </w:rPr>
          <w:t xml:space="preserve"> </w:t>
        </w:r>
        <w:r>
          <w:rPr>
            <w:rStyle w:val="Hyperlink"/>
          </w:rPr>
          <w:t xml:space="preserve">of</w:t>
        </w:r>
        <w:r>
          <w:rPr>
            <w:rStyle w:val="Hyperlink"/>
          </w:rPr>
          <w:t xml:space="preserve"> </w:t>
        </w:r>
        <w:r>
          <w:rPr>
            <w:rStyle w:val="Hyperlink"/>
          </w:rPr>
          <w:t xml:space="preserve">Emotion</w:t>
        </w:r>
        <w:r>
          <w:rPr>
            <w:rStyle w:val="Hyperlink"/>
          </w:rPr>
          <w:t xml:space="preserve"> </w:t>
        </w:r>
        <w:r>
          <w:rPr>
            <w:rStyle w:val="Hyperlink"/>
          </w:rPr>
          <w:t xml:space="preserve">and</w:t>
        </w:r>
        <w:r>
          <w:rPr>
            <w:rStyle w:val="Hyperlink"/>
          </w:rPr>
          <w:t xml:space="preserve"> </w:t>
        </w:r>
        <w:r>
          <w:rPr>
            <w:rStyle w:val="Hyperlink"/>
          </w:rPr>
          <w:t xml:space="preserve">Cognition</w:t>
        </w:r>
        <w:r>
          <w:rPr>
            <w:rStyle w:val="Hyperlink"/>
          </w:rPr>
          <w:t xml:space="preserve">? (</w:t>
        </w:r>
        <w:r>
          <w:rPr>
            <w:rStyle w:val="Hyperlink"/>
          </w:rPr>
          <w:t xml:space="preserve">A Systematic Review</w:t>
        </w:r>
        <w:r>
          <w:rPr>
            <w:rStyle w:val="Hyperlink"/>
          </w:rPr>
          <w:t xml:space="preserve">)</w:t>
        </w:r>
      </w:hyperlink>
      <w:r>
        <w:t xml:space="preserve">.</w:t>
      </w:r>
      <w:r>
        <w:t xml:space="preserve"> </w:t>
      </w:r>
      <w:r>
        <w:rPr>
          <w:iCs/>
          <w:i/>
        </w:rPr>
        <w:t xml:space="preserve">PLOS ONE</w:t>
      </w:r>
      <w:r>
        <w:t xml:space="preserve"> </w:t>
      </w:r>
      <w:r>
        <w:rPr>
          <w:bCs/>
          <w:b/>
        </w:rPr>
        <w:t xml:space="preserve">8</w:t>
      </w:r>
      <w:r>
        <w:t xml:space="preserve">, e78103 (2013).</w:t>
      </w:r>
    </w:p>
    <w:bookmarkEnd w:id="92"/>
    <w:bookmarkStart w:id="94" w:name="ref-uther_2007"/>
    <w:p>
      <w:pPr>
        <w:pStyle w:val="Literaturverzeichnis"/>
      </w:pPr>
      <w:r>
        <w:t xml:space="preserve">5.</w:t>
      </w:r>
      <w:r>
        <w:t xml:space="preserve"> </w:t>
      </w:r>
      <w:r>
        <w:t xml:space="preserve">	</w:t>
      </w:r>
      <w:r>
        <w:t xml:space="preserve">Uther, M., Knoll, M. A. &amp; Burnham, D.</w:t>
      </w:r>
      <w:r>
        <w:t xml:space="preserve"> </w:t>
      </w:r>
      <w:hyperlink r:id="rId93">
        <w:r>
          <w:rPr>
            <w:rStyle w:val="Hyperlink"/>
          </w:rPr>
          <w:t xml:space="preserve">Do you speak</w:t>
        </w:r>
        <w:r>
          <w:rPr>
            <w:rStyle w:val="Hyperlink"/>
          </w:rPr>
          <w:t xml:space="preserve"> </w:t>
        </w:r>
        <w:r>
          <w:rPr>
            <w:rStyle w:val="Hyperlink"/>
          </w:rPr>
          <w:t xml:space="preserve">E-NG-L-I-SH</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comparison of foreigner- and infant-directed speech</w:t>
        </w:r>
      </w:hyperlink>
      <w:r>
        <w:t xml:space="preserve">.</w:t>
      </w:r>
      <w:r>
        <w:t xml:space="preserve"> </w:t>
      </w:r>
      <w:r>
        <w:rPr>
          <w:iCs/>
          <w:i/>
        </w:rPr>
        <w:t xml:space="preserve">Speech Communication</w:t>
      </w:r>
      <w:r>
        <w:t xml:space="preserve"> </w:t>
      </w:r>
      <w:r>
        <w:rPr>
          <w:bCs/>
          <w:b/>
        </w:rPr>
        <w:t xml:space="preserve">49</w:t>
      </w:r>
      <w:r>
        <w:t xml:space="preserve">, 2–7 (2007).</w:t>
      </w:r>
    </w:p>
    <w:bookmarkEnd w:id="94"/>
    <w:bookmarkStart w:id="96" w:name="ref-mcellin_2017"/>
    <w:p>
      <w:pPr>
        <w:pStyle w:val="Literaturverzeichnis"/>
      </w:pPr>
      <w:r>
        <w:t xml:space="preserve">6.</w:t>
      </w:r>
      <w:r>
        <w:t xml:space="preserve"> </w:t>
      </w:r>
      <w:r>
        <w:t xml:space="preserve">	</w:t>
      </w:r>
      <w:r>
        <w:t xml:space="preserve">McEllin, L., Knoblich, G. &amp; Sebanz, N.</w:t>
      </w:r>
      <w:r>
        <w:t xml:space="preserve"> </w:t>
      </w:r>
      <w:hyperlink r:id="rId95">
        <w:r>
          <w:rPr>
            <w:rStyle w:val="Hyperlink"/>
          </w:rPr>
          <w:t xml:space="preserve">Distinct kinematic markers of demonstration and joint action coordination?</w:t>
        </w:r>
        <w:r>
          <w:rPr>
            <w:rStyle w:val="Hyperlink"/>
          </w:rPr>
          <w:t xml:space="preserve"> </w:t>
        </w:r>
        <w:r>
          <w:rPr>
            <w:rStyle w:val="Hyperlink"/>
          </w:rPr>
          <w:t xml:space="preserve">Evidence</w:t>
        </w:r>
        <w:r>
          <w:rPr>
            <w:rStyle w:val="Hyperlink"/>
          </w:rPr>
          <w:t xml:space="preserve"> </w:t>
        </w:r>
        <w:r>
          <w:rPr>
            <w:rStyle w:val="Hyperlink"/>
          </w:rPr>
          <w:t xml:space="preserve">from virtual xylophone playing.</w:t>
        </w:r>
      </w:hyperlink>
      <w:r>
        <w:t xml:space="preserve"> </w:t>
      </w:r>
      <w:r>
        <w:rPr>
          <w:iCs/>
          <w:i/>
        </w:rPr>
        <w:t xml:space="preserve">Journal of Experimental Psychology: Human Perception and Performance</w:t>
      </w:r>
      <w:r>
        <w:t xml:space="preserve"> </w:t>
      </w:r>
      <w:r>
        <w:rPr>
          <w:bCs/>
          <w:b/>
        </w:rPr>
        <w:t xml:space="preserve">44</w:t>
      </w:r>
      <w:r>
        <w:t xml:space="preserve">, 885 (2017).</w:t>
      </w:r>
    </w:p>
    <w:bookmarkEnd w:id="96"/>
    <w:bookmarkStart w:id="98" w:name="ref-csibra_2009"/>
    <w:p>
      <w:pPr>
        <w:pStyle w:val="Literaturverzeichnis"/>
      </w:pPr>
      <w:r>
        <w:t xml:space="preserve">7.</w:t>
      </w:r>
      <w:r>
        <w:t xml:space="preserve"> </w:t>
      </w:r>
      <w:r>
        <w:t xml:space="preserve">	</w:t>
      </w:r>
      <w:r>
        <w:t xml:space="preserve">Csibra, G. &amp; Gergely, G.</w:t>
      </w:r>
      <w:r>
        <w:t xml:space="preserve"> </w:t>
      </w:r>
      <w:hyperlink r:id="rId97">
        <w:r>
          <w:rPr>
            <w:rStyle w:val="Hyperlink"/>
          </w:rPr>
          <w:t xml:space="preserve">Natural pedagogy</w:t>
        </w:r>
      </w:hyperlink>
      <w:r>
        <w:t xml:space="preserve">.</w:t>
      </w:r>
      <w:r>
        <w:t xml:space="preserve"> </w:t>
      </w:r>
      <w:r>
        <w:rPr>
          <w:iCs/>
          <w:i/>
        </w:rPr>
        <w:t xml:space="preserve">Trends in Cognitive Sciences</w:t>
      </w:r>
      <w:r>
        <w:t xml:space="preserve"> </w:t>
      </w:r>
      <w:r>
        <w:rPr>
          <w:bCs/>
          <w:b/>
        </w:rPr>
        <w:t xml:space="preserve">13</w:t>
      </w:r>
      <w:r>
        <w:t xml:space="preserve">, 148–153 (2009).</w:t>
      </w:r>
    </w:p>
    <w:bookmarkEnd w:id="98"/>
    <w:bookmarkStart w:id="100" w:name="ref-campisi_2013"/>
    <w:p>
      <w:pPr>
        <w:pStyle w:val="Literaturverzeichnis"/>
      </w:pPr>
      <w:r>
        <w:t xml:space="preserve">8.</w:t>
      </w:r>
      <w:r>
        <w:t xml:space="preserve"> </w:t>
      </w:r>
      <w:r>
        <w:t xml:space="preserve">	</w:t>
      </w:r>
      <w:r>
        <w:t xml:space="preserve">Campisi, E. &amp; Özyürek, A.</w:t>
      </w:r>
      <w:r>
        <w:t xml:space="preserve"> </w:t>
      </w:r>
      <w:hyperlink r:id="rId99">
        <w:r>
          <w:rPr>
            <w:rStyle w:val="Hyperlink"/>
          </w:rPr>
          <w:t xml:space="preserve">Iconicity as a communicative strategy:</w:t>
        </w:r>
        <w:r>
          <w:rPr>
            <w:rStyle w:val="Hyperlink"/>
          </w:rPr>
          <w:t xml:space="preserve"> </w:t>
        </w:r>
        <w:r>
          <w:rPr>
            <w:rStyle w:val="Hyperlink"/>
          </w:rPr>
          <w:t xml:space="preserve">Recipient</w:t>
        </w:r>
        <w:r>
          <w:rPr>
            <w:rStyle w:val="Hyperlink"/>
          </w:rPr>
          <w:t xml:space="preserve"> </w:t>
        </w:r>
        <w:r>
          <w:rPr>
            <w:rStyle w:val="Hyperlink"/>
          </w:rPr>
          <w:t xml:space="preserve">design in multimodal demonstrations for adults and children</w:t>
        </w:r>
      </w:hyperlink>
      <w:r>
        <w:t xml:space="preserve">.</w:t>
      </w:r>
      <w:r>
        <w:t xml:space="preserve"> </w:t>
      </w:r>
      <w:r>
        <w:rPr>
          <w:iCs/>
          <w:i/>
        </w:rPr>
        <w:t xml:space="preserve">Journal of Pragmatics</w:t>
      </w:r>
      <w:r>
        <w:t xml:space="preserve"> </w:t>
      </w:r>
      <w:r>
        <w:rPr>
          <w:bCs/>
          <w:b/>
        </w:rPr>
        <w:t xml:space="preserve">47</w:t>
      </w:r>
      <w:r>
        <w:t xml:space="preserve">, 14–27 (2013).</w:t>
      </w:r>
    </w:p>
    <w:bookmarkEnd w:id="100"/>
    <w:bookmarkStart w:id="102" w:name="ref-fukuyama_2015"/>
    <w:p>
      <w:pPr>
        <w:pStyle w:val="Literaturverzeichnis"/>
      </w:pPr>
      <w:r>
        <w:t xml:space="preserve">9.</w:t>
      </w:r>
      <w:r>
        <w:t xml:space="preserve"> </w:t>
      </w:r>
      <w:r>
        <w:t xml:space="preserve">	</w:t>
      </w:r>
      <w:r>
        <w:t xml:space="preserve">Fukuyama, H.</w:t>
      </w:r>
      <w:r>
        <w:t xml:space="preserve"> </w:t>
      </w:r>
      <w:r>
        <w:rPr>
          <w:iCs/>
          <w:i/>
        </w:rPr>
        <w:t xml:space="preserve">et al.</w:t>
      </w:r>
      <w:r>
        <w:t xml:space="preserve"> </w:t>
      </w:r>
      <w:hyperlink r:id="rId101">
        <w:r>
          <w:rPr>
            <w:rStyle w:val="Hyperlink"/>
          </w:rPr>
          <w:t xml:space="preserve">Infant’s action skill dynamically modulates parental action demonstration in the dyadic interaction</w:t>
        </w:r>
      </w:hyperlink>
      <w:r>
        <w:t xml:space="preserve">.</w:t>
      </w:r>
      <w:r>
        <w:t xml:space="preserve"> </w:t>
      </w:r>
      <w:r>
        <w:rPr>
          <w:iCs/>
          <w:i/>
        </w:rPr>
        <w:t xml:space="preserve">Developmental Science</w:t>
      </w:r>
      <w:r>
        <w:t xml:space="preserve"> </w:t>
      </w:r>
      <w:r>
        <w:rPr>
          <w:bCs/>
          <w:b/>
        </w:rPr>
        <w:t xml:space="preserve">18</w:t>
      </w:r>
      <w:r>
        <w:t xml:space="preserve">, 1006–1013 (2015).</w:t>
      </w:r>
    </w:p>
    <w:bookmarkEnd w:id="102"/>
    <w:bookmarkStart w:id="104" w:name="ref-schaik_2019"/>
    <w:p>
      <w:pPr>
        <w:pStyle w:val="Literaturverzeichnis"/>
      </w:pPr>
      <w:r>
        <w:t xml:space="preserve">10.</w:t>
      </w:r>
      <w:r>
        <w:t xml:space="preserve"> </w:t>
      </w:r>
      <w:r>
        <w:t xml:space="preserve">	</w:t>
      </w:r>
      <w:r>
        <w:t xml:space="preserve">Schaik, J. E. van, Meyer, M., Ham, C. R. van &amp; Hunnius, S.</w:t>
      </w:r>
      <w:r>
        <w:t xml:space="preserve"> </w:t>
      </w:r>
      <w:hyperlink r:id="rId103">
        <w:r>
          <w:rPr>
            <w:rStyle w:val="Hyperlink"/>
          </w:rPr>
          <w:t xml:space="preserve">Motion tracking of parents’ infant- versus adult-directed actions reveals general and action-specific modulations</w:t>
        </w:r>
      </w:hyperlink>
      <w:r>
        <w:t xml:space="preserve">.</w:t>
      </w:r>
      <w:r>
        <w:t xml:space="preserve"> </w:t>
      </w:r>
      <w:r>
        <w:rPr>
          <w:iCs/>
          <w:i/>
        </w:rPr>
        <w:t xml:space="preserve">Developmental Science</w:t>
      </w:r>
      <w:r>
        <w:t xml:space="preserve"> </w:t>
      </w:r>
      <w:r>
        <w:rPr>
          <w:bCs/>
          <w:b/>
        </w:rPr>
        <w:t xml:space="preserve">0</w:t>
      </w:r>
      <w:r>
        <w:t xml:space="preserve">, e12869 (2019).</w:t>
      </w:r>
    </w:p>
    <w:bookmarkEnd w:id="104"/>
    <w:bookmarkStart w:id="105" w:name="ref-NIPS2016_6413"/>
    <w:p>
      <w:pPr>
        <w:pStyle w:val="Literaturverzeichnis"/>
      </w:pPr>
      <w:r>
        <w:t xml:space="preserve">11.</w:t>
      </w:r>
      <w:r>
        <w:t xml:space="preserve"> </w:t>
      </w:r>
      <w:r>
        <w:t xml:space="preserve">	</w:t>
      </w:r>
      <w:r>
        <w:t xml:space="preserve">Ho, M. K., Littman, M., MacGlashan, J., Cushman, F. &amp; Austerweil, J. L. Showing versus doing:</w:t>
      </w:r>
      <w:r>
        <w:t xml:space="preserve"> </w:t>
      </w:r>
      <w:r>
        <w:t xml:space="preserve">Teaching</w:t>
      </w:r>
      <w:r>
        <w:t xml:space="preserve"> </w:t>
      </w:r>
      <w:r>
        <w:t xml:space="preserve">by demonstration. in</w:t>
      </w:r>
      <w:r>
        <w:t xml:space="preserve"> </w:t>
      </w:r>
      <w:r>
        <w:rPr>
          <w:iCs/>
          <w:i/>
        </w:rPr>
        <w:t xml:space="preserve">Advances in neural information processing systems 29</w:t>
      </w:r>
      <w:r>
        <w:t xml:space="preserve"> </w:t>
      </w:r>
      <w:r>
        <w:t xml:space="preserve">(eds. Lee, D. D., Sugiyama, M., Luxburg, U. V., Guyon, I. &amp; Garnett, R.) 3027–3035 (</w:t>
      </w:r>
      <w:r>
        <w:t xml:space="preserve">Curran Associates, Inc.</w:t>
      </w:r>
      <w:r>
        <w:t xml:space="preserve">, 2016).</w:t>
      </w:r>
    </w:p>
    <w:bookmarkEnd w:id="105"/>
    <w:bookmarkStart w:id="107" w:name="ref-pezzulo_2013"/>
    <w:p>
      <w:pPr>
        <w:pStyle w:val="Literaturverzeichnis"/>
      </w:pPr>
      <w:r>
        <w:t xml:space="preserve">12.</w:t>
      </w:r>
      <w:r>
        <w:t xml:space="preserve"> </w:t>
      </w:r>
      <w:r>
        <w:t xml:space="preserve">	</w:t>
      </w:r>
      <w:r>
        <w:t xml:space="preserve">Pezzulo, G., Donnarumma, F. &amp; Dindo, H.</w:t>
      </w:r>
      <w:r>
        <w:t xml:space="preserve"> </w:t>
      </w:r>
      <w:hyperlink r:id="rId106">
        <w:r>
          <w:rPr>
            <w:rStyle w:val="Hyperlink"/>
          </w:rPr>
          <w:t xml:space="preserve">Human</w:t>
        </w:r>
        <w:r>
          <w:rPr>
            <w:rStyle w:val="Hyperlink"/>
          </w:rPr>
          <w:t xml:space="preserve"> </w:t>
        </w:r>
        <w:r>
          <w:rPr>
            <w:rStyle w:val="Hyperlink"/>
          </w:rPr>
          <w:t xml:space="preserve">Sensorimotor Communication</w:t>
        </w:r>
        <w:r>
          <w:rPr>
            <w:rStyle w:val="Hyperlink"/>
          </w:rPr>
          <w:t xml:space="preserve">:</w:t>
        </w:r>
        <w:r>
          <w:rPr>
            <w:rStyle w:val="Hyperlink"/>
          </w:rPr>
          <w:t xml:space="preserve"> </w:t>
        </w:r>
        <w:r>
          <w:rPr>
            <w:rStyle w:val="Hyperlink"/>
          </w:rPr>
          <w:t xml:space="preserve">A Theory</w:t>
        </w:r>
        <w:r>
          <w:rPr>
            <w:rStyle w:val="Hyperlink"/>
          </w:rPr>
          <w:t xml:space="preserve"> </w:t>
        </w:r>
        <w:r>
          <w:rPr>
            <w:rStyle w:val="Hyperlink"/>
          </w:rPr>
          <w:t xml:space="preserve">of</w:t>
        </w:r>
        <w:r>
          <w:rPr>
            <w:rStyle w:val="Hyperlink"/>
          </w:rPr>
          <w:t xml:space="preserve"> </w:t>
        </w:r>
        <w:r>
          <w:rPr>
            <w:rStyle w:val="Hyperlink"/>
          </w:rPr>
          <w:t xml:space="preserve">Signaling</w:t>
        </w:r>
        <w:r>
          <w:rPr>
            <w:rStyle w:val="Hyperlink"/>
          </w:rPr>
          <w:t xml:space="preserve"> </w:t>
        </w:r>
        <w:r>
          <w:rPr>
            <w:rStyle w:val="Hyperlink"/>
          </w:rPr>
          <w:t xml:space="preserve">in</w:t>
        </w:r>
        <w:r>
          <w:rPr>
            <w:rStyle w:val="Hyperlink"/>
          </w:rPr>
          <w:t xml:space="preserve"> </w:t>
        </w:r>
        <w:r>
          <w:rPr>
            <w:rStyle w:val="Hyperlink"/>
          </w:rPr>
          <w:t xml:space="preserve">Online Social Interactions</w:t>
        </w:r>
      </w:hyperlink>
      <w:r>
        <w:t xml:space="preserve">.</w:t>
      </w:r>
      <w:r>
        <w:t xml:space="preserve"> </w:t>
      </w:r>
      <w:r>
        <w:rPr>
          <w:iCs/>
          <w:i/>
        </w:rPr>
        <w:t xml:space="preserve">PLOS ONE</w:t>
      </w:r>
      <w:r>
        <w:t xml:space="preserve"> </w:t>
      </w:r>
      <w:r>
        <w:rPr>
          <w:bCs/>
          <w:b/>
        </w:rPr>
        <w:t xml:space="preserve">8</w:t>
      </w:r>
      <w:r>
        <w:t xml:space="preserve">, e79876 (2013).</w:t>
      </w:r>
    </w:p>
    <w:bookmarkEnd w:id="107"/>
    <w:bookmarkStart w:id="109" w:name="ref-laukka_2004"/>
    <w:p>
      <w:pPr>
        <w:pStyle w:val="Literaturverzeichnis"/>
      </w:pPr>
      <w:r>
        <w:t xml:space="preserve">13.</w:t>
      </w:r>
      <w:r>
        <w:t xml:space="preserve"> </w:t>
      </w:r>
      <w:r>
        <w:t xml:space="preserve">	</w:t>
      </w:r>
      <w:r>
        <w:t xml:space="preserve">Laukka, P.</w:t>
      </w:r>
      <w:r>
        <w:t xml:space="preserve"> </w:t>
      </w:r>
      <w:hyperlink r:id="rId108">
        <w:r>
          <w:rPr>
            <w:rStyle w:val="Hyperlink"/>
          </w:rPr>
          <w:t xml:space="preserve">Instrumental music teachers’ views on expressivity: A report from music conservatoires</w:t>
        </w:r>
      </w:hyperlink>
      <w:r>
        <w:t xml:space="preserve">.</w:t>
      </w:r>
      <w:r>
        <w:t xml:space="preserve"> </w:t>
      </w:r>
      <w:r>
        <w:rPr>
          <w:iCs/>
          <w:i/>
        </w:rPr>
        <w:t xml:space="preserve">Music Education Research</w:t>
      </w:r>
      <w:r>
        <w:t xml:space="preserve"> </w:t>
      </w:r>
      <w:r>
        <w:rPr>
          <w:bCs/>
          <w:b/>
        </w:rPr>
        <w:t xml:space="preserve">6</w:t>
      </w:r>
      <w:r>
        <w:t xml:space="preserve">, 45–56 (2004).</w:t>
      </w:r>
    </w:p>
    <w:bookmarkEnd w:id="109"/>
    <w:bookmarkStart w:id="111" w:name="ref-sloboda_2000"/>
    <w:p>
      <w:pPr>
        <w:pStyle w:val="Literaturverzeichnis"/>
      </w:pPr>
      <w:r>
        <w:t xml:space="preserve">14.</w:t>
      </w:r>
      <w:r>
        <w:t xml:space="preserve"> </w:t>
      </w:r>
      <w:r>
        <w:t xml:space="preserve">	</w:t>
      </w:r>
      <w:r>
        <w:t xml:space="preserve">Sloboda, J. A.</w:t>
      </w:r>
      <w:r>
        <w:t xml:space="preserve"> </w:t>
      </w:r>
      <w:hyperlink r:id="rId110">
        <w:r>
          <w:rPr>
            <w:rStyle w:val="Hyperlink"/>
          </w:rPr>
          <w:t xml:space="preserve">Individual differences in music performance</w:t>
        </w:r>
      </w:hyperlink>
      <w:r>
        <w:t xml:space="preserve">.</w:t>
      </w:r>
      <w:r>
        <w:t xml:space="preserve"> </w:t>
      </w:r>
      <w:r>
        <w:rPr>
          <w:iCs/>
          <w:i/>
        </w:rPr>
        <w:t xml:space="preserve">Trends in Cognitive Sciences</w:t>
      </w:r>
      <w:r>
        <w:t xml:space="preserve"> </w:t>
      </w:r>
      <w:r>
        <w:rPr>
          <w:bCs/>
          <w:b/>
        </w:rPr>
        <w:t xml:space="preserve">4</w:t>
      </w:r>
      <w:r>
        <w:t xml:space="preserve">, 397–403 (2000).</w:t>
      </w:r>
    </w:p>
    <w:bookmarkEnd w:id="111"/>
    <w:bookmarkStart w:id="113" w:name="ref-woody_2000"/>
    <w:p>
      <w:pPr>
        <w:pStyle w:val="Literaturverzeichnis"/>
      </w:pPr>
      <w:r>
        <w:t xml:space="preserve">15.</w:t>
      </w:r>
      <w:r>
        <w:t xml:space="preserve"> </w:t>
      </w:r>
      <w:r>
        <w:t xml:space="preserve">	</w:t>
      </w:r>
      <w:r>
        <w:t xml:space="preserve">Woody, R. H.</w:t>
      </w:r>
      <w:r>
        <w:t xml:space="preserve"> </w:t>
      </w:r>
      <w:hyperlink r:id="rId112">
        <w:r>
          <w:rPr>
            <w:rStyle w:val="Hyperlink"/>
          </w:rPr>
          <w:t xml:space="preserve">Learning</w:t>
        </w:r>
        <w:r>
          <w:rPr>
            <w:rStyle w:val="Hyperlink"/>
          </w:rPr>
          <w:t xml:space="preserve"> </w:t>
        </w:r>
        <w:r>
          <w:rPr>
            <w:rStyle w:val="Hyperlink"/>
          </w:rPr>
          <w:t xml:space="preserve">Expressivity</w:t>
        </w:r>
        <w:r>
          <w:rPr>
            <w:rStyle w:val="Hyperlink"/>
          </w:rPr>
          <w:t xml:space="preserve"> </w:t>
        </w:r>
        <w:r>
          <w:rPr>
            <w:rStyle w:val="Hyperlink"/>
          </w:rPr>
          <w:t xml:space="preserve">in</w:t>
        </w:r>
        <w:r>
          <w:rPr>
            <w:rStyle w:val="Hyperlink"/>
          </w:rPr>
          <w:t xml:space="preserve"> </w:t>
        </w:r>
        <w:r>
          <w:rPr>
            <w:rStyle w:val="Hyperlink"/>
          </w:rPr>
          <w:t xml:space="preserve">Music Performance</w:t>
        </w:r>
        <w:r>
          <w:rPr>
            <w:rStyle w:val="Hyperlink"/>
          </w:rPr>
          <w:t xml:space="preserve">:</w:t>
        </w:r>
        <w:r>
          <w:rPr>
            <w:rStyle w:val="Hyperlink"/>
          </w:rPr>
          <w:t xml:space="preserve"> </w:t>
        </w:r>
        <w:r>
          <w:rPr>
            <w:rStyle w:val="Hyperlink"/>
          </w:rPr>
          <w:t xml:space="preserve">An Exploratory Study</w:t>
        </w:r>
      </w:hyperlink>
      <w:r>
        <w:t xml:space="preserve">.</w:t>
      </w:r>
      <w:r>
        <w:t xml:space="preserve"> </w:t>
      </w:r>
      <w:r>
        <w:rPr>
          <w:iCs/>
          <w:i/>
        </w:rPr>
        <w:t xml:space="preserve">Research Studies in Music Education</w:t>
      </w:r>
      <w:r>
        <w:t xml:space="preserve"> </w:t>
      </w:r>
      <w:r>
        <w:rPr>
          <w:bCs/>
          <w:b/>
        </w:rPr>
        <w:t xml:space="preserve">14</w:t>
      </w:r>
      <w:r>
        <w:t xml:space="preserve">, 14–23 (2000).</w:t>
      </w:r>
    </w:p>
    <w:bookmarkEnd w:id="113"/>
    <w:bookmarkStart w:id="115" w:name="ref-simones_2015"/>
    <w:p>
      <w:pPr>
        <w:pStyle w:val="Literaturverzeichnis"/>
      </w:pPr>
      <w:r>
        <w:t xml:space="preserve">16.</w:t>
      </w:r>
      <w:r>
        <w:t xml:space="preserve"> </w:t>
      </w:r>
      <w:r>
        <w:t xml:space="preserve">	</w:t>
      </w:r>
      <w:r>
        <w:t xml:space="preserve">Simones, L., Schroeder, F. &amp; Rodger, M.</w:t>
      </w:r>
      <w:r>
        <w:t xml:space="preserve"> </w:t>
      </w:r>
      <w:hyperlink r:id="rId114">
        <w:r>
          <w:rPr>
            <w:rStyle w:val="Hyperlink"/>
          </w:rPr>
          <w:t xml:space="preserve">Categorizations of physical gesture in piano teaching:</w:t>
        </w:r>
        <w:r>
          <w:rPr>
            <w:rStyle w:val="Hyperlink"/>
          </w:rPr>
          <w:t xml:space="preserve"> </w:t>
        </w:r>
        <w:r>
          <w:rPr>
            <w:rStyle w:val="Hyperlink"/>
          </w:rPr>
          <w:t xml:space="preserve">A</w:t>
        </w:r>
        <w:r>
          <w:rPr>
            <w:rStyle w:val="Hyperlink"/>
          </w:rPr>
          <w:t xml:space="preserve"> </w:t>
        </w:r>
        <w:r>
          <w:rPr>
            <w:rStyle w:val="Hyperlink"/>
          </w:rPr>
          <w:t xml:space="preserve">preliminary enquiry</w:t>
        </w:r>
      </w:hyperlink>
      <w:r>
        <w:t xml:space="preserve">.</w:t>
      </w:r>
      <w:r>
        <w:t xml:space="preserve"> </w:t>
      </w:r>
      <w:r>
        <w:rPr>
          <w:iCs/>
          <w:i/>
        </w:rPr>
        <w:t xml:space="preserve">Psychology of Music</w:t>
      </w:r>
      <w:r>
        <w:t xml:space="preserve"> </w:t>
      </w:r>
      <w:r>
        <w:rPr>
          <w:bCs/>
          <w:b/>
        </w:rPr>
        <w:t xml:space="preserve">43</w:t>
      </w:r>
      <w:r>
        <w:t xml:space="preserve">, 103–121 (2015).</w:t>
      </w:r>
    </w:p>
    <w:bookmarkEnd w:id="115"/>
    <w:bookmarkStart w:id="117" w:name="ref-bresin_2000"/>
    <w:p>
      <w:pPr>
        <w:pStyle w:val="Literaturverzeichnis"/>
      </w:pPr>
      <w:r>
        <w:t xml:space="preserve">17.</w:t>
      </w:r>
      <w:r>
        <w:t xml:space="preserve"> </w:t>
      </w:r>
      <w:r>
        <w:t xml:space="preserve">	</w:t>
      </w:r>
      <w:r>
        <w:t xml:space="preserve">Bresin, R. &amp; Battel, G. U.</w:t>
      </w:r>
      <w:r>
        <w:t xml:space="preserve"> </w:t>
      </w:r>
      <w:hyperlink r:id="rId116">
        <w:r>
          <w:rPr>
            <w:rStyle w:val="Hyperlink"/>
          </w:rPr>
          <w:t xml:space="preserve">Articulation</w:t>
        </w:r>
        <w:r>
          <w:rPr>
            <w:rStyle w:val="Hyperlink"/>
          </w:rPr>
          <w:t xml:space="preserve"> </w:t>
        </w:r>
        <w:r>
          <w:rPr>
            <w:rStyle w:val="Hyperlink"/>
          </w:rPr>
          <w:t xml:space="preserve">Strategies</w:t>
        </w:r>
        <w:r>
          <w:rPr>
            <w:rStyle w:val="Hyperlink"/>
          </w:rPr>
          <w:t xml:space="preserve"> </w:t>
        </w:r>
        <w:r>
          <w:rPr>
            <w:rStyle w:val="Hyperlink"/>
          </w:rPr>
          <w:t xml:space="preserve">in</w:t>
        </w:r>
        <w:r>
          <w:rPr>
            <w:rStyle w:val="Hyperlink"/>
          </w:rPr>
          <w:t xml:space="preserve"> </w:t>
        </w:r>
        <w:r>
          <w:rPr>
            <w:rStyle w:val="Hyperlink"/>
          </w:rPr>
          <w:t xml:space="preserve">Expressive Piano Performance Analysis</w:t>
        </w:r>
        <w:r>
          <w:rPr>
            <w:rStyle w:val="Hyperlink"/>
          </w:rPr>
          <w:t xml:space="preserve"> </w:t>
        </w:r>
        <w:r>
          <w:rPr>
            <w:rStyle w:val="Hyperlink"/>
          </w:rPr>
          <w:t xml:space="preserve">of</w:t>
        </w:r>
        <w:r>
          <w:rPr>
            <w:rStyle w:val="Hyperlink"/>
          </w:rPr>
          <w:t xml:space="preserve"> </w:t>
        </w:r>
        <w:r>
          <w:rPr>
            <w:rStyle w:val="Hyperlink"/>
          </w:rPr>
          <w:t xml:space="preserve">Legato</w:t>
        </w:r>
        <w:r>
          <w:rPr>
            <w:rStyle w:val="Hyperlink"/>
          </w:rPr>
          <w:t xml:space="preserve">,</w:t>
        </w:r>
        <w:r>
          <w:rPr>
            <w:rStyle w:val="Hyperlink"/>
          </w:rPr>
          <w:t xml:space="preserve"> </w:t>
        </w:r>
        <w:r>
          <w:rPr>
            <w:rStyle w:val="Hyperlink"/>
          </w:rPr>
          <w:t xml:space="preserve">Staccato</w:t>
        </w:r>
        <w:r>
          <w:rPr>
            <w:rStyle w:val="Hyperlink"/>
          </w:rPr>
          <w:t xml:space="preserve">, and</w:t>
        </w:r>
        <w:r>
          <w:rPr>
            <w:rStyle w:val="Hyperlink"/>
          </w:rPr>
          <w:t xml:space="preserve"> </w:t>
        </w:r>
        <w:r>
          <w:rPr>
            <w:rStyle w:val="Hyperlink"/>
          </w:rPr>
          <w:t xml:space="preserve">Repeated Notes</w:t>
        </w:r>
        <w:r>
          <w:rPr>
            <w:rStyle w:val="Hyperlink"/>
          </w:rPr>
          <w:t xml:space="preserve"> </w:t>
        </w:r>
        <w:r>
          <w:rPr>
            <w:rStyle w:val="Hyperlink"/>
          </w:rPr>
          <w:t xml:space="preserve">in</w:t>
        </w:r>
        <w:r>
          <w:rPr>
            <w:rStyle w:val="Hyperlink"/>
          </w:rPr>
          <w:t xml:space="preserve"> </w:t>
        </w:r>
        <w:r>
          <w:rPr>
            <w:rStyle w:val="Hyperlink"/>
          </w:rPr>
          <w:t xml:space="preserve">Performances</w:t>
        </w:r>
        <w:r>
          <w:rPr>
            <w:rStyle w:val="Hyperlink"/>
          </w:rPr>
          <w:t xml:space="preserve"> </w:t>
        </w:r>
        <w:r>
          <w:rPr>
            <w:rStyle w:val="Hyperlink"/>
          </w:rPr>
          <w:t xml:space="preserve">of the</w:t>
        </w:r>
        <w:r>
          <w:rPr>
            <w:rStyle w:val="Hyperlink"/>
          </w:rPr>
          <w:t xml:space="preserve"> </w:t>
        </w:r>
        <w:r>
          <w:rPr>
            <w:rStyle w:val="Hyperlink"/>
          </w:rPr>
          <w:t xml:space="preserve">Andante Movement</w:t>
        </w:r>
        <w:r>
          <w:rPr>
            <w:rStyle w:val="Hyperlink"/>
          </w:rPr>
          <w:t xml:space="preserve"> </w:t>
        </w:r>
        <w:r>
          <w:rPr>
            <w:rStyle w:val="Hyperlink"/>
          </w:rPr>
          <w:t xml:space="preserve">of</w:t>
        </w:r>
        <w:r>
          <w:rPr>
            <w:rStyle w:val="Hyperlink"/>
          </w:rPr>
          <w:t xml:space="preserve"> </w:t>
        </w:r>
        <w:r>
          <w:rPr>
            <w:rStyle w:val="Hyperlink"/>
          </w:rPr>
          <w:t xml:space="preserve">Mozart</w:t>
        </w:r>
        <w:r>
          <w:rPr>
            <w:rStyle w:val="Hyperlink"/>
          </w:rPr>
          <w:t xml:space="preserve">’s</w:t>
        </w:r>
        <w:r>
          <w:rPr>
            <w:rStyle w:val="Hyperlink"/>
          </w:rPr>
          <w:t xml:space="preserve"> </w:t>
        </w:r>
        <w:r>
          <w:rPr>
            <w:rStyle w:val="Hyperlink"/>
          </w:rPr>
          <w:t xml:space="preserve">Sonata</w:t>
        </w:r>
        <w:r>
          <w:rPr>
            <w:rStyle w:val="Hyperlink"/>
          </w:rPr>
          <w:t xml:space="preserve"> </w:t>
        </w:r>
        <w:r>
          <w:rPr>
            <w:rStyle w:val="Hyperlink"/>
          </w:rPr>
          <w:t xml:space="preserve">in</w:t>
        </w:r>
        <w:r>
          <w:rPr>
            <w:rStyle w:val="Hyperlink"/>
          </w:rPr>
          <w:t xml:space="preserve"> </w:t>
        </w:r>
        <w:r>
          <w:rPr>
            <w:rStyle w:val="Hyperlink"/>
          </w:rPr>
          <w:t xml:space="preserve">G Major</w:t>
        </w:r>
        <w:r>
          <w:rPr>
            <w:rStyle w:val="Hyperlink"/>
          </w:rPr>
          <w:t xml:space="preserve"> </w:t>
        </w:r>
        <w:r>
          <w:rPr>
            <w:rStyle w:val="Hyperlink"/>
          </w:rPr>
          <w:t xml:space="preserve">(</w:t>
        </w:r>
        <w:r>
          <w:rPr>
            <w:rStyle w:val="Hyperlink"/>
          </w:rPr>
          <w:t xml:space="preserve">K</w:t>
        </w:r>
        <w:r>
          <w:rPr>
            <w:rStyle w:val="Hyperlink"/>
          </w:rPr>
          <w:t xml:space="preserve"> </w:t>
        </w:r>
        <w:r>
          <w:rPr>
            <w:rStyle w:val="Hyperlink"/>
          </w:rPr>
          <w:t xml:space="preserve">545)</w:t>
        </w:r>
      </w:hyperlink>
      <w:r>
        <w:t xml:space="preserve">.</w:t>
      </w:r>
      <w:r>
        <w:t xml:space="preserve"> </w:t>
      </w:r>
      <w:r>
        <w:rPr>
          <w:iCs/>
          <w:i/>
        </w:rPr>
        <w:t xml:space="preserve">Journal of New Music Research</w:t>
      </w:r>
      <w:r>
        <w:t xml:space="preserve"> </w:t>
      </w:r>
      <w:r>
        <w:rPr>
          <w:bCs/>
          <w:b/>
        </w:rPr>
        <w:t xml:space="preserve">29</w:t>
      </w:r>
      <w:r>
        <w:t xml:space="preserve">, 211–224 (2000).</w:t>
      </w:r>
    </w:p>
    <w:bookmarkEnd w:id="117"/>
    <w:bookmarkStart w:id="119" w:name="ref-zamm_2018"/>
    <w:p>
      <w:pPr>
        <w:pStyle w:val="Literaturverzeichnis"/>
      </w:pPr>
      <w:r>
        <w:t xml:space="preserve">18.</w:t>
      </w:r>
      <w:r>
        <w:t xml:space="preserve"> </w:t>
      </w:r>
      <w:r>
        <w:t xml:space="preserve">	</w:t>
      </w:r>
      <w:r>
        <w:t xml:space="preserve">Zamm, A., Wang, Y. &amp; Palmer, C.</w:t>
      </w:r>
      <w:r>
        <w:t xml:space="preserve"> </w:t>
      </w:r>
      <w:hyperlink r:id="rId118">
        <w:r>
          <w:rPr>
            <w:rStyle w:val="Hyperlink"/>
          </w:rPr>
          <w:t xml:space="preserve">Musicians’</w:t>
        </w:r>
        <w:r>
          <w:rPr>
            <w:rStyle w:val="Hyperlink"/>
          </w:rPr>
          <w:t xml:space="preserve"> </w:t>
        </w:r>
        <w:r>
          <w:rPr>
            <w:rStyle w:val="Hyperlink"/>
          </w:rPr>
          <w:t xml:space="preserve">Natural Frequencies</w:t>
        </w:r>
        <w:r>
          <w:rPr>
            <w:rStyle w:val="Hyperlink"/>
          </w:rPr>
          <w:t xml:space="preserve"> </w:t>
        </w:r>
        <w:r>
          <w:rPr>
            <w:rStyle w:val="Hyperlink"/>
          </w:rPr>
          <w:t xml:space="preserve">of</w:t>
        </w:r>
        <w:r>
          <w:rPr>
            <w:rStyle w:val="Hyperlink"/>
          </w:rPr>
          <w:t xml:space="preserve"> </w:t>
        </w:r>
        <w:r>
          <w:rPr>
            <w:rStyle w:val="Hyperlink"/>
          </w:rPr>
          <w:t xml:space="preserve">Performance Display Optimal Temporal Stability</w:t>
        </w:r>
      </w:hyperlink>
      <w:r>
        <w:t xml:space="preserve">.</w:t>
      </w:r>
      <w:r>
        <w:t xml:space="preserve"> </w:t>
      </w:r>
      <w:r>
        <w:rPr>
          <w:iCs/>
          <w:i/>
        </w:rPr>
        <w:t xml:space="preserve">J Biol Rhythms</w:t>
      </w:r>
      <w:r>
        <w:t xml:space="preserve"> </w:t>
      </w:r>
      <w:r>
        <w:rPr>
          <w:bCs/>
          <w:b/>
        </w:rPr>
        <w:t xml:space="preserve">33</w:t>
      </w:r>
      <w:r>
        <w:t xml:space="preserve">, 432–440 (2018).</w:t>
      </w:r>
    </w:p>
    <w:bookmarkEnd w:id="119"/>
    <w:bookmarkStart w:id="121" w:name="ref-lindstrom_2003"/>
    <w:p>
      <w:pPr>
        <w:pStyle w:val="Literaturverzeichnis"/>
      </w:pPr>
      <w:r>
        <w:t xml:space="preserve">19.</w:t>
      </w:r>
      <w:r>
        <w:t xml:space="preserve"> </w:t>
      </w:r>
      <w:r>
        <w:t xml:space="preserve">	</w:t>
      </w:r>
      <w:r>
        <w:t xml:space="preserve">Lindström, E., Juslin, P. N., Bresin, R. &amp; Williamon, A.</w:t>
      </w:r>
      <w:r>
        <w:t xml:space="preserve"> </w:t>
      </w:r>
      <w:hyperlink r:id="rId120">
        <w:r>
          <w:rPr>
            <w:rStyle w:val="Hyperlink"/>
          </w:rPr>
          <w:t xml:space="preserve">‘</w:t>
        </w:r>
        <w:r>
          <w:rPr>
            <w:rStyle w:val="Hyperlink"/>
          </w:rPr>
          <w:t xml:space="preserve">Expressivity</w:t>
        </w:r>
        <w:r>
          <w:rPr>
            <w:rStyle w:val="Hyperlink"/>
          </w:rPr>
          <w:t xml:space="preserve"> </w:t>
        </w:r>
        <w:r>
          <w:rPr>
            <w:rStyle w:val="Hyperlink"/>
          </w:rPr>
          <w:t xml:space="preserve">comes from within your soul’</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questionnaire study of music students’ perspectives on expressivity</w:t>
        </w:r>
      </w:hyperlink>
      <w:r>
        <w:t xml:space="preserve">.</w:t>
      </w:r>
      <w:r>
        <w:t xml:space="preserve"> </w:t>
      </w:r>
      <w:r>
        <w:rPr>
          <w:iCs/>
          <w:i/>
        </w:rPr>
        <w:t xml:space="preserve">Research Studies in Music Education</w:t>
      </w:r>
      <w:r>
        <w:t xml:space="preserve"> </w:t>
      </w:r>
      <w:r>
        <w:rPr>
          <w:bCs/>
          <w:b/>
        </w:rPr>
        <w:t xml:space="preserve">20</w:t>
      </w:r>
      <w:r>
        <w:t xml:space="preserve">, 23–47 (2003).</w:t>
      </w:r>
    </w:p>
    <w:bookmarkEnd w:id="121"/>
    <w:bookmarkStart w:id="123" w:name="ref-juslin_2003"/>
    <w:p>
      <w:pPr>
        <w:pStyle w:val="Literaturverzeichnis"/>
      </w:pPr>
      <w:r>
        <w:t xml:space="preserve">20.</w:t>
      </w:r>
      <w:r>
        <w:t xml:space="preserve"> </w:t>
      </w:r>
      <w:r>
        <w:t xml:space="preserve">	</w:t>
      </w:r>
      <w:r>
        <w:t xml:space="preserve">Juslin, P. N.</w:t>
      </w:r>
      <w:r>
        <w:t xml:space="preserve"> </w:t>
      </w:r>
      <w:hyperlink r:id="rId122">
        <w:r>
          <w:rPr>
            <w:rStyle w:val="Hyperlink"/>
          </w:rPr>
          <w:t xml:space="preserve">Five</w:t>
        </w:r>
        <w:r>
          <w:rPr>
            <w:rStyle w:val="Hyperlink"/>
          </w:rPr>
          <w:t xml:space="preserve"> </w:t>
        </w:r>
        <w:r>
          <w:rPr>
            <w:rStyle w:val="Hyperlink"/>
          </w:rPr>
          <w:t xml:space="preserve">Facets</w:t>
        </w:r>
        <w:r>
          <w:rPr>
            <w:rStyle w:val="Hyperlink"/>
          </w:rPr>
          <w:t xml:space="preserve"> </w:t>
        </w:r>
        <w:r>
          <w:rPr>
            <w:rStyle w:val="Hyperlink"/>
          </w:rPr>
          <w:t xml:space="preserve">of</w:t>
        </w:r>
        <w:r>
          <w:rPr>
            <w:rStyle w:val="Hyperlink"/>
          </w:rPr>
          <w:t xml:space="preserve"> </w:t>
        </w:r>
        <w:r>
          <w:rPr>
            <w:rStyle w:val="Hyperlink"/>
          </w:rPr>
          <w:t xml:space="preserve">Musical Expression</w:t>
        </w:r>
        <w:r>
          <w:rPr>
            <w:rStyle w:val="Hyperlink"/>
          </w:rPr>
          <w:t xml:space="preserve">:</w:t>
        </w:r>
        <w:r>
          <w:rPr>
            <w:rStyle w:val="Hyperlink"/>
          </w:rPr>
          <w:t xml:space="preserve"> </w:t>
        </w:r>
        <w:r>
          <w:rPr>
            <w:rStyle w:val="Hyperlink"/>
          </w:rPr>
          <w:t xml:space="preserve">A Psychologist</w:t>
        </w:r>
        <w:r>
          <w:rPr>
            <w:rStyle w:val="Hyperlink"/>
          </w:rPr>
          <w:t xml:space="preserve">’s</w:t>
        </w:r>
        <w:r>
          <w:rPr>
            <w:rStyle w:val="Hyperlink"/>
          </w:rPr>
          <w:t xml:space="preserve"> </w:t>
        </w:r>
        <w:r>
          <w:rPr>
            <w:rStyle w:val="Hyperlink"/>
          </w:rPr>
          <w:t xml:space="preserve">Perspective</w:t>
        </w:r>
        <w:r>
          <w:rPr>
            <w:rStyle w:val="Hyperlink"/>
          </w:rPr>
          <w:t xml:space="preserve"> </w:t>
        </w:r>
        <w:r>
          <w:rPr>
            <w:rStyle w:val="Hyperlink"/>
          </w:rPr>
          <w:t xml:space="preserve">on</w:t>
        </w:r>
        <w:r>
          <w:rPr>
            <w:rStyle w:val="Hyperlink"/>
          </w:rPr>
          <w:t xml:space="preserve"> </w:t>
        </w:r>
        <w:r>
          <w:rPr>
            <w:rStyle w:val="Hyperlink"/>
          </w:rPr>
          <w:t xml:space="preserve">Music Performance</w:t>
        </w:r>
      </w:hyperlink>
      <w:r>
        <w:t xml:space="preserve">.</w:t>
      </w:r>
      <w:r>
        <w:t xml:space="preserve"> </w:t>
      </w:r>
      <w:r>
        <w:rPr>
          <w:iCs/>
          <w:i/>
        </w:rPr>
        <w:t xml:space="preserve">Psychology of Music</w:t>
      </w:r>
      <w:r>
        <w:t xml:space="preserve"> </w:t>
      </w:r>
      <w:r>
        <w:rPr>
          <w:bCs/>
          <w:b/>
        </w:rPr>
        <w:t xml:space="preserve">31</w:t>
      </w:r>
      <w:r>
        <w:t xml:space="preserve">, 273–302 (2003).</w:t>
      </w:r>
    </w:p>
    <w:bookmarkEnd w:id="123"/>
    <w:bookmarkStart w:id="125" w:name="ref-okazaki_2019"/>
    <w:p>
      <w:pPr>
        <w:pStyle w:val="Literaturverzeichnis"/>
      </w:pPr>
      <w:r>
        <w:t xml:space="preserve">21.</w:t>
      </w:r>
      <w:r>
        <w:t xml:space="preserve"> </w:t>
      </w:r>
      <w:r>
        <w:t xml:space="preserve">	</w:t>
      </w:r>
      <w:r>
        <w:t xml:space="preserve">Okazaki, S., Muraoka, Y. &amp; Osu, R.</w:t>
      </w:r>
      <w:r>
        <w:t xml:space="preserve"> </w:t>
      </w:r>
      <w:hyperlink r:id="rId124">
        <w:r>
          <w:rPr>
            <w:rStyle w:val="Hyperlink"/>
          </w:rPr>
          <w:t xml:space="preserve">Teacher-learner interaction quantifies scaffolding behaviour in imitation learning</w:t>
        </w:r>
      </w:hyperlink>
      <w:r>
        <w:t xml:space="preserve">.</w:t>
      </w:r>
      <w:r>
        <w:t xml:space="preserve"> </w:t>
      </w:r>
      <w:r>
        <w:rPr>
          <w:iCs/>
          <w:i/>
        </w:rPr>
        <w:t xml:space="preserve">Sci Rep</w:t>
      </w:r>
      <w:r>
        <w:t xml:space="preserve"> </w:t>
      </w:r>
      <w:r>
        <w:rPr>
          <w:bCs/>
          <w:b/>
        </w:rPr>
        <w:t xml:space="preserve">9</w:t>
      </w:r>
      <w:r>
        <w:t xml:space="preserve">, 1–13 (2019).</w:t>
      </w:r>
    </w:p>
    <w:bookmarkEnd w:id="125"/>
    <w:bookmarkStart w:id="126" w:name="ref-sperber_1995"/>
    <w:p>
      <w:pPr>
        <w:pStyle w:val="Literaturverzeichnis"/>
      </w:pPr>
      <w:r>
        <w:t xml:space="preserve">22.</w:t>
      </w:r>
      <w:r>
        <w:t xml:space="preserve"> </w:t>
      </w:r>
      <w:r>
        <w:t xml:space="preserve">	</w:t>
      </w:r>
      <w:r>
        <w:t xml:space="preserve">Sperber, D. &amp; Wilson, D.</w:t>
      </w:r>
      <w:r>
        <w:t xml:space="preserve"> </w:t>
      </w:r>
      <w:r>
        <w:rPr>
          <w:iCs/>
          <w:i/>
        </w:rPr>
        <w:t xml:space="preserve">Relevance:</w:t>
      </w:r>
      <w:r>
        <w:rPr>
          <w:iCs/>
          <w:i/>
        </w:rPr>
        <w:t xml:space="preserve"> </w:t>
      </w:r>
      <w:r>
        <w:rPr>
          <w:iCs/>
          <w:i/>
        </w:rPr>
        <w:t xml:space="preserve">Communication</w:t>
      </w:r>
      <w:r>
        <w:rPr>
          <w:iCs/>
          <w:i/>
        </w:rPr>
        <w:t xml:space="preserve"> </w:t>
      </w:r>
      <w:r>
        <w:rPr>
          <w:iCs/>
          <w:i/>
        </w:rPr>
        <w:t xml:space="preserve">and cognition, 2nd ed</w:t>
      </w:r>
      <w:r>
        <w:t xml:space="preserve">. (</w:t>
      </w:r>
      <w:r>
        <w:t xml:space="preserve">Blackwell Publishing</w:t>
      </w:r>
      <w:r>
        <w:t xml:space="preserve">, 1995).</w:t>
      </w:r>
    </w:p>
    <w:bookmarkEnd w:id="126"/>
    <w:bookmarkEnd w:id="127"/>
    <w:bookmarkEnd w:id="128"/>
    <w:bookmarkStart w:id="129" w:name="acknowledgements"/>
    <w:p>
      <w:pPr>
        <w:pStyle w:val="berschrift1"/>
      </w:pPr>
      <w:r>
        <w:t xml:space="preserve">Acknowledgements</w:t>
      </w:r>
    </w:p>
    <w:p>
      <w:pPr>
        <w:pStyle w:val="FirstParagraph"/>
      </w:pPr>
      <w:r>
        <w:t xml:space="preserve">This research was supported by the European Research Council under the European Union’s Seventh Framework Program (FP7/2007–2013)/ERC Grant agreement no. 609819, SOMICS, and by ERC Grant agreement no. 616072, JAXPERTISE. We thank Dávid Csűrös for his help with data collection.</w:t>
      </w:r>
    </w:p>
    <w:bookmarkEnd w:id="129"/>
    <w:bookmarkStart w:id="130" w:name="author-contributions"/>
    <w:p>
      <w:pPr>
        <w:pStyle w:val="berschrift1"/>
      </w:pPr>
      <w:r>
        <w:t xml:space="preserve">Author contributions</w:t>
      </w:r>
    </w:p>
    <w:p>
      <w:pPr>
        <w:pStyle w:val="FirstParagraph"/>
      </w:pPr>
      <w:r>
        <w:t xml:space="preserve">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bookmarkEnd w:id="130"/>
    <w:bookmarkStart w:id="132" w:name="data-availability-statement"/>
    <w:p>
      <w:pPr>
        <w:pStyle w:val="berschrift1"/>
      </w:pPr>
      <w:r>
        <w:t xml:space="preserve">Data availability statement</w:t>
      </w:r>
    </w:p>
    <w:p>
      <w:pPr>
        <w:pStyle w:val="FirstParagraph"/>
      </w:pPr>
      <w:r>
        <w:t xml:space="preserve">All data is available at</w:t>
      </w:r>
      <w:r>
        <w:t xml:space="preserve"> </w:t>
      </w:r>
      <w:hyperlink r:id="rId131">
        <w:r>
          <w:rPr>
            <w:rStyle w:val="Hyperlink"/>
          </w:rPr>
          <w:t xml:space="preserve">https://osf.io/8nbjh/</w:t>
        </w:r>
      </w:hyperlink>
      <w:r>
        <w:t xml:space="preserve">.</w:t>
      </w:r>
    </w:p>
    <w:bookmarkEnd w:id="132"/>
    <w:bookmarkStart w:id="133" w:name="competing-interests"/>
    <w:p>
      <w:pPr>
        <w:pStyle w:val="berschrift1"/>
      </w:pPr>
      <w:r>
        <w:t xml:space="preserve">Competing interests</w:t>
      </w:r>
    </w:p>
    <w:p>
      <w:pPr>
        <w:pStyle w:val="FirstParagraph"/>
      </w:pPr>
      <w:r>
        <w:t xml:space="preserve">The authors declare no competing interests.</w:t>
      </w:r>
    </w:p>
    <w:bookmarkEnd w:id="133"/>
    <w:bookmarkStart w:id="134" w:name="supplementary"/>
    <w:p>
      <w:pPr>
        <w:pStyle w:val="berschrift1"/>
      </w:pPr>
      <w:r>
        <w:t xml:space="preserve">Supplementary material</w:t>
      </w:r>
    </w:p>
    <w:bookmarkEnd w:id="134"/>
    <w:bookmarkStart w:id="137" w:name="instructions"/>
    <w:p>
      <w:pPr>
        <w:pStyle w:val="berschrift1"/>
      </w:pPr>
      <w:r>
        <w:t xml:space="preserve">Instructions</w:t>
      </w:r>
    </w:p>
    <w:bookmarkStart w:id="135" w:name="experiment-1-1"/>
    <w:p>
      <w:pPr>
        <w:pStyle w:val="berschrift2"/>
      </w:pP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35"/>
    <w:bookmarkStart w:id="136" w:name="experiment-2-1"/>
    <w:p>
      <w:pPr>
        <w:pStyle w:val="berschrift2"/>
      </w:pP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36"/>
    <w:bookmarkEnd w:id="137"/>
    <w:bookmarkStart w:id="148" w:name="temporal-variability"/>
    <w:p>
      <w:pPr>
        <w:pStyle w:val="berschrift1"/>
      </w:pPr>
      <w:r>
        <w:t xml:space="preserve">Temporal Variability</w:t>
      </w:r>
    </w:p>
    <w:p>
      <w:pPr>
        <w:pStyle w:val="FirstParagraph"/>
      </w:pPr>
      <w:r>
        <w:t xml:space="preserve">The tempo variability of performance was assessed with the coefficient of variation (CV) of the IOIs to investigate the tempo stability of performance between the teaching and performing condition. CVs were calculated by dividing the standard deviation by the mean of IOIs.</w:t>
      </w:r>
    </w:p>
    <w:bookmarkStart w:id="138" w:name="results-2"/>
    <w:p>
      <w:pPr>
        <w:pStyle w:val="berschrift2"/>
      </w:pPr>
      <w:r>
        <w:t xml:space="preserve">Results</w:t>
      </w:r>
    </w:p>
    <w:bookmarkEnd w:id="138"/>
    <w:bookmarkStart w:id="141" w:name="experiment-1-2"/>
    <w:p>
      <w:pPr>
        <w:pStyle w:val="berschrift2"/>
      </w:pPr>
      <w:r>
        <w:t xml:space="preserve">Experiment 1</w:t>
      </w:r>
    </w:p>
    <w:bookmarkStart w:id="139" w:name="articulation-2"/>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0.007). The Wilcoxon Signed-rank test showed that the tempo variability of performance did not differ significantly between the teaching [</w:t>
      </w:r>
      <w:r>
        <w:rPr>
          <w:iCs/>
          <w:i/>
        </w:rPr>
        <w:t xml:space="preserve">Mdn</w:t>
      </w:r>
      <w:r>
        <w:t xml:space="preserve"> </w:t>
      </w:r>
      <w:r>
        <w:t xml:space="preserve">= 0.064,</w:t>
      </w:r>
      <w:r>
        <w:t xml:space="preserve"> </w:t>
      </w:r>
      <w:r>
        <w:rPr>
          <w:iCs/>
          <w:i/>
        </w:rPr>
        <w:t xml:space="preserve">IQR</w:t>
      </w:r>
      <w:r>
        <w:t xml:space="preserve"> </w:t>
      </w:r>
      <w:r>
        <w:t xml:space="preserve">= 0.024] and performing condition [</w:t>
      </w:r>
      <w:r>
        <w:rPr>
          <w:iCs/>
          <w:i/>
        </w:rPr>
        <w:t xml:space="preserve">Mdn</w:t>
      </w:r>
      <w:r>
        <w:t xml:space="preserve"> </w:t>
      </w:r>
      <w:r>
        <w:t xml:space="preserve">= 0.066,</w:t>
      </w:r>
      <w:r>
        <w:t xml:space="preserve"> </w:t>
      </w:r>
      <w:r>
        <w:rPr>
          <w:iCs/>
          <w:i/>
        </w:rPr>
        <w:t xml:space="preserve">IQR</w:t>
      </w:r>
      <w:r>
        <w:t xml:space="preserve"> </w:t>
      </w:r>
      <w:r>
        <w:t xml:space="preserve">= 0.016] while playing the piece with the notated articulation (</w:t>
      </w:r>
      <w:r>
        <w:rPr>
          <w:iCs/>
          <w:i/>
        </w:rPr>
        <w:t xml:space="preserve">p</w:t>
      </w:r>
      <w:r>
        <w:t xml:space="preserve"> </w:t>
      </w:r>
      <w:r>
        <w:t xml:space="preserve">= 0.06,</w:t>
      </w:r>
      <w:r>
        <w:t xml:space="preserve"> </w:t>
      </w:r>
      <w:r>
        <w:rPr>
          <w:iCs/>
          <w:i/>
        </w:rPr>
        <w:t xml:space="preserve">r</w:t>
      </w:r>
      <w:r>
        <w:t xml:space="preserve"> </w:t>
      </w:r>
      <w:r>
        <w:t xml:space="preserve">= 0.34, two-tailed,</w:t>
      </w:r>
      <w:r>
        <w:t xml:space="preserve"> </w:t>
      </w:r>
      <w:r>
        <w:rPr>
          <w:iCs/>
          <w:i/>
        </w:rPr>
        <w:t xml:space="preserve">Fig</w:t>
      </w:r>
      <w:r>
        <w:rPr>
          <w:iCs/>
          <w:i/>
        </w:rPr>
        <w:t xml:space="preserve"> </w:t>
      </w:r>
      <w:r>
        <w:t xml:space="preserve">).</w:t>
      </w:r>
    </w:p>
    <w:bookmarkEnd w:id="139"/>
    <w:bookmarkStart w:id="140" w:name="dynamics-2"/>
    <w:p>
      <w:pPr>
        <w:pStyle w:val="berschrift3"/>
      </w:pPr>
      <w:r>
        <w:t xml:space="preserve">Dynamics.</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0.024). The Wilcoxon Signed-rank test showed that the tempo variability of performance did not differ significantly between the teaching [</w:t>
      </w:r>
      <w:r>
        <w:rPr>
          <w:iCs/>
          <w:i/>
        </w:rPr>
        <w:t xml:space="preserve">Mdn</w:t>
      </w:r>
      <w:r>
        <w:t xml:space="preserve"> </w:t>
      </w:r>
      <w:r>
        <w:t xml:space="preserve">= 0.070,</w:t>
      </w:r>
      <w:r>
        <w:t xml:space="preserve"> </w:t>
      </w:r>
      <w:r>
        <w:rPr>
          <w:iCs/>
          <w:i/>
        </w:rPr>
        <w:t xml:space="preserve">IQR</w:t>
      </w:r>
      <w:r>
        <w:t xml:space="preserve"> </w:t>
      </w:r>
      <w:r>
        <w:t xml:space="preserve">= 0.013] and performing condition [</w:t>
      </w:r>
      <w:r>
        <w:rPr>
          <w:iCs/>
          <w:i/>
        </w:rPr>
        <w:t xml:space="preserve">Mdn</w:t>
      </w:r>
      <w:r>
        <w:t xml:space="preserve"> </w:t>
      </w:r>
      <w:r>
        <w:t xml:space="preserve">= 0.074,</w:t>
      </w:r>
      <w:r>
        <w:t xml:space="preserve"> </w:t>
      </w:r>
      <w:r>
        <w:rPr>
          <w:iCs/>
          <w:i/>
        </w:rPr>
        <w:t xml:space="preserve">IQR</w:t>
      </w:r>
      <w:r>
        <w:t xml:space="preserve"> </w:t>
      </w:r>
      <w:r>
        <w:t xml:space="preserve">= 0.026] while playing the piece with the notated dynamics (</w:t>
      </w:r>
      <w:r>
        <w:rPr>
          <w:iCs/>
          <w:i/>
        </w:rPr>
        <w:t xml:space="preserve">p</w:t>
      </w:r>
      <w:r>
        <w:t xml:space="preserve"> </w:t>
      </w:r>
      <w:r>
        <w:t xml:space="preserve">= 0.22,</w:t>
      </w:r>
      <w:r>
        <w:t xml:space="preserve"> </w:t>
      </w:r>
      <w:r>
        <w:rPr>
          <w:iCs/>
          <w:i/>
        </w:rPr>
        <w:t xml:space="preserve">r</w:t>
      </w:r>
      <w:r>
        <w:t xml:space="preserve"> </w:t>
      </w:r>
      <w:r>
        <w:t xml:space="preserve">= 0.22, two-tailed,</w:t>
      </w:r>
      <w:r>
        <w:t xml:space="preserve"> </w:t>
      </w:r>
      <w:r>
        <w:rPr>
          <w:iCs/>
          <w:i/>
        </w:rPr>
        <w:t xml:space="preserve">Fig</w:t>
      </w:r>
      <w:r>
        <w:rPr>
          <w:iCs/>
          <w:i/>
        </w:rPr>
        <w:t xml:space="preserve"> </w:t>
      </w:r>
      <w:r>
        <w:t xml:space="preserve">).</w:t>
      </w:r>
    </w:p>
    <w:bookmarkEnd w:id="140"/>
    <w:bookmarkEnd w:id="141"/>
    <w:bookmarkStart w:id="147" w:name="experiment-2-2"/>
    <w:p>
      <w:pPr>
        <w:pStyle w:val="berschrift2"/>
      </w:pPr>
      <w:r>
        <w:t xml:space="preserve">Experiment 2</w:t>
      </w:r>
    </w:p>
    <w:bookmarkStart w:id="142" w:name="articulation-3"/>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0.017). The Wilcoxon Signed-rank test showed that the tempo variability of performance did not differ significantly between the teaching [</w:t>
      </w:r>
      <w:r>
        <w:rPr>
          <w:iCs/>
          <w:i/>
        </w:rPr>
        <w:t xml:space="preserve">Mdn</w:t>
      </w:r>
      <w:r>
        <w:t xml:space="preserve"> </w:t>
      </w:r>
      <w:r>
        <w:t xml:space="preserve">= 0.044,</w:t>
      </w:r>
      <w:r>
        <w:t xml:space="preserve"> </w:t>
      </w:r>
      <w:r>
        <w:rPr>
          <w:iCs/>
          <w:i/>
        </w:rPr>
        <w:t xml:space="preserve">IQR</w:t>
      </w:r>
      <w:r>
        <w:t xml:space="preserve"> </w:t>
      </w:r>
      <w:r>
        <w:t xml:space="preserve">= 0.012] and performing condition [</w:t>
      </w:r>
      <w:r>
        <w:rPr>
          <w:iCs/>
          <w:i/>
        </w:rPr>
        <w:t xml:space="preserve">Mdn</w:t>
      </w:r>
      <w:r>
        <w:t xml:space="preserve"> </w:t>
      </w:r>
      <w:r>
        <w:t xml:space="preserve">= 0.047,</w:t>
      </w:r>
      <w:r>
        <w:t xml:space="preserve"> </w:t>
      </w:r>
      <w:r>
        <w:rPr>
          <w:iCs/>
          <w:i/>
        </w:rPr>
        <w:t xml:space="preserve">IQR</w:t>
      </w:r>
      <w:r>
        <w:t xml:space="preserve"> </w:t>
      </w:r>
      <w:r>
        <w:t xml:space="preserve">= 0.014] while playing the piece with the notated articulation (</w:t>
      </w:r>
      <w:r>
        <w:rPr>
          <w:iCs/>
          <w:i/>
        </w:rPr>
        <w:t xml:space="preserve">p</w:t>
      </w:r>
      <w:r>
        <w:t xml:space="preserve"> </w:t>
      </w:r>
      <w:r>
        <w:t xml:space="preserve">= 0.07,</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142"/>
    <w:bookmarkStart w:id="146" w:name="dynamics-3"/>
    <w:p>
      <w:pPr>
        <w:pStyle w:val="berschrift3"/>
      </w:pPr>
      <w:r>
        <w:t xml:space="preserve">Dynamics.</w:t>
      </w:r>
    </w:p>
    <w:p>
      <w:pPr>
        <w:pStyle w:val="FirstParagraph"/>
      </w:pPr>
      <w:r>
        <w:t xml:space="preserve">A paired-sample</w:t>
      </w:r>
      <w:r>
        <w:t xml:space="preserve"> </w:t>
      </w:r>
      <w:r>
        <w:rPr>
          <w:iCs/>
          <w:i/>
        </w:rPr>
        <w:t xml:space="preserve">t</w:t>
      </w:r>
      <w:r>
        <w:t xml:space="preserve">-test showed that the tempo variability of performance did not differ significantly between the teaching [</w:t>
      </w:r>
      <w:r>
        <w:rPr>
          <w:iCs/>
          <w:i/>
        </w:rPr>
        <w:t xml:space="preserve">M</w:t>
      </w:r>
      <w:r>
        <w:t xml:space="preserve"> </w:t>
      </w:r>
      <w:r>
        <w:t xml:space="preserve">= 0.048,</w:t>
      </w:r>
      <w:r>
        <w:t xml:space="preserve"> </w:t>
      </w:r>
      <w:r>
        <w:rPr>
          <w:iCs/>
          <w:i/>
        </w:rPr>
        <w:t xml:space="preserve">SD</w:t>
      </w:r>
      <w:r>
        <w:t xml:space="preserve"> </w:t>
      </w:r>
      <w:r>
        <w:t xml:space="preserve">= 0.011] and the performing condition [</w:t>
      </w:r>
      <w:r>
        <w:rPr>
          <w:iCs/>
          <w:i/>
        </w:rPr>
        <w:t xml:space="preserve">M</w:t>
      </w:r>
      <w:r>
        <w:t xml:space="preserve"> </w:t>
      </w:r>
      <w:r>
        <w:t xml:space="preserve">= 0.048,</w:t>
      </w:r>
      <w:r>
        <w:t xml:space="preserve"> </w:t>
      </w:r>
      <w:r>
        <w:rPr>
          <w:iCs/>
          <w:i/>
        </w:rPr>
        <w:t xml:space="preserve">SD</w:t>
      </w:r>
      <w:r>
        <w:t xml:space="preserve"> </w:t>
      </w:r>
      <w:r>
        <w:t xml:space="preserve">= 0.011] while playing the piece with the notated dynamics (</w:t>
      </w:r>
      <w:r>
        <w:rPr>
          <w:iCs/>
          <w:i/>
        </w:rPr>
        <w:t xml:space="preserve">t</w:t>
      </w:r>
      <w:r>
        <w:t xml:space="preserve">(19) = 1.83,</w:t>
      </w:r>
      <w:r>
        <w:t xml:space="preserve"> </w:t>
      </w:r>
      <w:r>
        <w:rPr>
          <w:iCs/>
          <w:i/>
        </w:rPr>
        <w:t xml:space="preserve">p</w:t>
      </w:r>
      <w:r>
        <w:t xml:space="preserve"> </w:t>
      </w:r>
      <w:r>
        <w:t xml:space="preserve">= 0.08, Cohen’s</w:t>
      </w:r>
      <w:r>
        <w:t xml:space="preserve"> </w:t>
      </w:r>
      <w:r>
        <w:rPr>
          <w:iCs/>
          <w:i/>
        </w:rPr>
        <w:t xml:space="preserve">d</w:t>
      </w:r>
      <w:r>
        <w:t xml:space="preserve"> </w:t>
      </w:r>
      <w:r>
        <w:t xml:space="preserve">= 0.41,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0.  Experiment 1, 2: CVs when playing the piece with either articulation or dynamics (left: Experiment 1, right: Experiment 2). Each box indicates the IQR with the median, and whiskers extend to a maximum of 1.5 × IQR beyond the box. Significance levels: *  &lt; .05, **  &lt; .01, ***  &lt; .001" title="" id="144" name="Picture"/>
            <a:graphic>
              <a:graphicData uri="http://schemas.openxmlformats.org/drawingml/2006/picture">
                <pic:pic>
                  <pic:nvPicPr>
                    <pic:cNvPr descr="manuscript_files/figure-docx/plot-cv-1.png" id="145" name="Picture"/>
                    <pic:cNvPicPr>
                      <a:picLocks noChangeArrowheads="1" noChangeAspect="1"/>
                    </pic:cNvPicPr>
                  </pic:nvPicPr>
                  <pic:blipFill>
                    <a:blip r:embed="rId14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1, 2: CVs when playing the piece with either articulation or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46"/>
    <w:bookmarkEnd w:id="147"/>
    <w:bookmarkEnd w:id="148"/>
    <w:bookmarkStart w:id="159" w:name="temporal-grouping"/>
    <w:p>
      <w:pPr>
        <w:pStyle w:val="berschrift1"/>
      </w:pPr>
      <w:r>
        <w:t xml:space="preserve">Temporal grouping</w:t>
      </w:r>
    </w:p>
    <w:p>
      <w:pPr>
        <w:pStyle w:val="FirstParagraph"/>
      </w:pPr>
      <w:r>
        <w:t xml:space="preserve">In order to investigated if participants used temporal grouping to make a boundary between each subcomponent (e.g., between legato and staccato, between forte and piano) clearer for teaching purposes, we looked at IOIs only at transition points.</w:t>
      </w:r>
    </w:p>
    <w:bookmarkStart w:id="149" w:name="results-3"/>
    <w:p>
      <w:pPr>
        <w:pStyle w:val="berschrift2"/>
      </w:pPr>
      <w:r>
        <w:t xml:space="preserve">Results</w:t>
      </w:r>
    </w:p>
    <w:bookmarkEnd w:id="149"/>
    <w:bookmarkStart w:id="152" w:name="experiment-1-3"/>
    <w:p>
      <w:pPr>
        <w:pStyle w:val="berschrift2"/>
      </w:pPr>
      <w:r>
        <w:t xml:space="preserve">Experiment 1</w:t>
      </w:r>
    </w:p>
    <w:bookmarkStart w:id="150" w:name="articulation-4"/>
    <w:p>
      <w:pPr>
        <w:pStyle w:val="berschrift3"/>
      </w:pPr>
      <w:r>
        <w:t xml:space="preserve">Articulation.</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IOIs at transition points were larger for the teaching condition [</w:t>
      </w:r>
      <w:r>
        <w:rPr>
          <w:iCs/>
          <w:i/>
        </w:rPr>
        <w:t xml:space="preserve">Mdn</w:t>
      </w:r>
      <w:r>
        <w:t xml:space="preserve"> </w:t>
      </w:r>
      <w:r>
        <w:t xml:space="preserve">= 195.75 (ms),</w:t>
      </w:r>
      <w:r>
        <w:t xml:space="preserve"> </w:t>
      </w:r>
      <w:r>
        <w:rPr>
          <w:iCs/>
          <w:i/>
        </w:rPr>
        <w:t xml:space="preserve">IQR</w:t>
      </w:r>
      <w:r>
        <w:t xml:space="preserve"> </w:t>
      </w:r>
      <w:r>
        <w:t xml:space="preserve">= 25.75] than in the performing condition [</w:t>
      </w:r>
      <w:r>
        <w:rPr>
          <w:iCs/>
          <w:i/>
        </w:rPr>
        <w:t xml:space="preserve">Mdn</w:t>
      </w:r>
      <w:r>
        <w:t xml:space="preserve"> </w:t>
      </w:r>
      <w:r>
        <w:t xml:space="preserve">= 188.77 (ms),</w:t>
      </w:r>
      <w:r>
        <w:t xml:space="preserve"> </w:t>
      </w:r>
      <w:r>
        <w:rPr>
          <w:iCs/>
          <w:i/>
        </w:rPr>
        <w:t xml:space="preserve">IQR</w:t>
      </w:r>
      <w:r>
        <w:t xml:space="preserve"> </w:t>
      </w:r>
      <w:r>
        <w:t xml:space="preserve">= 23.53] while playing the piece with the notated articulation (</w:t>
      </w:r>
      <w:r>
        <w:rPr>
          <w:iCs/>
          <w:i/>
        </w:rPr>
        <w:t xml:space="preserve">p</w:t>
      </w:r>
      <w:r>
        <w:t xml:space="preserve"> </w:t>
      </w:r>
      <w:r>
        <w:t xml:space="preserve">= 0.02,</w:t>
      </w:r>
      <w:r>
        <w:t xml:space="preserve"> </w:t>
      </w:r>
      <w:r>
        <w:rPr>
          <w:iCs/>
          <w:i/>
        </w:rPr>
        <w:t xml:space="preserve">r</w:t>
      </w:r>
      <w:r>
        <w:t xml:space="preserve"> </w:t>
      </w:r>
      <w:r>
        <w:t xml:space="preserve">= 0.42, two-tailed,</w:t>
      </w:r>
      <w:r>
        <w:t xml:space="preserve"> </w:t>
      </w:r>
      <w:r>
        <w:rPr>
          <w:iCs/>
          <w:i/>
        </w:rPr>
        <w:t xml:space="preserve">Fig</w:t>
      </w:r>
      <w:r>
        <w:rPr>
          <w:iCs/>
          <w:i/>
        </w:rPr>
        <w:t xml:space="preserve"> </w:t>
      </w:r>
      <w:r>
        <w:t xml:space="preserve">).</w:t>
      </w:r>
    </w:p>
    <w:bookmarkEnd w:id="150"/>
    <w:bookmarkStart w:id="151" w:name="dynamics-4"/>
    <w:p>
      <w:pPr>
        <w:pStyle w:val="berschrift3"/>
      </w:pPr>
      <w:r>
        <w:t xml:space="preserve">Dynamics.</w:t>
      </w:r>
    </w:p>
    <w:p>
      <w:pPr>
        <w:pStyle w:val="FirstParagraph"/>
      </w:pPr>
      <w:r>
        <w:t xml:space="preserve">A paired-sample</w:t>
      </w:r>
      <w:r>
        <w:t xml:space="preserve"> </w:t>
      </w:r>
      <w:r>
        <w:rPr>
          <w:iCs/>
          <w:i/>
        </w:rPr>
        <w:t xml:space="preserve">t</w:t>
      </w:r>
      <w:r>
        <w:t xml:space="preserve">-test showed that IOIs at transition points were larger for the teaching condition [</w:t>
      </w:r>
      <w:r>
        <w:rPr>
          <w:iCs/>
          <w:i/>
        </w:rPr>
        <w:t xml:space="preserve">M</w:t>
      </w:r>
      <w:r>
        <w:t xml:space="preserve"> </w:t>
      </w:r>
      <w:r>
        <w:t xml:space="preserve">= 200.90 (ms),</w:t>
      </w:r>
      <w:r>
        <w:t xml:space="preserve"> </w:t>
      </w:r>
      <w:r>
        <w:rPr>
          <w:iCs/>
          <w:i/>
        </w:rPr>
        <w:t xml:space="preserve">SD</w:t>
      </w:r>
      <w:r>
        <w:t xml:space="preserve"> </w:t>
      </w:r>
      <w:r>
        <w:t xml:space="preserve">= 20.96] than the performing condition [</w:t>
      </w:r>
      <w:r>
        <w:rPr>
          <w:iCs/>
          <w:i/>
        </w:rPr>
        <w:t xml:space="preserve">M</w:t>
      </w:r>
      <w:r>
        <w:t xml:space="preserve"> </w:t>
      </w:r>
      <w:r>
        <w:t xml:space="preserve">= 197.63 (ms),</w:t>
      </w:r>
      <w:r>
        <w:t xml:space="preserve"> </w:t>
      </w:r>
      <w:r>
        <w:rPr>
          <w:iCs/>
          <w:i/>
        </w:rPr>
        <w:t xml:space="preserve">SD</w:t>
      </w:r>
      <w:r>
        <w:t xml:space="preserve"> </w:t>
      </w:r>
      <w:r>
        <w:t xml:space="preserve">= 19.30] while playing the piece with the notated dynamics (</w:t>
      </w:r>
      <w:r>
        <w:rPr>
          <w:iCs/>
          <w:i/>
        </w:rPr>
        <w:t xml:space="preserve">t</w:t>
      </w:r>
      <w:r>
        <w:t xml:space="preserve">(30) = 2.10,</w:t>
      </w:r>
      <w:r>
        <w:t xml:space="preserve"> </w:t>
      </w:r>
      <w:r>
        <w:rPr>
          <w:iCs/>
          <w:i/>
        </w:rPr>
        <w:t xml:space="preserve">p</w:t>
      </w:r>
      <w:r>
        <w:t xml:space="preserve"> </w:t>
      </w:r>
      <w:r>
        <w:t xml:space="preserve">= 0.04, Cohen’s</w:t>
      </w:r>
      <w:r>
        <w:t xml:space="preserve"> </w:t>
      </w:r>
      <w:r>
        <w:rPr>
          <w:iCs/>
          <w:i/>
        </w:rPr>
        <w:t xml:space="preserve">d</w:t>
      </w:r>
      <w:r>
        <w:t xml:space="preserve"> </w:t>
      </w:r>
      <w:r>
        <w:t xml:space="preserve">= 0.38, two-tailed,</w:t>
      </w:r>
      <w:r>
        <w:t xml:space="preserve"> </w:t>
      </w:r>
      <w:r>
        <w:rPr>
          <w:iCs/>
          <w:i/>
        </w:rPr>
        <w:t xml:space="preserve">Fig</w:t>
      </w:r>
      <w:r>
        <w:rPr>
          <w:iCs/>
          <w:i/>
        </w:rPr>
        <w:t xml:space="preserve"> </w:t>
      </w:r>
      <w:r>
        <w:t xml:space="preserve">).</w:t>
      </w:r>
    </w:p>
    <w:bookmarkEnd w:id="151"/>
    <w:bookmarkEnd w:id="152"/>
    <w:bookmarkStart w:id="158" w:name="experiment-2-3"/>
    <w:p>
      <w:pPr>
        <w:pStyle w:val="berschrift2"/>
      </w:pPr>
      <w:r>
        <w:t xml:space="preserve">Experiment 2</w:t>
      </w:r>
    </w:p>
    <w:bookmarkStart w:id="153" w:name="articulation-5"/>
    <w:p>
      <w:pPr>
        <w:pStyle w:val="berschrift3"/>
      </w:pPr>
      <w:r>
        <w:t xml:space="preserve">Articulation.</w:t>
      </w:r>
    </w:p>
    <w:p>
      <w:pPr>
        <w:pStyle w:val="FirstParagraph"/>
      </w:pPr>
      <w:r>
        <w:t xml:space="preserve">A paired-sample</w:t>
      </w:r>
      <w:r>
        <w:t xml:space="preserve"> </w:t>
      </w:r>
      <w:r>
        <w:rPr>
          <w:iCs/>
          <w:i/>
        </w:rPr>
        <w:t xml:space="preserve">t</w:t>
      </w:r>
      <w:r>
        <w:t xml:space="preserve">-test showed that IOIs at transition points were larger for the teaching condition [</w:t>
      </w:r>
      <w:r>
        <w:rPr>
          <w:iCs/>
          <w:i/>
        </w:rPr>
        <w:t xml:space="preserve">M</w:t>
      </w:r>
      <w:r>
        <w:t xml:space="preserve"> </w:t>
      </w:r>
      <w:r>
        <w:t xml:space="preserve">= 1.00,</w:t>
      </w:r>
      <w:r>
        <w:t xml:space="preserve"> </w:t>
      </w:r>
      <w:r>
        <w:rPr>
          <w:iCs/>
          <w:i/>
        </w:rPr>
        <w:t xml:space="preserve">SD</w:t>
      </w:r>
      <w:r>
        <w:t xml:space="preserve"> </w:t>
      </w:r>
      <w:r>
        <w:t xml:space="preserve">= 0.067] than the performing condition [</w:t>
      </w:r>
      <w:r>
        <w:rPr>
          <w:iCs/>
          <w:i/>
        </w:rPr>
        <w:t xml:space="preserve">M</w:t>
      </w:r>
      <w:r>
        <w:t xml:space="preserve"> </w:t>
      </w:r>
      <w:r>
        <w:t xml:space="preserve">= 0.98,</w:t>
      </w:r>
      <w:r>
        <w:t xml:space="preserve"> </w:t>
      </w:r>
      <w:r>
        <w:rPr>
          <w:iCs/>
          <w:i/>
        </w:rPr>
        <w:t xml:space="preserve">SD</w:t>
      </w:r>
      <w:r>
        <w:t xml:space="preserve"> </w:t>
      </w:r>
      <w:r>
        <w:t xml:space="preserve">= 0.049] while playing the piece with the notated articulation (</w:t>
      </w:r>
      <w:r>
        <w:rPr>
          <w:iCs/>
          <w:i/>
        </w:rPr>
        <w:t xml:space="preserve">t</w:t>
      </w:r>
      <w:r>
        <w:t xml:space="preserve">(19) = 2.27,</w:t>
      </w:r>
      <w:r>
        <w:t xml:space="preserve"> </w:t>
      </w:r>
      <w:r>
        <w:rPr>
          <w:iCs/>
          <w:i/>
        </w:rPr>
        <w:t xml:space="preserve">p</w:t>
      </w:r>
      <w:r>
        <w:t xml:space="preserve"> </w:t>
      </w:r>
      <w:r>
        <w:t xml:space="preserve">= 0.03, Cohen’s</w:t>
      </w:r>
      <w:r>
        <w:t xml:space="preserve"> </w:t>
      </w:r>
      <w:r>
        <w:rPr>
          <w:iCs/>
          <w:i/>
        </w:rPr>
        <w:t xml:space="preserve">d</w:t>
      </w:r>
      <w:r>
        <w:t xml:space="preserve"> </w:t>
      </w:r>
      <w:r>
        <w:t xml:space="preserve">= 0.51, two-tailed,</w:t>
      </w:r>
      <w:r>
        <w:t xml:space="preserve"> </w:t>
      </w:r>
      <w:r>
        <w:rPr>
          <w:iCs/>
          <w:i/>
        </w:rPr>
        <w:t xml:space="preserve">Fig</w:t>
      </w:r>
      <w:r>
        <w:rPr>
          <w:iCs/>
          <w:i/>
        </w:rPr>
        <w:t xml:space="preserve"> </w:t>
      </w:r>
      <w:r>
        <w:t xml:space="preserve">).</w:t>
      </w:r>
    </w:p>
    <w:bookmarkEnd w:id="153"/>
    <w:bookmarkStart w:id="157" w:name="dynamics-5"/>
    <w:p>
      <w:pPr>
        <w:pStyle w:val="berschrift3"/>
      </w:pPr>
      <w:r>
        <w:t xml:space="preserve">Dynamics.</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0.004). The Wilcoxon Signed-rank test revealed that IOIs at transition points did not differ significantly between the teaching [</w:t>
      </w:r>
      <w:r>
        <w:rPr>
          <w:iCs/>
          <w:i/>
        </w:rPr>
        <w:t xml:space="preserve">Mdn</w:t>
      </w:r>
      <w:r>
        <w:t xml:space="preserve"> </w:t>
      </w:r>
      <w:r>
        <w:t xml:space="preserve">= 1.00,</w:t>
      </w:r>
      <w:r>
        <w:t xml:space="preserve"> </w:t>
      </w:r>
      <w:r>
        <w:rPr>
          <w:iCs/>
          <w:i/>
        </w:rPr>
        <w:t xml:space="preserve">IQR</w:t>
      </w:r>
      <w:r>
        <w:t xml:space="preserve"> </w:t>
      </w:r>
      <w:r>
        <w:t xml:space="preserve">= 0.06] and the performing condition [</w:t>
      </w:r>
      <w:r>
        <w:rPr>
          <w:iCs/>
          <w:i/>
        </w:rPr>
        <w:t xml:space="preserve">Mdn</w:t>
      </w:r>
      <w:r>
        <w:t xml:space="preserve"> </w:t>
      </w:r>
      <w:r>
        <w:t xml:space="preserve">= 0.99,</w:t>
      </w:r>
      <w:r>
        <w:t xml:space="preserve"> </w:t>
      </w:r>
      <w:r>
        <w:rPr>
          <w:iCs/>
          <w:i/>
        </w:rPr>
        <w:t xml:space="preserve">IQR</w:t>
      </w:r>
      <w:r>
        <w:t xml:space="preserve"> </w:t>
      </w:r>
      <w:r>
        <w:t xml:space="preserve">= 0.05] while playing the piece with the notated dynamics (</w:t>
      </w:r>
      <w:r>
        <w:rPr>
          <w:iCs/>
          <w:i/>
        </w:rPr>
        <w:t xml:space="preserve">p</w:t>
      </w:r>
      <w:r>
        <w:t xml:space="preserve"> </w:t>
      </w:r>
      <w:r>
        <w:t xml:space="preserve">= 0.60,</w:t>
      </w:r>
      <w:r>
        <w:t xml:space="preserve"> </w:t>
      </w:r>
      <w:r>
        <w:rPr>
          <w:iCs/>
          <w:i/>
        </w:rPr>
        <w:t xml:space="preserve">r</w:t>
      </w:r>
      <w:r>
        <w:t xml:space="preserve"> </w:t>
      </w:r>
      <w:r>
        <w:t xml:space="preserve">= 0.13,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1.  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  &lt; .05, **  &lt; .01, ***  &lt; .001" title="" id="155" name="Picture"/>
            <a:graphic>
              <a:graphicData uri="http://schemas.openxmlformats.org/drawingml/2006/picture">
                <pic:pic>
                  <pic:nvPicPr>
                    <pic:cNvPr descr="manuscript_files/figure-docx/plot-tra-1.png" id="156" name="Picture"/>
                    <pic:cNvPicPr>
                      <a:picLocks noChangeArrowheads="1" noChangeAspect="1"/>
                    </pic:cNvPicPr>
                  </pic:nvPicPr>
                  <pic:blipFill>
                    <a:blip r:embed="rId15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57"/>
    <w:bookmarkEnd w:id="158"/>
    <w:bookmarkEnd w:id="159"/>
    <w:bookmarkStart w:id="166" w:name="Xb3b39e983932286abeb549707e2ff967929e056"/>
    <w:p>
      <w:pPr>
        <w:pStyle w:val="berschrift1"/>
      </w:pPr>
      <w:r>
        <w:t xml:space="preserve">Additional analysis for dynamics difference</w:t>
      </w:r>
    </w:p>
    <w:p>
      <w:pPr>
        <w:pStyle w:val="FirstParagraph"/>
      </w:pPr>
      <w:r>
        <w:t xml:space="preserve">In order to examine if the dynamics difference between forte and piano at transition points is larger when the difference between forte and piano in overall performance is considered, we normalised the KV difference at transition points by dividing it by the average range between forte and piano per performance (per trial).</w:t>
      </w:r>
    </w:p>
    <w:bookmarkStart w:id="160" w:name="results-4"/>
    <w:p>
      <w:pPr>
        <w:pStyle w:val="berschrift2"/>
      </w:pPr>
      <w:r>
        <w:t xml:space="preserve">Results</w:t>
      </w:r>
    </w:p>
    <w:bookmarkEnd w:id="160"/>
    <w:bookmarkStart w:id="161" w:name="experiment-1-4"/>
    <w:p>
      <w:pPr>
        <w:pStyle w:val="berschrift2"/>
      </w:pPr>
      <w:r>
        <w:t xml:space="preserve">Experiment 1</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(1,30) = 741,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0.88) and a significant interaction between Condition and Transition Type (</w:t>
      </w:r>
      <w:r>
        <w:rPr>
          <w:iCs/>
          <w:i/>
        </w:rPr>
        <w:t xml:space="preserve">F</w:t>
      </w:r>
      <w:r>
        <w:t xml:space="preserve">(1,30) = 7.87,</w:t>
      </w:r>
      <w:r>
        <w:t xml:space="preserve"> </w:t>
      </w:r>
      <w:r>
        <w:rPr>
          <w:iCs/>
          <w:i/>
        </w:rPr>
        <w:t xml:space="preserve">p</w:t>
      </w:r>
      <w:r>
        <w:t xml:space="preserve"> </w:t>
      </w:r>
      <w:r>
        <w:t xml:space="preserve">= 0.009,</w:t>
      </w:r>
      <w:r>
        <w:t xml:space="preserve"> </w:t>
      </w:r>
      <m:oMath>
        <m:sSubSup>
          <m:e>
            <m:r>
              <m:t>η</m:t>
            </m:r>
          </m:e>
          <m:sub>
            <m:r>
              <m:t>G</m:t>
            </m:r>
          </m:sub>
          <m:sup>
            <m:r>
              <m:t>2</m:t>
            </m:r>
          </m:sup>
        </m:sSubSup>
      </m:oMath>
      <w:r>
        <w:t xml:space="preserve"> </w:t>
      </w:r>
      <w:r>
        <w:t xml:space="preserve">= 0.009,</w:t>
      </w:r>
      <w:r>
        <w:t xml:space="preserve"> </w:t>
      </w:r>
      <w:r>
        <w:rPr>
          <w:iCs/>
          <w:i/>
        </w:rPr>
        <w:t xml:space="preserve">Fig</w:t>
      </w:r>
      <w:r>
        <w:rPr>
          <w:iCs/>
          <w:i/>
        </w:rPr>
        <w:t xml:space="preserve"> </w:t>
      </w:r>
      <w:r>
        <w:t xml:space="preserve">). Post-hoc comparisons based on the estimated marginal means with Tukey adjustment showed that there was no significant difference when changing from forte to piano (</w:t>
      </w:r>
      <w:r>
        <w:rPr>
          <w:iCs/>
          <w:i/>
        </w:rPr>
        <w:t xml:space="preserve">p</w:t>
      </w:r>
      <w:r>
        <w:t xml:space="preserve"> </w:t>
      </w:r>
      <w:r>
        <w:t xml:space="preserve">= 0.085) and from piano to forte (</w:t>
      </w:r>
      <w:r>
        <w:rPr>
          <w:iCs/>
          <w:i/>
        </w:rPr>
        <w:t xml:space="preserve">p</w:t>
      </w:r>
      <w:r>
        <w:t xml:space="preserve"> </w:t>
      </w:r>
      <w:r>
        <w:t xml:space="preserve">= 0.075) between the teaching condition [FtoP:</w:t>
      </w:r>
      <w:r>
        <w:t xml:space="preserve"> </w:t>
      </w:r>
      <w:r>
        <w:rPr>
          <w:iCs/>
          <w:i/>
        </w:rPr>
        <w:t xml:space="preserve">M</w:t>
      </w:r>
      <w:r>
        <w:t xml:space="preserve"> </w:t>
      </w:r>
      <w:r>
        <w:t xml:space="preserve">= -0.62,</w:t>
      </w:r>
      <w:r>
        <w:t xml:space="preserve"> </w:t>
      </w:r>
      <w:r>
        <w:rPr>
          <w:iCs/>
          <w:i/>
        </w:rPr>
        <w:t xml:space="preserve">SD</w:t>
      </w:r>
      <w:r>
        <w:t xml:space="preserve"> </w:t>
      </w:r>
      <w:r>
        <w:t xml:space="preserve">= 0.24, PtoF:</w:t>
      </w:r>
      <w:r>
        <w:t xml:space="preserve"> </w:t>
      </w:r>
      <w:r>
        <w:rPr>
          <w:iCs/>
          <w:i/>
        </w:rPr>
        <w:t xml:space="preserve">M</w:t>
      </w:r>
      <w:r>
        <w:t xml:space="preserve"> </w:t>
      </w:r>
      <w:r>
        <w:t xml:space="preserve">= 1.10,</w:t>
      </w:r>
      <w:r>
        <w:t xml:space="preserve"> </w:t>
      </w:r>
      <w:r>
        <w:rPr>
          <w:iCs/>
          <w:i/>
        </w:rPr>
        <w:t xml:space="preserve">SD</w:t>
      </w:r>
      <w:r>
        <w:t xml:space="preserve"> </w:t>
      </w:r>
      <w:r>
        <w:t xml:space="preserve">= 0.34] and the performing condition [FtoP:</w:t>
      </w:r>
      <w:r>
        <w:t xml:space="preserve"> </w:t>
      </w:r>
      <w:r>
        <w:rPr>
          <w:iCs/>
          <w:i/>
        </w:rPr>
        <w:t xml:space="preserve">M</w:t>
      </w:r>
      <w:r>
        <w:t xml:space="preserve"> </w:t>
      </w:r>
      <w:r>
        <w:t xml:space="preserve">= -0.56,</w:t>
      </w:r>
      <w:r>
        <w:t xml:space="preserve"> </w:t>
      </w:r>
      <w:r>
        <w:rPr>
          <w:iCs/>
          <w:i/>
        </w:rPr>
        <w:t xml:space="preserve">SD</w:t>
      </w:r>
      <w:r>
        <w:t xml:space="preserve"> </w:t>
      </w:r>
      <w:r>
        <w:t xml:space="preserve">= 0.25, PtoF:</w:t>
      </w:r>
      <w:r>
        <w:t xml:space="preserve"> </w:t>
      </w:r>
      <w:r>
        <w:rPr>
          <w:iCs/>
          <w:i/>
        </w:rPr>
        <w:t xml:space="preserve">M</w:t>
      </w:r>
      <w:r>
        <w:t xml:space="preserve"> </w:t>
      </w:r>
      <w:r>
        <w:t xml:space="preserve">= 1.03,</w:t>
      </w:r>
      <w:r>
        <w:t xml:space="preserve"> </w:t>
      </w:r>
      <w:r>
        <w:rPr>
          <w:iCs/>
          <w:i/>
        </w:rPr>
        <w:t xml:space="preserve">SD</w:t>
      </w:r>
      <w:r>
        <w:t xml:space="preserve"> </w:t>
      </w:r>
      <w:r>
        <w:t xml:space="preserve">= 0.40].</w:t>
      </w:r>
    </w:p>
    <w:bookmarkEnd w:id="161"/>
    <w:bookmarkStart w:id="165" w:name="experiment-2-4"/>
    <w:p>
      <w:pPr>
        <w:pStyle w:val="berschrift2"/>
      </w:pPr>
      <w:r>
        <w:t xml:space="preserve">Experiment 2</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42,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0.63). However, there was no significant interaction between Condition and Transition Type (</w:t>
      </w:r>
      <w:r>
        <w:rPr>
          <w:iCs/>
          <w:i/>
        </w:rPr>
        <w:t xml:space="preserve">F</w:t>
      </w:r>
      <w:r>
        <w:t xml:space="preserve">(1,19) = 1.10,</w:t>
      </w:r>
      <w:r>
        <w:t xml:space="preserve"> </w:t>
      </w:r>
      <w:r>
        <w:rPr>
          <w:iCs/>
          <w:i/>
        </w:rPr>
        <w:t xml:space="preserve">p</w:t>
      </w:r>
      <w:r>
        <w:t xml:space="preserve"> </w:t>
      </w:r>
      <w:r>
        <w:t xml:space="preserve">= 0.306,</w:t>
      </w:r>
      <w:r>
        <w:t xml:space="preserve"> </w:t>
      </w:r>
      <m:oMath>
        <m:sSubSup>
          <m:e>
            <m:r>
              <m:t>η</m:t>
            </m:r>
          </m:e>
          <m:sub>
            <m:r>
              <m:t>G</m:t>
            </m:r>
          </m:sub>
          <m:sup>
            <m:r>
              <m:t>2</m:t>
            </m:r>
          </m:sup>
        </m:sSubSup>
      </m:oMath>
      <w:r>
        <w:t xml:space="preserve"> </w:t>
      </w:r>
      <w:r>
        <w:t xml:space="preserve">= 0.008,</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2.  Experiment 1, 2: Normalised KV Difference at transition points when playing the piece with dynamics (left: Experiment 1, right: Experiment 2). Each box indicates the IQR with the median, and whiskers extend to a maximum of 1.5 × IQR beyond the box. Significance levels: *  &lt; .05, **  &lt; .01, ***  &lt; .001" title="" id="163" name="Picture"/>
            <a:graphic>
              <a:graphicData uri="http://schemas.openxmlformats.org/drawingml/2006/picture">
                <pic:pic>
                  <pic:nvPicPr>
                    <pic:cNvPr descr="manuscript_files/figure-docx/plot-vel-diff-2-1.png" id="164" name="Picture"/>
                    <pic:cNvPicPr>
                      <a:picLocks noChangeArrowheads="1" noChangeAspect="1"/>
                    </pic:cNvPicPr>
                  </pic:nvPicPr>
                  <pic:blipFill>
                    <a:blip r:embed="rId162"/>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Experiment 1, 2: Normalised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65"/>
    <w:bookmarkEnd w:id="166"/>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THE SOUND OF TEACHING MUSIC</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THE SOUND OF TEACHING MUSIC</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43" Target="media/rId143.png"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154" Target="media/rId154.png" /><Relationship Type="http://schemas.openxmlformats.org/officeDocument/2006/relationships/image" Id="rId47" Target="media/rId4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62" Target="media/rId162.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4" Target="https://doi.org/10.1038/s41598-019-44049-x" TargetMode="External" /><Relationship Type="http://schemas.openxmlformats.org/officeDocument/2006/relationships/hyperlink" Id="rId116"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22" Target="https://doi.org/10.1177/03057356030313003" TargetMode="External" /><Relationship Type="http://schemas.openxmlformats.org/officeDocument/2006/relationships/hyperlink" Id="rId114" Target="https://doi.org/10.1177/0305735613498918" TargetMode="External" /><Relationship Type="http://schemas.openxmlformats.org/officeDocument/2006/relationships/hyperlink" Id="rId118" Target="https://doi.org/10.1177/0748730418783651" TargetMode="External" /><Relationship Type="http://schemas.openxmlformats.org/officeDocument/2006/relationships/hyperlink" Id="rId112" Target="https://doi.org/10.1177/1321103X0001400102" TargetMode="External" /><Relationship Type="http://schemas.openxmlformats.org/officeDocument/2006/relationships/hyperlink" Id="rId120"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31" Target="https://osf.io/8nbjh/" TargetMode="External" /><Relationship Type="http://schemas.openxmlformats.org/officeDocument/2006/relationships/hyperlink" Id="rId20" Target="mailto: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4" Target="https://doi.org/10.1038/s41598-019-44049-x" TargetMode="External" /><Relationship Type="http://schemas.openxmlformats.org/officeDocument/2006/relationships/hyperlink" Id="rId116"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22" Target="https://doi.org/10.1177/03057356030313003" TargetMode="External" /><Relationship Type="http://schemas.openxmlformats.org/officeDocument/2006/relationships/hyperlink" Id="rId114" Target="https://doi.org/10.1177/0305735613498918" TargetMode="External" /><Relationship Type="http://schemas.openxmlformats.org/officeDocument/2006/relationships/hyperlink" Id="rId118" Target="https://doi.org/10.1177/0748730418783651" TargetMode="External" /><Relationship Type="http://schemas.openxmlformats.org/officeDocument/2006/relationships/hyperlink" Id="rId112" Target="https://doi.org/10.1177/1321103X0001400102" TargetMode="External" /><Relationship Type="http://schemas.openxmlformats.org/officeDocument/2006/relationships/hyperlink" Id="rId120"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31" Target="https://osf.io/8nbjh/" TargetMode="External" /><Relationship Type="http://schemas.openxmlformats.org/officeDocument/2006/relationships/hyperlink" Id="rId20" Target="mailto: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2022-08-19T15:02:48Z</dcterms:created>
  <dcterms:modified xsi:type="dcterms:W3CDTF">2022-08-19T15:02:48Z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reference.bib</vt:lpwstr>
  </property>
  <property fmtid="{D5CDD505-2E9C-101B-9397-08002B2CF9AE}" pid="4" name="csl">
    <vt:lpwstr>/Users/atsukotominaga/Google Drive/Project/music-teaching/paper/nature.csl</vt:lpwstr>
  </property>
  <property fmtid="{D5CDD505-2E9C-101B-9397-08002B2CF9AE}" pid="5" name="draft">
    <vt:lpwstr>False</vt:lpwstr>
  </property>
  <property fmtid="{D5CDD505-2E9C-101B-9397-08002B2CF9AE}" pid="6" name="figurelist">
    <vt:lpwstr>False</vt:lpwstr>
  </property>
  <property fmtid="{D5CDD505-2E9C-101B-9397-08002B2CF9AE}" pid="7" name="floatsintext">
    <vt:lpwstr>True</vt:lpwstr>
  </property>
  <property fmtid="{D5CDD505-2E9C-101B-9397-08002B2CF9AE}" pid="8" name="footnotelist">
    <vt:lpwstr>False</vt:lpwstr>
  </property>
  <property fmtid="{D5CDD505-2E9C-101B-9397-08002B2CF9AE}" pid="9" name="linenumbers">
    <vt:lpwstr>False</vt:lpwstr>
  </property>
  <property fmtid="{D5CDD505-2E9C-101B-9397-08002B2CF9AE}" pid="10" name="mask">
    <vt:lpwstr>False</vt:lpwstr>
  </property>
  <property fmtid="{D5CDD505-2E9C-101B-9397-08002B2CF9AE}" pid="11" name="output">
    <vt:lpwstr>papaja::apa6_word</vt:lpwstr>
  </property>
  <property fmtid="{D5CDD505-2E9C-101B-9397-08002B2CF9AE}" pid="12" name="shorttitle">
    <vt:lpwstr>The sound of teaching music</vt:lpwstr>
  </property>
  <property fmtid="{D5CDD505-2E9C-101B-9397-08002B2CF9AE}" pid="13" name="tablelist">
    <vt:lpwstr>False</vt:lpwstr>
  </property>
</Properties>
</file>