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8.png" ContentType="image/png"/>
  <Override PartName="/word/media/rId161.png" ContentType="image/png"/>
  <Override PartName="/word/media/rId177.png" ContentType="image/png"/>
  <Override PartName="/word/media/rId154.png" ContentType="image/png"/>
  <Override PartName="/word/media/rId167.png" ContentType="image/png"/>
  <Override PartName="/word/media/rId151.png" ContentType="image/png"/>
  <Override PartName="/word/media/rId164.png" ContentType="image/png"/>
  <Override PartName="/word/media/rId41.png" ContentType="image/png"/>
  <Override PartName="/word/media/rId70.png" ContentType="image/png"/>
  <Override PartName="/word/media/rId145.png" ContentType="image/png"/>
  <Override PartName="/word/media/rId158.png" ContentType="image/png"/>
  <Override PartName="/word/media/rId73.png" ContentType="image/png"/>
  <Override PartName="/word/media/rId44.png" ContentType="image/png"/>
  <Override PartName="/word/media/rId188.png" ContentType="image/png"/>
  <Override PartName="/word/media/rId47.png" ContentType="image/png"/>
  <Override PartName="/word/media/rId76.png" ContentType="image/png"/>
  <Override PartName="/word/media/rId79.png" ContentType="image/png"/>
  <Override PartName="/word/media/rId196.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Expert</w:t>
      </w:r>
      <w:r>
        <w:t xml:space="preserve"> </w:t>
      </w:r>
      <w:r>
        <w:t xml:space="preserve">pianists</w:t>
      </w:r>
      <w:r>
        <w:t xml:space="preserve"> </w:t>
      </w:r>
      <w:r>
        <w:t xml:space="preserve">make</w:t>
      </w:r>
      <w:r>
        <w:t xml:space="preserve"> </w:t>
      </w:r>
      <w:r>
        <w:t xml:space="preserve">specific</w:t>
      </w:r>
      <w:r>
        <w:t xml:space="preserve"> </w:t>
      </w:r>
      <w:r>
        <w:t xml:space="preserve">exaggerations</w:t>
      </w:r>
      <w:r>
        <w:t xml:space="preserve"> </w:t>
      </w:r>
      <w:r>
        <w:t xml:space="preserve">for</w:t>
      </w:r>
      <w:r>
        <w:t xml:space="preserve"> </w:t>
      </w:r>
      <w:r>
        <w:t xml:space="preserve">teaching</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generalise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Expert pianists make specific exaggerations for teaching</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second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15,16</w:t>
      </w:r>
      <w:r>
        <w:t xml:space="preserve"> </w:t>
      </w:r>
      <w:r>
        <w:t xml:space="preserve">and non-verbal bodily cues</w:t>
      </w:r>
      <w:r>
        <w:rPr>
          <w:vertAlign w:val="superscript"/>
        </w:rPr>
        <w:t xml:space="preserve">17</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a 4/4 metre.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w:t>
      </w:r>
      <w:r>
        <w:t xml:space="preserve">1).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18</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[Forte:</w:t>
      </w:r>
      <w:r>
        <w:t xml:space="preserve"> </w:t>
      </w:r>
      <w:r>
        <w:rPr>
          <w:iCs/>
          <w:i/>
        </w:rPr>
        <w:t xml:space="preserve">M</w:t>
      </w:r>
      <w:r>
        <w:t xml:space="preserve"> </w:t>
      </w:r>
      <w:r>
        <w:t xml:space="preserve">= 82.78,</w:t>
      </w:r>
      <w:r>
        <w:t xml:space="preserve"> </w:t>
      </w:r>
      <w:r>
        <w:rPr>
          <w:iCs/>
          <w:i/>
        </w:rPr>
        <w:t xml:space="preserve">SD</w:t>
      </w:r>
      <w:r>
        <w:t xml:space="preserve"> </w:t>
      </w:r>
      <w:r>
        <w:t xml:space="preserve">= 8.31, Piano:</w:t>
      </w:r>
      <w:r>
        <w:t xml:space="preserve"> </w:t>
      </w:r>
      <w:r>
        <w:rPr>
          <w:iCs/>
          <w:i/>
        </w:rPr>
        <w:t xml:space="preserve">M</w:t>
      </w:r>
      <w:r>
        <w:t xml:space="preserve"> </w:t>
      </w:r>
      <w:r>
        <w:t xml:space="preserve">= 60.63,</w:t>
      </w:r>
      <w:r>
        <w:t xml:space="preserve"> </w:t>
      </w:r>
      <w:r>
        <w:rPr>
          <w:iCs/>
          <w:i/>
        </w:rPr>
        <w:t xml:space="preserve">SD</w:t>
      </w:r>
      <w:r>
        <w:t xml:space="preserve"> </w:t>
      </w:r>
      <w:r>
        <w:t xml:space="preserve">= 5.08] and performing condition [Forte:</w:t>
      </w:r>
      <w:r>
        <w:t xml:space="preserve"> </w:t>
      </w:r>
      <w:r>
        <w:rPr>
          <w:iCs/>
          <w:i/>
        </w:rPr>
        <w:t xml:space="preserve">M</w:t>
      </w:r>
      <w:r>
        <w:t xml:space="preserve"> </w:t>
      </w:r>
      <w:r>
        <w:t xml:space="preserve">= 81.65,</w:t>
      </w:r>
      <w:r>
        <w:t xml:space="preserve"> </w:t>
      </w:r>
      <w:r>
        <w:rPr>
          <w:iCs/>
          <w:i/>
        </w:rPr>
        <w:t xml:space="preserve">SD</w:t>
      </w:r>
      <w:r>
        <w:t xml:space="preserve"> </w:t>
      </w:r>
      <w:r>
        <w:t xml:space="preserve">= 7.43, Piano:</w:t>
      </w:r>
      <w:r>
        <w:t xml:space="preserve"> </w:t>
      </w:r>
      <w:r>
        <w:rPr>
          <w:iCs/>
          <w:i/>
        </w:rPr>
        <w:t xml:space="preserve">M</w:t>
      </w:r>
      <w:r>
        <w:t xml:space="preserve"> </w:t>
      </w:r>
      <w:r>
        <w:t xml:space="preserve">= 60.99,</w:t>
      </w:r>
      <w:r>
        <w:t xml:space="preserve"> </w:t>
      </w:r>
      <w:r>
        <w:rPr>
          <w:iCs/>
          <w:i/>
        </w:rPr>
        <w:t xml:space="preserve">SD</w:t>
      </w:r>
      <w:r>
        <w:t xml:space="preserve"> </w:t>
      </w:r>
      <w:r>
        <w:t xml:space="preserve">= 4.41] for each subcomponent (Forte:</w:t>
      </w:r>
      <w:r>
        <w:t xml:space="preserve"> </w:t>
      </w:r>
      <w:r>
        <w:rPr>
          <w:iCs/>
          <w:i/>
        </w:rPr>
        <w:t xml:space="preserve">p</w:t>
      </w:r>
      <w:r>
        <w:t xml:space="preserve"> </w:t>
      </w:r>
      <w:r>
        <w:t xml:space="preserve">= 0.068, Piano:</w:t>
      </w:r>
      <w:r>
        <w:t xml:space="preserve"> </w:t>
      </w:r>
      <w:r>
        <w:rPr>
          <w:iCs/>
          <w:i/>
        </w:rPr>
        <w:t xml:space="preserve">p</w:t>
      </w:r>
      <w:r>
        <w:t xml:space="preserve"> </w:t>
      </w:r>
      <w:r>
        <w:t xml:space="preserve">= 0.24).</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a 4/4 metre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w:t>
      </w:r>
      <w:r>
        <w:t xml:space="preserve">1). Third, participants could choose their preferred tempo from one of three options (100, 110 and 120 quarter beats per minute) because some evidence shows that musicians have their own preferred tempo, which affects their temporal variability</w:t>
      </w:r>
      <w:r>
        <w:rPr>
          <w:vertAlign w:val="superscript"/>
        </w:rPr>
        <w:t xml:space="preserve">19</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post-hoc comparions did not find significant differences between the two conditions for each subcomponent.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techniques necessary to implement musical expressions. Overall, the findings of the two experiments showed that pianists performed one and the same piece differently depending on whether they played with the intention to teach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rPr>
          <w:vertAlign w:val="superscript"/>
        </w:rPr>
        <w:t xml:space="preserve">20</w:t>
      </w:r>
      <w:r>
        <w:t xml:space="preserve">, future studies are needed to investigate how experts dynamically adapt their performance to their students’ skill levels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 We summarised descriptive statistics depending on participants’ teaching experience (see</w:t>
      </w:r>
      <w:r>
        <w:t xml:space="preserve"> </w:t>
      </w:r>
      <w:hyperlink w:anchor="supplementary">
        <w:r>
          <w:rPr>
            <w:rStyle w:val="Hyperlink"/>
            <w:iCs/>
            <w:i/>
          </w:rPr>
          <w:t xml:space="preserve">Supplementary Material</w:t>
        </w:r>
      </w:hyperlink>
      <w:r>
        <w:t xml:space="preserve"> </w:t>
      </w:r>
      <w:r>
        <w:t xml:space="preserve">2).</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We quantified participants’ sound modulations in terms of tempo, articulation and dynamics so as to examine if and how participants modulate their sound. However, it is possible that participants show didactic modulations in other aspects such as temporal variability and temporal grouping (see</w:t>
      </w:r>
      <w:r>
        <w:t xml:space="preserve"> </w:t>
      </w:r>
      <w:hyperlink w:anchor="supplementary">
        <w:r>
          <w:rPr>
            <w:rStyle w:val="Hyperlink"/>
            <w:iCs/>
            <w:i/>
          </w:rPr>
          <w:t xml:space="preserve">Supplementary Materials</w:t>
        </w:r>
      </w:hyperlink>
      <w:r>
        <w:t xml:space="preserve"> </w:t>
      </w:r>
      <w:r>
        <w:t xml:space="preserve">3 and 4). For example, participants tended to slow down at transition points regardless of the techniques they were teaching although overall, we found that participants played slower only when teaching the piece with the notated articulation. Future research is needed to investigate how musicians make particular modulations in relation to musical structures.</w:t>
      </w:r>
    </w:p>
    <w:p>
      <w:pPr>
        <w:pStyle w:val="Textkrper"/>
      </w:pPr>
      <w:r>
        <w:t xml:space="preserve">Musicians and music teachers tend to consider expressive skills as performers’ most important skills</w:t>
      </w:r>
      <w:r>
        <w:rPr>
          <w:vertAlign w:val="superscript"/>
        </w:rPr>
        <w:t xml:space="preserve">21</w:t>
      </w:r>
      <w:r>
        <w:t xml:space="preserve">. In the present study, experts focused on the teaching of specific expressions that were notated. However, expression also has other facets</w:t>
      </w:r>
      <w:r>
        <w:rPr>
          <w:vertAlign w:val="superscript"/>
        </w:rPr>
        <w:t xml:space="preserve">22</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rPr>
          <w:vertAlign w:val="superscript"/>
        </w:rPr>
        <w:t xml:space="preserve">23</w:t>
      </w:r>
      <w:r>
        <w:t xml:space="preserve">. The current research opens up the possibility of studying the teaching of expressive performance by demonstrating that pianists could signal didactic intentions without relying on verbal instructions, which are heavily used in actual teaching settings</w:t>
      </w:r>
      <w:r>
        <w:rPr>
          <w:vertAlign w:val="superscript"/>
        </w:rPr>
        <w:t xml:space="preserve">15,24</w:t>
      </w:r>
      <w:r>
        <w:t xml:space="preserve">. Given that students often learn by listening to recordings</w:t>
      </w:r>
      <w:r>
        <w:rPr>
          <w:vertAlign w:val="superscript"/>
        </w:rPr>
        <w:t xml:space="preserve">25</w:t>
      </w:r>
      <w:r>
        <w:t xml:space="preserve">, it is important to investigate how performance itself could affect students’ learning processes. It would also be interesting to examine how teachers’ playing (i.e., demonstrations) relates to the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26</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35" w:name="references"/>
    <w:p>
      <w:pPr>
        <w:pStyle w:val="berschrift1"/>
      </w:pPr>
      <w:r>
        <w:t xml:space="preserve">References</w:t>
      </w:r>
    </w:p>
    <w:bookmarkStart w:id="134"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woody_2006"/>
    <w:p>
      <w:pPr>
        <w:pStyle w:val="Literaturverzeichnis"/>
      </w:pPr>
      <w:r>
        <w:t xml:space="preserve">16.</w:t>
      </w:r>
      <w:r>
        <w:t xml:space="preserve"> </w:t>
      </w:r>
      <w:r>
        <w:t xml:space="preserve">	</w:t>
      </w:r>
      <w:r>
        <w:t xml:space="preserve">Woody, R. H.</w:t>
      </w:r>
      <w:r>
        <w:t xml:space="preserve"> </w:t>
      </w:r>
      <w:hyperlink r:id="rId11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Various Instructional Conditions</w:t>
        </w:r>
        <w:r>
          <w:rPr>
            <w:rStyle w:val="Hyperlink"/>
          </w:rPr>
          <w:t xml:space="preserve"> </w:t>
        </w:r>
        <w:r>
          <w:rPr>
            <w:rStyle w:val="Hyperlink"/>
          </w:rPr>
          <w:t xml:space="preserve">on</w:t>
        </w:r>
        <w:r>
          <w:rPr>
            <w:rStyle w:val="Hyperlink"/>
          </w:rPr>
          <w:t xml:space="preserve"> </w:t>
        </w:r>
        <w:r>
          <w:rPr>
            <w:rStyle w:val="Hyperlink"/>
          </w:rPr>
          <w:t xml:space="preserve">Expressive Music Performance</w:t>
        </w:r>
      </w:hyperlink>
      <w:r>
        <w:t xml:space="preserve">.</w:t>
      </w:r>
      <w:r>
        <w:t xml:space="preserve"> </w:t>
      </w:r>
      <w:r>
        <w:rPr>
          <w:iCs/>
          <w:i/>
        </w:rPr>
        <w:t xml:space="preserve">Journal of Research in Music Education</w:t>
      </w:r>
      <w:r>
        <w:t xml:space="preserve"> </w:t>
      </w:r>
      <w:r>
        <w:rPr>
          <w:bCs/>
          <w:b/>
        </w:rPr>
        <w:t xml:space="preserve">54</w:t>
      </w:r>
      <w:r>
        <w:t xml:space="preserve">, 21–36 (2006).</w:t>
      </w:r>
    </w:p>
    <w:bookmarkEnd w:id="115"/>
    <w:bookmarkStart w:id="117" w:name="ref-simones_2015"/>
    <w:p>
      <w:pPr>
        <w:pStyle w:val="Literaturverzeichnis"/>
      </w:pPr>
      <w:r>
        <w:t xml:space="preserve">17.</w:t>
      </w:r>
      <w:r>
        <w:t xml:space="preserve"> </w:t>
      </w:r>
      <w:r>
        <w:t xml:space="preserve">	</w:t>
      </w:r>
      <w:r>
        <w:t xml:space="preserve">Simones, L., Schroeder, F. &amp; Rodger, M.</w:t>
      </w:r>
      <w:r>
        <w:t xml:space="preserve"> </w:t>
      </w:r>
      <w:hyperlink r:id="rId116">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7"/>
    <w:bookmarkStart w:id="119" w:name="ref-bresin_2000"/>
    <w:p>
      <w:pPr>
        <w:pStyle w:val="Literaturverzeichnis"/>
      </w:pPr>
      <w:r>
        <w:t xml:space="preserve">18.</w:t>
      </w:r>
      <w:r>
        <w:t xml:space="preserve"> </w:t>
      </w:r>
      <w:r>
        <w:t xml:space="preserve">	</w:t>
      </w:r>
      <w:r>
        <w:t xml:space="preserve">Bresin, R. &amp; Battel, G. U.</w:t>
      </w:r>
      <w:r>
        <w:t xml:space="preserve"> </w:t>
      </w:r>
      <w:hyperlink r:id="rId118">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9"/>
    <w:bookmarkStart w:id="121" w:name="ref-zamm_2018"/>
    <w:p>
      <w:pPr>
        <w:pStyle w:val="Literaturverzeichnis"/>
      </w:pPr>
      <w:r>
        <w:t xml:space="preserve">19.</w:t>
      </w:r>
      <w:r>
        <w:t xml:space="preserve"> </w:t>
      </w:r>
      <w:r>
        <w:t xml:space="preserve">	</w:t>
      </w:r>
      <w:r>
        <w:t xml:space="preserve">Zamm, A., Wang, Y. &amp; Palmer, C.</w:t>
      </w:r>
      <w:r>
        <w:t xml:space="preserve"> </w:t>
      </w:r>
      <w:hyperlink r:id="rId120">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 Biol Rhythms</w:t>
      </w:r>
      <w:r>
        <w:t xml:space="preserve"> </w:t>
      </w:r>
      <w:r>
        <w:rPr>
          <w:bCs/>
          <w:b/>
        </w:rPr>
        <w:t xml:space="preserve">33</w:t>
      </w:r>
      <w:r>
        <w:t xml:space="preserve">, 432–440 (2018).</w:t>
      </w:r>
    </w:p>
    <w:bookmarkEnd w:id="121"/>
    <w:bookmarkStart w:id="123" w:name="ref-okazaki_2019"/>
    <w:p>
      <w:pPr>
        <w:pStyle w:val="Literaturverzeichnis"/>
      </w:pPr>
      <w:r>
        <w:t xml:space="preserve">20.</w:t>
      </w:r>
      <w:r>
        <w:t xml:space="preserve"> </w:t>
      </w:r>
      <w:r>
        <w:t xml:space="preserve">	</w:t>
      </w:r>
      <w:r>
        <w:t xml:space="preserve">Okazaki, S., Muraoka, Y. &amp; Osu, R.</w:t>
      </w:r>
      <w:r>
        <w:t xml:space="preserve"> </w:t>
      </w:r>
      <w:hyperlink r:id="rId122">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23"/>
    <w:bookmarkStart w:id="125" w:name="ref-lindstrom_2003"/>
    <w:p>
      <w:pPr>
        <w:pStyle w:val="Literaturverzeichnis"/>
      </w:pPr>
      <w:r>
        <w:t xml:space="preserve">21.</w:t>
      </w:r>
      <w:r>
        <w:t xml:space="preserve"> </w:t>
      </w:r>
      <w:r>
        <w:t xml:space="preserve">	</w:t>
      </w:r>
      <w:r>
        <w:t xml:space="preserve">Lindström, E., Juslin, P. N., Bresin, R. &amp; Williamon, A.</w:t>
      </w:r>
      <w:r>
        <w:t xml:space="preserve"> </w:t>
      </w:r>
      <w:hyperlink r:id="rId124">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5"/>
    <w:bookmarkStart w:id="127" w:name="ref-juslin_2003"/>
    <w:p>
      <w:pPr>
        <w:pStyle w:val="Literaturverzeichnis"/>
      </w:pPr>
      <w:r>
        <w:t xml:space="preserve">22.</w:t>
      </w:r>
      <w:r>
        <w:t xml:space="preserve"> </w:t>
      </w:r>
      <w:r>
        <w:t xml:space="preserve">	</w:t>
      </w:r>
      <w:r>
        <w:t xml:space="preserve">Juslin, P. N.</w:t>
      </w:r>
      <w:r>
        <w:t xml:space="preserve"> </w:t>
      </w:r>
      <w:hyperlink r:id="rId126">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7"/>
    <w:bookmarkStart w:id="128" w:name="ref-meissner_2021"/>
    <w:p>
      <w:pPr>
        <w:pStyle w:val="Literaturverzeichnis"/>
      </w:pPr>
      <w:r>
        <w:t xml:space="preserve">23.</w:t>
      </w:r>
      <w:r>
        <w:t xml:space="preserve"> </w:t>
      </w:r>
      <w:r>
        <w:t xml:space="preserve">	</w:t>
      </w:r>
      <w:r>
        <w:t xml:space="preserve">Meissner, H.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 </w:t>
      </w:r>
      <w:r>
        <w:rPr>
          <w:bCs/>
          <w:b/>
        </w:rPr>
        <w:t xml:space="preserve">11</w:t>
      </w:r>
      <w:r>
        <w:t xml:space="preserve">, (2021).</w:t>
      </w:r>
    </w:p>
    <w:bookmarkEnd w:id="128"/>
    <w:bookmarkStart w:id="130" w:name="ref-colprit_2000"/>
    <w:p>
      <w:pPr>
        <w:pStyle w:val="Literaturverzeichnis"/>
      </w:pPr>
      <w:r>
        <w:t xml:space="preserve">24.</w:t>
      </w:r>
      <w:r>
        <w:t xml:space="preserve"> </w:t>
      </w:r>
      <w:r>
        <w:t xml:space="preserve">	</w:t>
      </w:r>
      <w:r>
        <w:t xml:space="preserve">Colprit, E. J.</w:t>
      </w:r>
      <w:r>
        <w:t xml:space="preserve"> </w:t>
      </w:r>
      <w:hyperlink r:id="rId129">
        <w:r>
          <w:rPr>
            <w:rStyle w:val="Hyperlink"/>
          </w:rPr>
          <w:t xml:space="preserve">Observation and</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Suzuki String Teaching</w:t>
        </w:r>
      </w:hyperlink>
      <w:r>
        <w:t xml:space="preserve">.</w:t>
      </w:r>
      <w:r>
        <w:t xml:space="preserve"> </w:t>
      </w:r>
      <w:r>
        <w:rPr>
          <w:iCs/>
          <w:i/>
        </w:rPr>
        <w:t xml:space="preserve">Journal of Research in Music Education</w:t>
      </w:r>
      <w:r>
        <w:t xml:space="preserve"> </w:t>
      </w:r>
      <w:r>
        <w:rPr>
          <w:bCs/>
          <w:b/>
        </w:rPr>
        <w:t xml:space="preserve">48</w:t>
      </w:r>
      <w:r>
        <w:t xml:space="preserve">, 206–221 (2000).</w:t>
      </w:r>
    </w:p>
    <w:bookmarkEnd w:id="130"/>
    <w:bookmarkStart w:id="132" w:name="ref-volioti_2017"/>
    <w:p>
      <w:pPr>
        <w:pStyle w:val="Literaturverzeichnis"/>
      </w:pPr>
      <w:r>
        <w:t xml:space="preserve">25.</w:t>
      </w:r>
      <w:r>
        <w:t xml:space="preserve"> </w:t>
      </w:r>
      <w:r>
        <w:t xml:space="preserve">	</w:t>
      </w:r>
      <w:r>
        <w:t xml:space="preserve">Volioti, G. &amp; Williamon, A.</w:t>
      </w:r>
      <w:r>
        <w:t xml:space="preserve"> </w:t>
      </w:r>
      <w:hyperlink r:id="rId131">
        <w:r>
          <w:rPr>
            <w:rStyle w:val="Hyperlink"/>
          </w:rPr>
          <w:t xml:space="preserve">Recordings as learning and practising resources for performance:</w:t>
        </w:r>
        <w:r>
          <w:rPr>
            <w:rStyle w:val="Hyperlink"/>
          </w:rPr>
          <w:t xml:space="preserve"> </w:t>
        </w:r>
        <w:r>
          <w:rPr>
            <w:rStyle w:val="Hyperlink"/>
          </w:rPr>
          <w:t xml:space="preserve">Exploring</w:t>
        </w:r>
        <w:r>
          <w:rPr>
            <w:rStyle w:val="Hyperlink"/>
          </w:rPr>
          <w:t xml:space="preserve"> </w:t>
        </w:r>
        <w:r>
          <w:rPr>
            <w:rStyle w:val="Hyperlink"/>
          </w:rPr>
          <w:t xml:space="preserve">attitudes and behaviours of music students and professionals</w:t>
        </w:r>
      </w:hyperlink>
      <w:r>
        <w:t xml:space="preserve">.</w:t>
      </w:r>
      <w:r>
        <w:t xml:space="preserve"> </w:t>
      </w:r>
      <w:r>
        <w:rPr>
          <w:iCs/>
          <w:i/>
        </w:rPr>
        <w:t xml:space="preserve">Musicae Scientiae</w:t>
      </w:r>
      <w:r>
        <w:t xml:space="preserve"> </w:t>
      </w:r>
      <w:r>
        <w:rPr>
          <w:bCs/>
          <w:b/>
        </w:rPr>
        <w:t xml:space="preserve">21</w:t>
      </w:r>
      <w:r>
        <w:t xml:space="preserve">, 499–523 (2017).</w:t>
      </w:r>
    </w:p>
    <w:bookmarkEnd w:id="132"/>
    <w:bookmarkStart w:id="133" w:name="ref-sperber_1995"/>
    <w:p>
      <w:pPr>
        <w:pStyle w:val="Literaturverzeichnis"/>
      </w:pPr>
      <w:r>
        <w:t xml:space="preserve">26.</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33"/>
    <w:bookmarkEnd w:id="134"/>
    <w:bookmarkEnd w:id="135"/>
    <w:bookmarkStart w:id="136"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6"/>
    <w:bookmarkStart w:id="137"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7"/>
    <w:bookmarkStart w:id="139" w:name="data-availability-statement"/>
    <w:p>
      <w:pPr>
        <w:pStyle w:val="berschrift1"/>
      </w:pPr>
      <w:r>
        <w:t xml:space="preserve">Data availability statement</w:t>
      </w:r>
    </w:p>
    <w:p>
      <w:pPr>
        <w:pStyle w:val="FirstParagraph"/>
      </w:pPr>
      <w:r>
        <w:t xml:space="preserve">All data is available at</w:t>
      </w:r>
      <w:r>
        <w:t xml:space="preserve"> </w:t>
      </w:r>
      <w:hyperlink r:id="rId138">
        <w:r>
          <w:rPr>
            <w:rStyle w:val="Hyperlink"/>
          </w:rPr>
          <w:t xml:space="preserve">https://osf.io/8nbjh/</w:t>
        </w:r>
      </w:hyperlink>
      <w:r>
        <w:t xml:space="preserve">.</w:t>
      </w:r>
    </w:p>
    <w:bookmarkEnd w:id="139"/>
    <w:bookmarkStart w:id="140" w:name="competing-interests"/>
    <w:p>
      <w:pPr>
        <w:pStyle w:val="berschrift1"/>
      </w:pPr>
      <w:r>
        <w:t xml:space="preserve">Competing interests</w:t>
      </w:r>
    </w:p>
    <w:p>
      <w:pPr>
        <w:pStyle w:val="FirstParagraph"/>
      </w:pPr>
      <w:r>
        <w:t xml:space="preserve">The authors declare no competing interests.</w:t>
      </w:r>
    </w:p>
    <w:bookmarkEnd w:id="140"/>
    <w:bookmarkStart w:id="141" w:name="supplementary"/>
    <w:p>
      <w:pPr>
        <w:pStyle w:val="berschrift1"/>
      </w:pPr>
      <w:r>
        <w:t xml:space="preserve">Supplementary Material</w:t>
      </w:r>
    </w:p>
    <w:bookmarkEnd w:id="141"/>
    <w:bookmarkStart w:id="144" w:name="instructions"/>
    <w:p>
      <w:pPr>
        <w:pStyle w:val="berschrift1"/>
      </w:pPr>
      <w:r>
        <w:t xml:space="preserve">1. Instructions</w:t>
      </w:r>
    </w:p>
    <w:bookmarkStart w:id="142"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42"/>
    <w:bookmarkStart w:id="143"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43"/>
    <w:bookmarkEnd w:id="144"/>
    <w:bookmarkStart w:id="171" w:name="X1c062cbbe00e05c2a42db7ebf8698993dda048c"/>
    <w:p>
      <w:pPr>
        <w:pStyle w:val="berschrift1"/>
      </w:pPr>
      <w:r>
        <w:t xml:space="preserve">2. Descriptive statistics depending on participants’ teaching experience</w:t>
      </w:r>
    </w:p>
    <w:p>
      <w:pPr>
        <w:pStyle w:val="FirstParagraph"/>
      </w:pPr>
      <w:r>
        <w:t xml:space="preserve">We summarised descriptive statistics for those with and without teaching experience in piano. Due to the lack of statistical power, we did not perform any statistical tests.</w:t>
      </w:r>
    </w:p>
    <w:bookmarkStart w:id="157" w:name="experiment-1-2"/>
    <w:p>
      <w:pPr>
        <w:pStyle w:val="berschrift2"/>
      </w:pPr>
      <w:r>
        <w:t xml:space="preserve">Experiment 1</w:t>
      </w:r>
    </w:p>
    <w:p>
      <w:pPr>
        <w:pStyle w:val="CaptionedFigure"/>
      </w:pPr>
      <w:r>
        <w:drawing>
          <wp:inline>
            <wp:extent cx="5969000" cy="2131785"/>
            <wp:effectExtent b="0" l="0" r="0" t="0"/>
            <wp:docPr descr="Figure 10.  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 title="" id="146" name="Picture"/>
            <a:graphic>
              <a:graphicData uri="http://schemas.openxmlformats.org/drawingml/2006/picture">
                <pic:pic>
                  <pic:nvPicPr>
                    <pic:cNvPr descr="manuscript_files/figure-docx/plot-ioi-teaching-1-1.png" id="147" name="Picture"/>
                    <pic:cNvPicPr>
                      <a:picLocks noChangeArrowheads="1" noChangeAspect="1"/>
                    </pic:cNvPicPr>
                  </pic:nvPicPr>
                  <pic:blipFill>
                    <a:blip r:embed="rId145"/>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1.  Experiment 1: Comparison between those with and without piano teaching experience in terms of KOT (ms) when playing the piece with articulation (left: legato, right: staccato). Each box indicates the IQR with the median, and whiskers extend to a maximum of 1.5 × IQR beyond the box." title="" id="149" name="Picture"/>
            <a:graphic>
              <a:graphicData uri="http://schemas.openxmlformats.org/drawingml/2006/picture">
                <pic:pic>
                  <pic:nvPicPr>
                    <pic:cNvPr descr="manuscript_files/figure-docx/plot-art-teaching-1-1.png" id="150" name="Picture"/>
                    <pic:cNvPicPr>
                      <a:picLocks noChangeArrowheads="1" noChangeAspect="1"/>
                    </pic:cNvPicPr>
                  </pic:nvPicPr>
                  <pic:blipFill>
                    <a:blip r:embed="rId14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Comparison between those with and without piano teaching experience in terms of KOT (ms) when playing the piece with articulation (left: legato, right: staccato). Each box indicates the IQR with the median, and whiskers extend to a maximum of 1.5 × IQR beyond the box.</w:t>
      </w:r>
    </w:p>
    <w:p>
      <w:pPr>
        <w:pStyle w:val="CaptionedFigure"/>
      </w:pPr>
      <w:r>
        <w:drawing>
          <wp:inline>
            <wp:extent cx="5969000" cy="2131785"/>
            <wp:effectExtent b="0" l="0" r="0" t="0"/>
            <wp:docPr descr="Figure 12.  Experiment 1: Comparison between those with and without piano teaching experience in terms of KV (0-127) when playing the piece with dynamics (left: forte, right: piano). Each box indicates the IQR with the median, and whiskers extend to a maximum of 1.5 × IQR beyond the box." title="" id="152" name="Picture"/>
            <a:graphic>
              <a:graphicData uri="http://schemas.openxmlformats.org/drawingml/2006/picture">
                <pic:pic>
                  <pic:nvPicPr>
                    <pic:cNvPr descr="manuscript_files/figure-docx/plot-dyn-teaching-1-1.png" id="153" name="Picture"/>
                    <pic:cNvPicPr>
                      <a:picLocks noChangeArrowheads="1" noChangeAspect="1"/>
                    </pic:cNvPicPr>
                  </pic:nvPicPr>
                  <pic:blipFill>
                    <a:blip r:embed="rId15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Comparison between those with and without piano teaching experience in terms of KV (0-127) when playing the piece with dynamics (left: forte, right: piano). Each box indicates the IQR with the median, and whiskers extend to a maximum of 1.5 × IQR beyond the box.</w:t>
      </w:r>
    </w:p>
    <w:p>
      <w:pPr>
        <w:pStyle w:val="CaptionedFigure"/>
      </w:pPr>
      <w:r>
        <w:drawing>
          <wp:inline>
            <wp:extent cx="5969000" cy="2131785"/>
            <wp:effectExtent b="0" l="0" r="0" t="0"/>
            <wp:docPr descr="Figure 13.  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title="" id="155" name="Picture"/>
            <a:graphic>
              <a:graphicData uri="http://schemas.openxmlformats.org/drawingml/2006/picture">
                <pic:pic>
                  <pic:nvPicPr>
                    <pic:cNvPr descr="manuscript_files/figure-docx/plot-dyn-diff-teaching-1-1.png" id="156" name="Picture"/>
                    <pic:cNvPicPr>
                      <a:picLocks noChangeArrowheads="1" noChangeAspect="1"/>
                    </pic:cNvPicPr>
                  </pic:nvPicPr>
                  <pic:blipFill>
                    <a:blip r:embed="rId15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pPr>
        <w:pStyle w:val="Textkrper"/>
      </w:pPr>
      <w:r>
        <w:t xml:space="preserve">Table 1:</w:t>
      </w:r>
    </w:p>
    <w:p>
      <w:pPr>
        <w:pStyle w:val="TableCaption"/>
      </w:pPr>
      <w:r>
        <w:rPr>
          <w:iCs/>
          <w:i/>
        </w:rPr>
        <w:t xml:space="preserve">Experiment 1: Comparison between those with and without piano teaching experience in terms of IOIs (ms).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181.27</w:t>
            </w:r>
          </w:p>
        </w:tc>
        <w:tc>
          <w:tcPr/>
          <w:p>
            <w:pPr>
              <w:pStyle w:val="Compact"/>
              <w:jc w:val="left"/>
            </w:pPr>
            <w:r>
              <w:t xml:space="preserve">10.99</w:t>
            </w:r>
          </w:p>
        </w:tc>
        <w:tc>
          <w:tcPr/>
          <w:p>
            <w:pPr>
              <w:pStyle w:val="Compact"/>
              <w:jc w:val="left"/>
            </w:pPr>
            <w:r>
              <w:t xml:space="preserve">3.47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184.72</w:t>
            </w:r>
          </w:p>
        </w:tc>
        <w:tc>
          <w:tcPr/>
          <w:p>
            <w:pPr>
              <w:pStyle w:val="Compact"/>
              <w:jc w:val="left"/>
            </w:pPr>
            <w:r>
              <w:t xml:space="preserve">13.02</w:t>
            </w:r>
          </w:p>
        </w:tc>
        <w:tc>
          <w:tcPr/>
          <w:p>
            <w:pPr>
              <w:pStyle w:val="Compact"/>
              <w:jc w:val="left"/>
            </w:pPr>
            <w:r>
              <w:t xml:space="preserve">4.12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193.49</w:t>
            </w:r>
          </w:p>
        </w:tc>
        <w:tc>
          <w:tcPr/>
          <w:p>
            <w:pPr>
              <w:pStyle w:val="Compact"/>
              <w:jc w:val="left"/>
            </w:pPr>
            <w:r>
              <w:t xml:space="preserve">18.75</w:t>
            </w:r>
          </w:p>
        </w:tc>
        <w:tc>
          <w:tcPr/>
          <w:p>
            <w:pPr>
              <w:pStyle w:val="Compact"/>
              <w:jc w:val="left"/>
            </w:pPr>
            <w:r>
              <w:t xml:space="preserve">4.09</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196.67</w:t>
            </w:r>
          </w:p>
        </w:tc>
        <w:tc>
          <w:tcPr/>
          <w:p>
            <w:pPr>
              <w:pStyle w:val="Compact"/>
              <w:jc w:val="left"/>
            </w:pPr>
            <w:r>
              <w:t xml:space="preserve">20.52</w:t>
            </w:r>
          </w:p>
        </w:tc>
        <w:tc>
          <w:tcPr/>
          <w:p>
            <w:pPr>
              <w:pStyle w:val="Compact"/>
              <w:jc w:val="left"/>
            </w:pPr>
            <w:r>
              <w:t xml:space="preserve">4.48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182.43</w:t>
            </w:r>
          </w:p>
        </w:tc>
        <w:tc>
          <w:tcPr/>
          <w:p>
            <w:pPr>
              <w:pStyle w:val="Compact"/>
              <w:jc w:val="left"/>
            </w:pPr>
            <w:r>
              <w:t xml:space="preserve">11.52</w:t>
            </w:r>
          </w:p>
        </w:tc>
        <w:tc>
          <w:tcPr/>
          <w:p>
            <w:pPr>
              <w:pStyle w:val="Compact"/>
              <w:jc w:val="left"/>
            </w:pPr>
            <w:r>
              <w:t xml:space="preserve">3.64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187.15</w:t>
            </w:r>
          </w:p>
        </w:tc>
        <w:tc>
          <w:tcPr/>
          <w:p>
            <w:pPr>
              <w:pStyle w:val="Compact"/>
              <w:jc w:val="left"/>
            </w:pPr>
            <w:r>
              <w:t xml:space="preserve">11.73</w:t>
            </w:r>
          </w:p>
        </w:tc>
        <w:tc>
          <w:tcPr/>
          <w:p>
            <w:pPr>
              <w:pStyle w:val="Compact"/>
              <w:jc w:val="left"/>
            </w:pPr>
            <w:r>
              <w:t xml:space="preserve">3.71</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191.48</w:t>
            </w:r>
          </w:p>
        </w:tc>
        <w:tc>
          <w:tcPr/>
          <w:p>
            <w:pPr>
              <w:pStyle w:val="Compact"/>
              <w:jc w:val="left"/>
            </w:pPr>
            <w:r>
              <w:t xml:space="preserve">18.56</w:t>
            </w:r>
          </w:p>
        </w:tc>
        <w:tc>
          <w:tcPr/>
          <w:p>
            <w:pPr>
              <w:pStyle w:val="Compact"/>
              <w:jc w:val="left"/>
            </w:pPr>
            <w:r>
              <w:t xml:space="preserve">4.05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193.50</w:t>
            </w:r>
          </w:p>
        </w:tc>
        <w:tc>
          <w:tcPr/>
          <w:p>
            <w:pPr>
              <w:pStyle w:val="Compact"/>
              <w:jc w:val="left"/>
            </w:pPr>
            <w:r>
              <w:t xml:space="preserve">21.22</w:t>
            </w:r>
          </w:p>
        </w:tc>
        <w:tc>
          <w:tcPr/>
          <w:p>
            <w:pPr>
              <w:pStyle w:val="Compact"/>
              <w:jc w:val="left"/>
            </w:pPr>
            <w:r>
              <w:t xml:space="preserve">4.63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p>
      <w:pPr>
        <w:pStyle w:val="Textkrper"/>
      </w:pPr>
      <w:r>
        <w:t xml:space="preserve">Table 2:</w:t>
      </w:r>
    </w:p>
    <w:p>
      <w:pPr>
        <w:pStyle w:val="TableCaption"/>
      </w:pPr>
      <w:r>
        <w:rPr>
          <w:iCs/>
          <w:i/>
        </w:rPr>
        <w:t xml:space="preserve">Experiment 1: Comparison between those with and without piano teaching experience in terms of KOT (ms).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21.57</w:t>
            </w:r>
          </w:p>
        </w:tc>
        <w:tc>
          <w:tcPr/>
          <w:p>
            <w:pPr>
              <w:pStyle w:val="Compact"/>
              <w:jc w:val="left"/>
            </w:pPr>
            <w:r>
              <w:t xml:space="preserve">16.18</w:t>
            </w:r>
          </w:p>
        </w:tc>
        <w:tc>
          <w:tcPr/>
          <w:p>
            <w:pPr>
              <w:pStyle w:val="Compact"/>
              <w:jc w:val="left"/>
            </w:pPr>
            <w:r>
              <w:t xml:space="preserve">5.12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25.43</w:t>
            </w:r>
          </w:p>
        </w:tc>
        <w:tc>
          <w:tcPr/>
          <w:p>
            <w:pPr>
              <w:pStyle w:val="Compact"/>
              <w:jc w:val="left"/>
            </w:pPr>
            <w:r>
              <w:t xml:space="preserve">13.11</w:t>
            </w:r>
          </w:p>
        </w:tc>
        <w:tc>
          <w:tcPr/>
          <w:p>
            <w:pPr>
              <w:pStyle w:val="Compact"/>
              <w:jc w:val="left"/>
            </w:pPr>
            <w:r>
              <w:t xml:space="preserve">4.15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-119.66</w:t>
            </w:r>
          </w:p>
        </w:tc>
        <w:tc>
          <w:tcPr/>
          <w:p>
            <w:pPr>
              <w:pStyle w:val="Compact"/>
              <w:jc w:val="left"/>
            </w:pPr>
            <w:r>
              <w:t xml:space="preserve">22.84</w:t>
            </w:r>
          </w:p>
        </w:tc>
        <w:tc>
          <w:tcPr/>
          <w:p>
            <w:pPr>
              <w:pStyle w:val="Compact"/>
              <w:jc w:val="left"/>
            </w:pPr>
            <w:r>
              <w:t xml:space="preserve">7.22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-127.39</w:t>
            </w:r>
          </w:p>
        </w:tc>
        <w:tc>
          <w:tcPr/>
          <w:p>
            <w:pPr>
              <w:pStyle w:val="Compact"/>
              <w:jc w:val="left"/>
            </w:pPr>
            <w:r>
              <w:t xml:space="preserve">15.95</w:t>
            </w:r>
          </w:p>
        </w:tc>
        <w:tc>
          <w:tcPr/>
          <w:p>
            <w:pPr>
              <w:pStyle w:val="Compact"/>
              <w:jc w:val="left"/>
            </w:pPr>
            <w:r>
              <w:t xml:space="preserve">5.04</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10.40</w:t>
            </w:r>
          </w:p>
        </w:tc>
        <w:tc>
          <w:tcPr/>
          <w:p>
            <w:pPr>
              <w:pStyle w:val="Compact"/>
              <w:jc w:val="left"/>
            </w:pPr>
            <w:r>
              <w:t xml:space="preserve">16.57</w:t>
            </w:r>
          </w:p>
        </w:tc>
        <w:tc>
          <w:tcPr/>
          <w:p>
            <w:pPr>
              <w:pStyle w:val="Compact"/>
              <w:jc w:val="left"/>
            </w:pPr>
            <w:r>
              <w:t xml:space="preserve">3.62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11.36</w:t>
            </w:r>
          </w:p>
        </w:tc>
        <w:tc>
          <w:tcPr/>
          <w:p>
            <w:pPr>
              <w:pStyle w:val="Compact"/>
              <w:jc w:val="left"/>
            </w:pPr>
            <w:r>
              <w:t xml:space="preserve">14.71</w:t>
            </w:r>
          </w:p>
        </w:tc>
        <w:tc>
          <w:tcPr/>
          <w:p>
            <w:pPr>
              <w:pStyle w:val="Compact"/>
              <w:jc w:val="left"/>
            </w:pPr>
            <w:r>
              <w:t xml:space="preserve">3.21</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-132.48</w:t>
            </w:r>
          </w:p>
        </w:tc>
        <w:tc>
          <w:tcPr/>
          <w:p>
            <w:pPr>
              <w:pStyle w:val="Compact"/>
              <w:jc w:val="left"/>
            </w:pPr>
            <w:r>
              <w:t xml:space="preserve">19.03</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-136.84</w:t>
            </w:r>
          </w:p>
        </w:tc>
        <w:tc>
          <w:tcPr/>
          <w:p>
            <w:pPr>
              <w:pStyle w:val="Compact"/>
              <w:jc w:val="left"/>
            </w:pPr>
            <w:r>
              <w:t xml:space="preserve">21.52</w:t>
            </w:r>
          </w:p>
        </w:tc>
        <w:tc>
          <w:tcPr/>
          <w:p>
            <w:pPr>
              <w:pStyle w:val="Compact"/>
              <w:jc w:val="left"/>
            </w:pPr>
            <w:r>
              <w:t xml:space="preserve">4.70</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p>
      <w:pPr>
        <w:pStyle w:val="Textkrper"/>
      </w:pPr>
      <w:r>
        <w:t xml:space="preserve">Table 3:</w:t>
      </w:r>
    </w:p>
    <w:p>
      <w:pPr>
        <w:pStyle w:val="TableCaption"/>
      </w:pPr>
      <w:r>
        <w:rPr>
          <w:iCs/>
          <w:i/>
        </w:rPr>
        <w:t xml:space="preserve">Experiment 1: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85.20</w:t>
            </w:r>
          </w:p>
        </w:tc>
        <w:tc>
          <w:tcPr/>
          <w:p>
            <w:pPr>
              <w:pStyle w:val="Compact"/>
              <w:jc w:val="left"/>
            </w:pPr>
            <w:r>
              <w:t xml:space="preserve">7.76</w:t>
            </w:r>
          </w:p>
        </w:tc>
        <w:tc>
          <w:tcPr/>
          <w:p>
            <w:pPr>
              <w:pStyle w:val="Compact"/>
              <w:jc w:val="left"/>
            </w:pPr>
            <w:r>
              <w:t xml:space="preserve">2.45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86.96</w:t>
            </w:r>
          </w:p>
        </w:tc>
        <w:tc>
          <w:tcPr/>
          <w:p>
            <w:pPr>
              <w:pStyle w:val="Compact"/>
              <w:jc w:val="left"/>
            </w:pPr>
            <w:r>
              <w:t xml:space="preserve">8.76</w:t>
            </w:r>
          </w:p>
        </w:tc>
        <w:tc>
          <w:tcPr/>
          <w:p>
            <w:pPr>
              <w:pStyle w:val="Compact"/>
              <w:jc w:val="left"/>
            </w:pPr>
            <w:r>
              <w:t xml:space="preserve">2.77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60.27</w:t>
            </w:r>
          </w:p>
        </w:tc>
        <w:tc>
          <w:tcPr/>
          <w:p>
            <w:pPr>
              <w:pStyle w:val="Compact"/>
              <w:jc w:val="left"/>
            </w:pPr>
            <w:r>
              <w:t xml:space="preserve">4.57</w:t>
            </w:r>
          </w:p>
        </w:tc>
        <w:tc>
          <w:tcPr/>
          <w:p>
            <w:pPr>
              <w:pStyle w:val="Compact"/>
              <w:jc w:val="left"/>
            </w:pPr>
            <w:r>
              <w:t xml:space="preserve">1.44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60.11</w:t>
            </w:r>
          </w:p>
        </w:tc>
        <w:tc>
          <w:tcPr/>
          <w:p>
            <w:pPr>
              <w:pStyle w:val="Compact"/>
              <w:jc w:val="left"/>
            </w:pPr>
            <w:r>
              <w:t xml:space="preserve">5.93</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79.97</w:t>
            </w:r>
          </w:p>
        </w:tc>
        <w:tc>
          <w:tcPr/>
          <w:p>
            <w:pPr>
              <w:pStyle w:val="Compact"/>
              <w:jc w:val="left"/>
            </w:pPr>
            <w:r>
              <w:t xml:space="preserve">6.82</w:t>
            </w:r>
          </w:p>
        </w:tc>
        <w:tc>
          <w:tcPr/>
          <w:p>
            <w:pPr>
              <w:pStyle w:val="Compact"/>
              <w:jc w:val="left"/>
            </w:pPr>
            <w:r>
              <w:t xml:space="preserve">1.49</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80.80</w:t>
            </w:r>
          </w:p>
        </w:tc>
        <w:tc>
          <w:tcPr/>
          <w:p>
            <w:pPr>
              <w:pStyle w:val="Compact"/>
              <w:jc w:val="left"/>
            </w:pPr>
            <w:r>
              <w:t xml:space="preserve">7.49</w:t>
            </w:r>
          </w:p>
        </w:tc>
        <w:tc>
          <w:tcPr/>
          <w:p>
            <w:pPr>
              <w:pStyle w:val="Compact"/>
              <w:jc w:val="left"/>
            </w:pPr>
            <w:r>
              <w:t xml:space="preserve">1.63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61.33</w:t>
            </w:r>
          </w:p>
        </w:tc>
        <w:tc>
          <w:tcPr/>
          <w:p>
            <w:pPr>
              <w:pStyle w:val="Compact"/>
              <w:jc w:val="left"/>
            </w:pPr>
            <w:r>
              <w:t xml:space="preserve">4.40</w:t>
            </w:r>
          </w:p>
        </w:tc>
        <w:tc>
          <w:tcPr/>
          <w:p>
            <w:pPr>
              <w:pStyle w:val="Compact"/>
              <w:jc w:val="left"/>
            </w:pPr>
            <w:r>
              <w:t xml:space="preserve">0.96</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60.88</w:t>
            </w:r>
          </w:p>
        </w:tc>
        <w:tc>
          <w:tcPr/>
          <w:p>
            <w:pPr>
              <w:pStyle w:val="Compact"/>
              <w:jc w:val="left"/>
            </w:pPr>
            <w:r>
              <w:t xml:space="preserve">4.76</w:t>
            </w:r>
          </w:p>
        </w:tc>
        <w:tc>
          <w:tcPr/>
          <w:p>
            <w:pPr>
              <w:pStyle w:val="Compact"/>
              <w:jc w:val="left"/>
            </w:pPr>
            <w:r>
              <w:t xml:space="preserve">1.04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p>
      <w:pPr>
        <w:pStyle w:val="Textkrper"/>
      </w:pPr>
      <w:r>
        <w:t xml:space="preserve">Table 4:</w:t>
      </w:r>
    </w:p>
    <w:p>
      <w:pPr>
        <w:pStyle w:val="TableCaption"/>
      </w:pPr>
      <w:r>
        <w:rPr>
          <w:iCs/>
          <w:i/>
        </w:rPr>
        <w:t xml:space="preserve">Experiment 1: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-14.63</w:t>
            </w:r>
          </w:p>
        </w:tc>
        <w:tc>
          <w:tcPr/>
          <w:p>
            <w:pPr>
              <w:pStyle w:val="Compact"/>
              <w:jc w:val="left"/>
            </w:pPr>
            <w:r>
              <w:t xml:space="preserve">5.79</w:t>
            </w:r>
          </w:p>
        </w:tc>
        <w:tc>
          <w:tcPr/>
          <w:p>
            <w:pPr>
              <w:pStyle w:val="Compact"/>
              <w:jc w:val="left"/>
            </w:pPr>
            <w:r>
              <w:t xml:space="preserve">1.83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-18.81</w:t>
            </w:r>
          </w:p>
        </w:tc>
        <w:tc>
          <w:tcPr/>
          <w:p>
            <w:pPr>
              <w:pStyle w:val="Compact"/>
              <w:jc w:val="left"/>
            </w:pPr>
            <w:r>
              <w:t xml:space="preserve">7.26</w:t>
            </w:r>
          </w:p>
        </w:tc>
        <w:tc>
          <w:tcPr/>
          <w:p>
            <w:pPr>
              <w:pStyle w:val="Compact"/>
              <w:jc w:val="left"/>
            </w:pPr>
            <w:r>
              <w:t xml:space="preserve">2.30</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24.32</w:t>
            </w:r>
          </w:p>
        </w:tc>
        <w:tc>
          <w:tcPr/>
          <w:p>
            <w:pPr>
              <w:pStyle w:val="Compact"/>
              <w:jc w:val="left"/>
            </w:pPr>
            <w:r>
              <w:t xml:space="preserve">9.96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29.07</w:t>
            </w:r>
          </w:p>
        </w:tc>
        <w:tc>
          <w:tcPr/>
          <w:p>
            <w:pPr>
              <w:pStyle w:val="Compact"/>
              <w:jc w:val="left"/>
            </w:pPr>
            <w:r>
              <w:t xml:space="preserve">8.78</w:t>
            </w:r>
          </w:p>
        </w:tc>
        <w:tc>
          <w:tcPr/>
          <w:p>
            <w:pPr>
              <w:pStyle w:val="Compact"/>
              <w:jc w:val="left"/>
            </w:pPr>
            <w:r>
              <w:t xml:space="preserve">2.78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-10.30</w:t>
            </w:r>
          </w:p>
        </w:tc>
        <w:tc>
          <w:tcPr/>
          <w:p>
            <w:pPr>
              <w:pStyle w:val="Compact"/>
              <w:jc w:val="left"/>
            </w:pPr>
            <w:r>
              <w:t xml:space="preserve">5.69</w:t>
            </w:r>
          </w:p>
        </w:tc>
        <w:tc>
          <w:tcPr/>
          <w:p>
            <w:pPr>
              <w:pStyle w:val="Compact"/>
              <w:jc w:val="left"/>
            </w:pPr>
            <w:r>
              <w:t xml:space="preserve">1.24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-11.87</w:t>
            </w:r>
          </w:p>
        </w:tc>
        <w:tc>
          <w:tcPr/>
          <w:p>
            <w:pPr>
              <w:pStyle w:val="Compact"/>
              <w:jc w:val="left"/>
            </w:pPr>
            <w:r>
              <w:t xml:space="preserve">6.09</w:t>
            </w:r>
          </w:p>
        </w:tc>
        <w:tc>
          <w:tcPr/>
          <w:p>
            <w:pPr>
              <w:pStyle w:val="Compact"/>
              <w:jc w:val="left"/>
            </w:pPr>
            <w:r>
              <w:t xml:space="preserve">1.33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19.23</w:t>
            </w:r>
          </w:p>
        </w:tc>
        <w:tc>
          <w:tcPr/>
          <w:p>
            <w:pPr>
              <w:pStyle w:val="Compact"/>
              <w:jc w:val="left"/>
            </w:pPr>
            <w:r>
              <w:t xml:space="preserve">7.71</w:t>
            </w:r>
          </w:p>
        </w:tc>
        <w:tc>
          <w:tcPr/>
          <w:p>
            <w:pPr>
              <w:pStyle w:val="Compact"/>
              <w:jc w:val="left"/>
            </w:pPr>
            <w:r>
              <w:t xml:space="preserve">1.68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21.98</w:t>
            </w:r>
          </w:p>
        </w:tc>
        <w:tc>
          <w:tcPr/>
          <w:p>
            <w:pPr>
              <w:pStyle w:val="Compact"/>
              <w:jc w:val="left"/>
            </w:pPr>
            <w:r>
              <w:t xml:space="preserve">9.56</w:t>
            </w:r>
          </w:p>
        </w:tc>
        <w:tc>
          <w:tcPr/>
          <w:p>
            <w:pPr>
              <w:pStyle w:val="Compact"/>
              <w:jc w:val="left"/>
            </w:pPr>
            <w:r>
              <w:t xml:space="preserve">2.09</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bookmarkEnd w:id="157"/>
    <w:bookmarkStart w:id="170" w:name="experiment-2-2"/>
    <w:p>
      <w:pPr>
        <w:pStyle w:val="berschrift2"/>
      </w:pPr>
      <w:r>
        <w:t xml:space="preserve">Experiment 2</w:t>
      </w:r>
    </w:p>
    <w:p>
      <w:pPr>
        <w:pStyle w:val="CaptionedFigure"/>
      </w:pPr>
      <w:r>
        <w:drawing>
          <wp:inline>
            <wp:extent cx="5969000" cy="2131785"/>
            <wp:effectExtent b="0" l="0" r="0" t="0"/>
            <wp:docPr descr="Figure 14.  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 title="" id="159" name="Picture"/>
            <a:graphic>
              <a:graphicData uri="http://schemas.openxmlformats.org/drawingml/2006/picture">
                <pic:pic>
                  <pic:nvPicPr>
                    <pic:cNvPr descr="manuscript_files/figure-docx/plot-ioi-teaching-2-1.png" id="160" name="Picture"/>
                    <pic:cNvPicPr>
                      <a:picLocks noChangeArrowheads="1" noChangeAspect="1"/>
                    </pic:cNvPicPr>
                  </pic:nvPicPr>
                  <pic:blipFill>
                    <a:blip r:embed="rId15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5.  Experiment 2: Comparison between those with and without piano teaching experience in terms of KOR when playing the piece with articulation (left: legato, right: staccato). Each box indicates the IQR with the median, and whiskers extend to a maximum of 1.5 × IQR beyond the box." title="" id="162" name="Picture"/>
            <a:graphic>
              <a:graphicData uri="http://schemas.openxmlformats.org/drawingml/2006/picture">
                <pic:pic>
                  <pic:nvPicPr>
                    <pic:cNvPr descr="manuscript_files/figure-docx/plot-art-teaching-2-1.png" id="163" name="Picture"/>
                    <pic:cNvPicPr>
                      <a:picLocks noChangeArrowheads="1" noChangeAspect="1"/>
                    </pic:cNvPicPr>
                  </pic:nvPicPr>
                  <pic:blipFill>
                    <a:blip r:embed="rId16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Experiment 2: Comparison between those with and without piano teaching experience in terms of KOR when playing the piece with articulation (left: legato, right: staccato). Each box indicates the IQR with the median, and whiskers extend to a maximum of 1.5 × IQR beyond the box.</w:t>
      </w:r>
    </w:p>
    <w:p>
      <w:pPr>
        <w:pStyle w:val="CaptionedFigure"/>
      </w:pPr>
      <w:r>
        <w:drawing>
          <wp:inline>
            <wp:extent cx="5969000" cy="2131785"/>
            <wp:effectExtent b="0" l="0" r="0" t="0"/>
            <wp:docPr descr="Figure 16.  Experiment 2: Comparison between those with and without piano teaching experience in terms of KV (0-127) when playing the piece with dynamics (left: forte, right: piano). Each box indicates the IQR with the median, and whiskers extend to a maximum of 1.5 × IQR beyond the box." title="" id="165" name="Picture"/>
            <a:graphic>
              <a:graphicData uri="http://schemas.openxmlformats.org/drawingml/2006/picture">
                <pic:pic>
                  <pic:nvPicPr>
                    <pic:cNvPr descr="manuscript_files/figure-docx/plot-dyn-teaching-2-1.png" id="166" name="Picture"/>
                    <pic:cNvPicPr>
                      <a:picLocks noChangeArrowheads="1" noChangeAspect="1"/>
                    </pic:cNvPicPr>
                  </pic:nvPicPr>
                  <pic:blipFill>
                    <a:blip r:embed="rId16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Experiment 2: Comparison between those with and without piano teaching experience in terms of KV (0-127) when playing the piece with dynamics (left: forte, right: piano). Each box indicates the IQR with the median, and whiskers extend to a maximum of 1.5 × IQR beyond the box.</w:t>
      </w:r>
    </w:p>
    <w:p>
      <w:pPr>
        <w:pStyle w:val="CaptionedFigure"/>
      </w:pPr>
      <w:r>
        <w:drawing>
          <wp:inline>
            <wp:extent cx="5969000" cy="2131785"/>
            <wp:effectExtent b="0" l="0" r="0" t="0"/>
            <wp:docPr descr="Figure 17.  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title="" id="168" name="Picture"/>
            <a:graphic>
              <a:graphicData uri="http://schemas.openxmlformats.org/drawingml/2006/picture">
                <pic:pic>
                  <pic:nvPicPr>
                    <pic:cNvPr descr="manuscript_files/figure-docx/plot-dyn-diff-teaching-2-1.png" id="169" name="Picture"/>
                    <pic:cNvPicPr>
                      <a:picLocks noChangeArrowheads="1" noChangeAspect="1"/>
                    </pic:cNvPicPr>
                  </pic:nvPicPr>
                  <pic:blipFill>
                    <a:blip r:embed="rId167"/>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17.</w:t>
      </w:r>
      <w:r>
        <w:rPr>
          <w:iCs/>
          <w:i/>
        </w:rPr>
        <w:t xml:space="preserve"> </w:t>
      </w:r>
      <w:r>
        <w:t xml:space="preserve"> </w:t>
      </w:r>
      <w:r>
        <w:t xml:space="preserve">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pPr>
        <w:pStyle w:val="Textkrper"/>
      </w:pPr>
      <w:r>
        <w:t xml:space="preserve">Table 5:</w:t>
      </w:r>
    </w:p>
    <w:p>
      <w:pPr>
        <w:pStyle w:val="TableCaption"/>
      </w:pPr>
      <w:r>
        <w:rPr>
          <w:iCs/>
          <w:i/>
        </w:rPr>
        <w:t xml:space="preserve">Experiment 2: Comparison between those with and without piano teaching experience in terms of normalised IOIs.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0.954</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0.964</w:t>
            </w:r>
          </w:p>
        </w:tc>
        <w:tc>
          <w:tcPr/>
          <w:p>
            <w:pPr>
              <w:pStyle w:val="Compact"/>
              <w:jc w:val="left"/>
            </w:pPr>
            <w:r>
              <w:t xml:space="preserve">0.049</w:t>
            </w:r>
          </w:p>
        </w:tc>
        <w:tc>
          <w:tcPr/>
          <w:p>
            <w:pPr>
              <w:pStyle w:val="Compact"/>
              <w:jc w:val="left"/>
            </w:pPr>
            <w:r>
              <w:t xml:space="preserve">0.015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0.951</w:t>
            </w:r>
          </w:p>
        </w:tc>
        <w:tc>
          <w:tcPr/>
          <w:p>
            <w:pPr>
              <w:pStyle w:val="Compact"/>
              <w:jc w:val="left"/>
            </w:pPr>
            <w:r>
              <w:t xml:space="preserve">0.035</w:t>
            </w:r>
          </w:p>
        </w:tc>
        <w:tc>
          <w:tcPr/>
          <w:p>
            <w:pPr>
              <w:pStyle w:val="Compact"/>
              <w:jc w:val="left"/>
            </w:pPr>
            <w:r>
              <w:t xml:space="preserve">0.012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0.967</w:t>
            </w:r>
          </w:p>
        </w:tc>
        <w:tc>
          <w:tcPr/>
          <w:p>
            <w:pPr>
              <w:pStyle w:val="Compact"/>
              <w:jc w:val="left"/>
            </w:pPr>
            <w:r>
              <w:t xml:space="preserve">0.052</w:t>
            </w:r>
          </w:p>
        </w:tc>
        <w:tc>
          <w:tcPr/>
          <w:p>
            <w:pPr>
              <w:pStyle w:val="Compact"/>
              <w:jc w:val="left"/>
            </w:pPr>
            <w:r>
              <w:t xml:space="preserve">0.017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0.953</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0.958</w:t>
            </w:r>
          </w:p>
        </w:tc>
        <w:tc>
          <w:tcPr/>
          <w:p>
            <w:pPr>
              <w:pStyle w:val="Compact"/>
              <w:jc w:val="left"/>
            </w:pPr>
            <w:r>
              <w:t xml:space="preserve">0.047</w:t>
            </w:r>
          </w:p>
        </w:tc>
        <w:tc>
          <w:tcPr/>
          <w:p>
            <w:pPr>
              <w:pStyle w:val="Compact"/>
              <w:jc w:val="left"/>
            </w:pPr>
            <w:r>
              <w:t xml:space="preserve">0.014</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0.958</w:t>
            </w:r>
          </w:p>
        </w:tc>
        <w:tc>
          <w:tcPr/>
          <w:p>
            <w:pPr>
              <w:pStyle w:val="Compact"/>
              <w:jc w:val="left"/>
            </w:pPr>
            <w:r>
              <w:t xml:space="preserve">0.041</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0.955</w:t>
            </w:r>
          </w:p>
        </w:tc>
        <w:tc>
          <w:tcPr/>
          <w:p>
            <w:pPr>
              <w:pStyle w:val="Compact"/>
              <w:jc w:val="left"/>
            </w:pPr>
            <w:r>
              <w:t xml:space="preserve">0.052</w:t>
            </w:r>
          </w:p>
        </w:tc>
        <w:tc>
          <w:tcPr/>
          <w:p>
            <w:pPr>
              <w:pStyle w:val="Compact"/>
              <w:jc w:val="left"/>
            </w:pPr>
            <w:r>
              <w:t xml:space="preserve">0.017</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p>
      <w:pPr>
        <w:pStyle w:val="Textkrper"/>
      </w:pPr>
      <w:r>
        <w:t xml:space="preserve">Table 6:</w:t>
      </w:r>
    </w:p>
    <w:p>
      <w:pPr>
        <w:pStyle w:val="TableCaption"/>
      </w:pPr>
      <w:r>
        <w:rPr>
          <w:iCs/>
          <w:i/>
        </w:rPr>
        <w:t xml:space="preserve">Experiment 2: Comparison between those with and without piano teaching experience in terms of KOR.</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0.115</w:t>
            </w:r>
          </w:p>
        </w:tc>
        <w:tc>
          <w:tcPr/>
          <w:p>
            <w:pPr>
              <w:pStyle w:val="Compact"/>
              <w:jc w:val="left"/>
            </w:pPr>
            <w:r>
              <w:t xml:space="preserve">0.074</w:t>
            </w:r>
          </w:p>
        </w:tc>
        <w:tc>
          <w:tcPr/>
          <w:p>
            <w:pPr>
              <w:pStyle w:val="Compact"/>
              <w:jc w:val="left"/>
            </w:pPr>
            <w:r>
              <w:t xml:space="preserve">0.022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0.122</w:t>
            </w:r>
          </w:p>
        </w:tc>
        <w:tc>
          <w:tcPr/>
          <w:p>
            <w:pPr>
              <w:pStyle w:val="Compact"/>
              <w:jc w:val="left"/>
            </w:pPr>
            <w:r>
              <w:t xml:space="preserve">0.064</w:t>
            </w:r>
          </w:p>
        </w:tc>
        <w:tc>
          <w:tcPr/>
          <w:p>
            <w:pPr>
              <w:pStyle w:val="Compact"/>
              <w:jc w:val="left"/>
            </w:pPr>
            <w:r>
              <w:t xml:space="preserve">0.019</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-0.755</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-0.776</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0.071</w:t>
            </w:r>
          </w:p>
        </w:tc>
        <w:tc>
          <w:tcPr/>
          <w:p>
            <w:pPr>
              <w:pStyle w:val="Compact"/>
              <w:jc w:val="left"/>
            </w:pPr>
            <w:r>
              <w:t xml:space="preserve">0.024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0.081</w:t>
            </w:r>
          </w:p>
        </w:tc>
        <w:tc>
          <w:tcPr/>
          <w:p>
            <w:pPr>
              <w:pStyle w:val="Compact"/>
              <w:jc w:val="left"/>
            </w:pPr>
            <w:r>
              <w:t xml:space="preserve">0.027</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-0.728</w:t>
            </w:r>
          </w:p>
        </w:tc>
        <w:tc>
          <w:tcPr/>
          <w:p>
            <w:pPr>
              <w:pStyle w:val="Compact"/>
              <w:jc w:val="left"/>
            </w:pPr>
            <w:r>
              <w:t xml:space="preserve">0.050</w:t>
            </w:r>
          </w:p>
        </w:tc>
        <w:tc>
          <w:tcPr/>
          <w:p>
            <w:pPr>
              <w:pStyle w:val="Compact"/>
              <w:jc w:val="left"/>
            </w:pPr>
            <w:r>
              <w:t xml:space="preserve">0.017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-0.749</w:t>
            </w:r>
          </w:p>
        </w:tc>
        <w:tc>
          <w:tcPr/>
          <w:p>
            <w:pPr>
              <w:pStyle w:val="Compact"/>
              <w:jc w:val="left"/>
            </w:pPr>
            <w:r>
              <w:t xml:space="preserve">0.073</w:t>
            </w:r>
          </w:p>
        </w:tc>
        <w:tc>
          <w:tcPr/>
          <w:p>
            <w:pPr>
              <w:pStyle w:val="Compact"/>
              <w:jc w:val="left"/>
            </w:pPr>
            <w:r>
              <w:t xml:space="preserve">0.024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p>
      <w:pPr>
        <w:pStyle w:val="Textkrper"/>
      </w:pPr>
      <w:r>
        <w:t xml:space="preserve">Table 7:</w:t>
      </w:r>
    </w:p>
    <w:p>
      <w:pPr>
        <w:pStyle w:val="TableCaption"/>
      </w:pPr>
      <w:r>
        <w:rPr>
          <w:iCs/>
          <w:i/>
        </w:rPr>
        <w:t xml:space="preserve">Experiment 2: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81.06</w:t>
            </w:r>
          </w:p>
        </w:tc>
        <w:tc>
          <w:tcPr/>
          <w:p>
            <w:pPr>
              <w:pStyle w:val="Compact"/>
              <w:jc w:val="left"/>
            </w:pPr>
            <w:r>
              <w:t xml:space="preserve">6.52</w:t>
            </w:r>
          </w:p>
        </w:tc>
        <w:tc>
          <w:tcPr/>
          <w:p>
            <w:pPr>
              <w:pStyle w:val="Compact"/>
              <w:jc w:val="left"/>
            </w:pPr>
            <w:r>
              <w:t xml:space="preserve">1.97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83.32</w:t>
            </w:r>
          </w:p>
        </w:tc>
        <w:tc>
          <w:tcPr/>
          <w:p>
            <w:pPr>
              <w:pStyle w:val="Compact"/>
              <w:jc w:val="left"/>
            </w:pPr>
            <w:r>
              <w:t xml:space="preserve">6.48</w:t>
            </w:r>
          </w:p>
        </w:tc>
        <w:tc>
          <w:tcPr/>
          <w:p>
            <w:pPr>
              <w:pStyle w:val="Compact"/>
              <w:jc w:val="left"/>
            </w:pPr>
            <w:r>
              <w:t xml:space="preserve">1.95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62.49</w:t>
            </w:r>
          </w:p>
        </w:tc>
        <w:tc>
          <w:tcPr/>
          <w:p>
            <w:pPr>
              <w:pStyle w:val="Compact"/>
              <w:jc w:val="left"/>
            </w:pPr>
            <w:r>
              <w:t xml:space="preserve">5.55</w:t>
            </w:r>
          </w:p>
        </w:tc>
        <w:tc>
          <w:tcPr/>
          <w:p>
            <w:pPr>
              <w:pStyle w:val="Compact"/>
              <w:jc w:val="left"/>
            </w:pPr>
            <w:r>
              <w:t xml:space="preserve">1.67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59.50</w:t>
            </w:r>
          </w:p>
        </w:tc>
        <w:tc>
          <w:tcPr/>
          <w:p>
            <w:pPr>
              <w:pStyle w:val="Compact"/>
              <w:jc w:val="left"/>
            </w:pPr>
            <w:r>
              <w:t xml:space="preserve">3.59</w:t>
            </w:r>
          </w:p>
        </w:tc>
        <w:tc>
          <w:tcPr/>
          <w:p>
            <w:pPr>
              <w:pStyle w:val="Compact"/>
              <w:jc w:val="left"/>
            </w:pPr>
            <w:r>
              <w:t xml:space="preserve">1.08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82.02</w:t>
            </w:r>
          </w:p>
        </w:tc>
        <w:tc>
          <w:tcPr/>
          <w:p>
            <w:pPr>
              <w:pStyle w:val="Compact"/>
              <w:jc w:val="left"/>
            </w:pPr>
            <w:r>
              <w:t xml:space="preserve">10.15</w:t>
            </w:r>
          </w:p>
        </w:tc>
        <w:tc>
          <w:tcPr/>
          <w:p>
            <w:pPr>
              <w:pStyle w:val="Compact"/>
              <w:jc w:val="left"/>
            </w:pPr>
            <w:r>
              <w:t xml:space="preserve">3.38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83.06</w:t>
            </w:r>
          </w:p>
        </w:tc>
        <w:tc>
          <w:tcPr/>
          <w:p>
            <w:pPr>
              <w:pStyle w:val="Compact"/>
              <w:jc w:val="left"/>
            </w:pPr>
            <w:r>
              <w:t xml:space="preserve">11.54</w:t>
            </w:r>
          </w:p>
        </w:tc>
        <w:tc>
          <w:tcPr/>
          <w:p>
            <w:pPr>
              <w:pStyle w:val="Compact"/>
              <w:jc w:val="left"/>
            </w:pPr>
            <w:r>
              <w:t xml:space="preserve">3.85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62.36</w:t>
            </w:r>
          </w:p>
        </w:tc>
        <w:tc>
          <w:tcPr/>
          <w:p>
            <w:pPr>
              <w:pStyle w:val="Compact"/>
              <w:jc w:val="left"/>
            </w:pPr>
            <w:r>
              <w:t xml:space="preserve">4.11</w:t>
            </w:r>
          </w:p>
        </w:tc>
        <w:tc>
          <w:tcPr/>
          <w:p>
            <w:pPr>
              <w:pStyle w:val="Compact"/>
              <w:jc w:val="left"/>
            </w:pPr>
            <w:r>
              <w:t xml:space="preserve">1.37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61.81</w:t>
            </w:r>
          </w:p>
        </w:tc>
        <w:tc>
          <w:tcPr/>
          <w:p>
            <w:pPr>
              <w:pStyle w:val="Compact"/>
              <w:jc w:val="left"/>
            </w:pPr>
            <w:r>
              <w:t xml:space="preserve">3.76</w:t>
            </w:r>
          </w:p>
        </w:tc>
        <w:tc>
          <w:tcPr/>
          <w:p>
            <w:pPr>
              <w:pStyle w:val="Compact"/>
              <w:jc w:val="left"/>
            </w:pPr>
            <w:r>
              <w:t xml:space="preserve">1.25</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p>
      <w:pPr>
        <w:pStyle w:val="Textkrper"/>
      </w:pPr>
      <w:r>
        <w:t xml:space="preserve">Table 8:</w:t>
      </w:r>
    </w:p>
    <w:p>
      <w:pPr>
        <w:pStyle w:val="TableCaption"/>
      </w:pPr>
      <w:r>
        <w:rPr>
          <w:iCs/>
          <w:i/>
        </w:rPr>
        <w:t xml:space="preserve">Experiment 2: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-14.43</w:t>
            </w:r>
          </w:p>
        </w:tc>
        <w:tc>
          <w:tcPr/>
          <w:p>
            <w:pPr>
              <w:pStyle w:val="Compact"/>
              <w:jc w:val="left"/>
            </w:pPr>
            <w:r>
              <w:t xml:space="preserve">6.20</w:t>
            </w:r>
          </w:p>
        </w:tc>
        <w:tc>
          <w:tcPr/>
          <w:p>
            <w:pPr>
              <w:pStyle w:val="Compact"/>
              <w:jc w:val="left"/>
            </w:pPr>
            <w:r>
              <w:t xml:space="preserve">1.87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-19.27</w:t>
            </w:r>
          </w:p>
        </w:tc>
        <w:tc>
          <w:tcPr/>
          <w:p>
            <w:pPr>
              <w:pStyle w:val="Compact"/>
              <w:jc w:val="left"/>
            </w:pPr>
            <w:r>
              <w:t xml:space="preserve">4.33</w:t>
            </w:r>
          </w:p>
        </w:tc>
        <w:tc>
          <w:tcPr/>
          <w:p>
            <w:pPr>
              <w:pStyle w:val="Compact"/>
              <w:jc w:val="left"/>
            </w:pPr>
            <w:r>
              <w:t xml:space="preserve">1.30</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14.96</w:t>
            </w:r>
          </w:p>
        </w:tc>
        <w:tc>
          <w:tcPr/>
          <w:p>
            <w:pPr>
              <w:pStyle w:val="Compact"/>
              <w:jc w:val="left"/>
            </w:pPr>
            <w:r>
              <w:t xml:space="preserve">6.78</w:t>
            </w:r>
          </w:p>
        </w:tc>
        <w:tc>
          <w:tcPr/>
          <w:p>
            <w:pPr>
              <w:pStyle w:val="Compact"/>
              <w:jc w:val="left"/>
            </w:pPr>
            <w:r>
              <w:t xml:space="preserve">2.04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20.77</w:t>
            </w:r>
          </w:p>
        </w:tc>
        <w:tc>
          <w:tcPr/>
          <w:p>
            <w:pPr>
              <w:pStyle w:val="Compact"/>
              <w:jc w:val="left"/>
            </w:pPr>
            <w:r>
              <w:t xml:space="preserve">5.71</w:t>
            </w:r>
          </w:p>
        </w:tc>
        <w:tc>
          <w:tcPr/>
          <w:p>
            <w:pPr>
              <w:pStyle w:val="Compact"/>
              <w:jc w:val="left"/>
            </w:pPr>
            <w:r>
              <w:t xml:space="preserve">1.72</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-13.64</w:t>
            </w:r>
          </w:p>
        </w:tc>
        <w:tc>
          <w:tcPr/>
          <w:p>
            <w:pPr>
              <w:pStyle w:val="Compact"/>
              <w:jc w:val="left"/>
            </w:pPr>
            <w:r>
              <w:t xml:space="preserve">9.46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-14.84</w:t>
            </w:r>
          </w:p>
        </w:tc>
        <w:tc>
          <w:tcPr/>
          <w:p>
            <w:pPr>
              <w:pStyle w:val="Compact"/>
              <w:jc w:val="left"/>
            </w:pPr>
            <w:r>
              <w:t xml:space="preserve">11.08</w:t>
            </w:r>
          </w:p>
        </w:tc>
        <w:tc>
          <w:tcPr/>
          <w:p>
            <w:pPr>
              <w:pStyle w:val="Compact"/>
              <w:jc w:val="left"/>
            </w:pPr>
            <w:r>
              <w:t xml:space="preserve">3.69</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17.44</w:t>
            </w:r>
          </w:p>
        </w:tc>
        <w:tc>
          <w:tcPr/>
          <w:p>
            <w:pPr>
              <w:pStyle w:val="Compact"/>
              <w:jc w:val="left"/>
            </w:pPr>
            <w:r>
              <w:t xml:space="preserve">8.11</w:t>
            </w:r>
          </w:p>
        </w:tc>
        <w:tc>
          <w:tcPr/>
          <w:p>
            <w:pPr>
              <w:pStyle w:val="Compact"/>
              <w:jc w:val="left"/>
            </w:pPr>
            <w:r>
              <w:t xml:space="preserve">2.70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20.66</w:t>
            </w:r>
          </w:p>
        </w:tc>
        <w:tc>
          <w:tcPr/>
          <w:p>
            <w:pPr>
              <w:pStyle w:val="Compact"/>
              <w:jc w:val="left"/>
            </w:pPr>
            <w:r>
              <w:t xml:space="preserve">12.09</w:t>
            </w:r>
          </w:p>
        </w:tc>
        <w:tc>
          <w:tcPr/>
          <w:p>
            <w:pPr>
              <w:pStyle w:val="Compact"/>
              <w:jc w:val="left"/>
            </w:pPr>
            <w:r>
              <w:t xml:space="preserve">4.03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bookmarkEnd w:id="170"/>
    <w:bookmarkEnd w:id="171"/>
    <w:bookmarkStart w:id="182" w:name="temporal-variability"/>
    <w:p>
      <w:pPr>
        <w:pStyle w:val="berschrift1"/>
      </w:pPr>
      <w:r>
        <w:t xml:space="preserve">3. 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72" w:name="results-2"/>
    <w:p>
      <w:pPr>
        <w:pStyle w:val="berschrift2"/>
      </w:pPr>
      <w:r>
        <w:t xml:space="preserve">Results</w:t>
      </w:r>
    </w:p>
    <w:bookmarkEnd w:id="172"/>
    <w:bookmarkStart w:id="175" w:name="experiment-1-3"/>
    <w:p>
      <w:pPr>
        <w:pStyle w:val="berschrift2"/>
      </w:pPr>
      <w:r>
        <w:t xml:space="preserve">Experiment 1</w:t>
      </w:r>
    </w:p>
    <w:bookmarkStart w:id="173"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73"/>
    <w:bookmarkStart w:id="174"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74"/>
    <w:bookmarkEnd w:id="175"/>
    <w:bookmarkStart w:id="181" w:name="experiment-2-3"/>
    <w:p>
      <w:pPr>
        <w:pStyle w:val="berschrift2"/>
      </w:pPr>
      <w:r>
        <w:t xml:space="preserve">Experiment 2</w:t>
      </w:r>
    </w:p>
    <w:bookmarkStart w:id="176"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76"/>
    <w:bookmarkStart w:id="180"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8.  Experiment 1, 2: CVs when playing the piece with either articulation or dynamics (left: Experiment 1, right: Experiment 2). Each box indicates the IQR with the median, and whiskers extend to a maximum of 1.5 × IQR beyond the box. Significance levels: *  &lt; .05, **  &lt; .01, ***  &lt; .001" title="" id="178" name="Picture"/>
            <a:graphic>
              <a:graphicData uri="http://schemas.openxmlformats.org/drawingml/2006/picture">
                <pic:pic>
                  <pic:nvPicPr>
                    <pic:cNvPr descr="manuscript_files/figure-docx/plot-cv-1.png" id="179" name="Picture"/>
                    <pic:cNvPicPr>
                      <a:picLocks noChangeArrowheads="1" noChangeAspect="1"/>
                    </pic:cNvPicPr>
                  </pic:nvPicPr>
                  <pic:blipFill>
                    <a:blip r:embed="rId17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18.</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80"/>
    <w:bookmarkEnd w:id="181"/>
    <w:bookmarkEnd w:id="182"/>
    <w:bookmarkStart w:id="193" w:name="temporal-grouping"/>
    <w:p>
      <w:pPr>
        <w:pStyle w:val="berschrift1"/>
      </w:pPr>
      <w:r>
        <w:t xml:space="preserve">4. Temporal grouping</w:t>
      </w:r>
    </w:p>
    <w:p>
      <w:pPr>
        <w:pStyle w:val="FirstParagraph"/>
      </w:pPr>
      <w:r>
        <w:t xml:space="preserve">In order to investigate if participants used temporal grouping to make boundaries between subcomponents (i.e., between legato and staccato, between forte and piano) clearer for teaching purposes, we looked at IOIs only at transition points.</w:t>
      </w:r>
    </w:p>
    <w:bookmarkStart w:id="183" w:name="results-3"/>
    <w:p>
      <w:pPr>
        <w:pStyle w:val="berschrift2"/>
      </w:pPr>
      <w:r>
        <w:t xml:space="preserve">Results</w:t>
      </w:r>
    </w:p>
    <w:bookmarkEnd w:id="183"/>
    <w:bookmarkStart w:id="186" w:name="experiment-1-4"/>
    <w:p>
      <w:pPr>
        <w:pStyle w:val="berschrift2"/>
      </w:pPr>
      <w:r>
        <w:t xml:space="preserve">Experiment 1</w:t>
      </w:r>
    </w:p>
    <w:bookmarkStart w:id="184"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in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84"/>
    <w:bookmarkStart w:id="185"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in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85"/>
    <w:bookmarkEnd w:id="186"/>
    <w:bookmarkStart w:id="192" w:name="experiment-2-4"/>
    <w:p>
      <w:pPr>
        <w:pStyle w:val="berschrift2"/>
      </w:pPr>
      <w:r>
        <w:t xml:space="preserve">Experiment 2</w:t>
      </w:r>
    </w:p>
    <w:bookmarkStart w:id="187"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1.00,</w:t>
      </w:r>
      <w:r>
        <w:t xml:space="preserve"> </w:t>
      </w:r>
      <w:r>
        <w:rPr>
          <w:iCs/>
          <w:i/>
        </w:rPr>
        <w:t xml:space="preserve">SD</w:t>
      </w:r>
      <w:r>
        <w:t xml:space="preserve"> </w:t>
      </w:r>
      <w:r>
        <w:t xml:space="preserve">= 0.067] than in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87"/>
    <w:bookmarkStart w:id="191"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9.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89" name="Picture"/>
            <a:graphic>
              <a:graphicData uri="http://schemas.openxmlformats.org/drawingml/2006/picture">
                <pic:pic>
                  <pic:nvPicPr>
                    <pic:cNvPr descr="manuscript_files/figure-docx/plot-tra-1.png" id="190" name="Picture"/>
                    <pic:cNvPicPr>
                      <a:picLocks noChangeArrowheads="1" noChangeAspect="1"/>
                    </pic:cNvPicPr>
                  </pic:nvPicPr>
                  <pic:blipFill>
                    <a:blip r:embed="rId188"/>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19.</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1"/>
    <w:bookmarkEnd w:id="192"/>
    <w:bookmarkEnd w:id="193"/>
    <w:bookmarkStart w:id="200" w:name="Xb3b39e983932286abeb549707e2ff967929e056"/>
    <w:p>
      <w:pPr>
        <w:pStyle w:val="berschrift1"/>
      </w:pPr>
      <w:r>
        <w:t xml:space="preserve">5. 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94" w:name="results-4"/>
    <w:p>
      <w:pPr>
        <w:pStyle w:val="berschrift2"/>
      </w:pPr>
      <w:r>
        <w:t xml:space="preserve">Results</w:t>
      </w:r>
    </w:p>
    <w:bookmarkEnd w:id="194"/>
    <w:bookmarkStart w:id="195" w:name="experiment-1-5"/>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95"/>
    <w:bookmarkStart w:id="199" w:name="experiment-2-5"/>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0.31,</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20.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97" name="Picture"/>
            <a:graphic>
              <a:graphicData uri="http://schemas.openxmlformats.org/drawingml/2006/picture">
                <pic:pic>
                  <pic:nvPicPr>
                    <pic:cNvPr descr="manuscript_files/figure-docx/plot-vel-diff-2-1.png" id="198" name="Picture"/>
                    <pic:cNvPicPr>
                      <a:picLocks noChangeArrowheads="1" noChangeAspect="1"/>
                    </pic:cNvPicPr>
                  </pic:nvPicPr>
                  <pic:blipFill>
                    <a:blip r:embed="rId19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20.</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9"/>
    <w:bookmarkEnd w:id="20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EXPERT PIANISTS MAKE SPECIFIC EXAGGERATIONS FOR TEACHING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EXPERT PIANISTS MAKE SPECIFIC EXAGGERATIONS FOR TEACHING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8" Target="media/rId148.png" /><Relationship Type="http://schemas.openxmlformats.org/officeDocument/2006/relationships/image" Id="rId161" Target="media/rId161.png" /><Relationship Type="http://schemas.openxmlformats.org/officeDocument/2006/relationships/image" Id="rId177" Target="media/rId177.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51" Target="media/rId151.png" /><Relationship Type="http://schemas.openxmlformats.org/officeDocument/2006/relationships/image" Id="rId164" Target="media/rId16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145" Target="media/rId145.png" /><Relationship Type="http://schemas.openxmlformats.org/officeDocument/2006/relationships/image" Id="rId158" Target="media/rId158.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88" Target="media/rId188.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96" Target="media/rId196.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Expert pianists make specific exaggerations for teaching</dc:title>
  <dc:creator/>
  <cp:keywords/>
  <dcterms:created xsi:type="dcterms:W3CDTF">2023-01-31T11:25:34Z</dcterms:created>
  <dcterms:modified xsi:type="dcterms:W3CDTF">2023-01-31T11:25:34Z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lassoption">
    <vt:lpwstr>man</vt:lpwstr>
  </property>
  <property fmtid="{D5CDD505-2E9C-101B-9397-08002B2CF9AE}" pid="5" name="csl">
    <vt:lpwstr>/Users/atsukotominaga/PhD/Project/music-teaching/paper/nature.csl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Expert pianists make specific exaggerations for teaching</vt:lpwstr>
  </property>
  <property fmtid="{D5CDD505-2E9C-101B-9397-08002B2CF9AE}" pid="15" name="tablelist">
    <vt:lpwstr>False</vt:lpwstr>
  </property>
</Properties>
</file>