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7.png" ContentType="image/png"/>
  <Override PartName="/word/media/rId57.png" ContentType="image/png"/>
  <Override PartName="/word/media/rId58.png" ContentType="image/png"/>
  <Override PartName="/word/media/rId38.png" ContentType="image/png"/>
  <Override PartName="/word/media/rId39.png" ContentType="image/png"/>
  <Override PartName="/word/media/rId59.png" ContentType="image/png"/>
  <Override PartName="/word/media/rId60.png" ContentType="image/png"/>
  <Override PartName="/word/media/rId25.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w:t>
      </w:r>
      <w:r>
        <w:rPr>
          <w:vertAlign w:val="superscript"/>
        </w:rPr>
        <w:t xml:space="preserve">1</w:t>
      </w:r>
      <w:r>
        <w:t xml:space="preserve">,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Atsuko Tominaga, Quellenstraße 51, 1100 Vienna, Austria. E-mail:</w:t>
      </w:r>
      <w:r>
        <w:t xml:space="preserve"> </w:t>
      </w:r>
      <w:hyperlink r:id="rId20">
        <w:r>
          <w:rPr>
            <w:rStyle w:val="Hyperlink"/>
          </w:rPr>
          <w:t xml:space="preserve">Tominaga_Atsuko@phd.ceu.edu</w:t>
        </w:r>
      </w:hyperlink>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are also used to teach techniques of artistic expression. One domain where subtle movement modulations are crucial for achieving artistic expression is music. We investigated how skilled pianists modulate their playing to demonstrate to students the techniques required for conveying piece-related musical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novices.When intending to teach articulation, skilled pianists produced more exaggerated staccato. When intending to teach dynamics, they created a larger contrast between forte and piano at structurally important points. We found consistent results with a simple musical scale (Experiment 1) and a more naturalistic piece of music (Experiment 2). These findings suggest that action modulations are performed not only to attract learners’ attention but to highlight the most relevant aspects of the actions to be learnt.</w:t>
      </w:r>
    </w:p>
    <w:p>
      <w:pPr>
        <w:pStyle w:val="Textkrper"/>
      </w:pPr>
      <w:r>
        <w:rPr>
          <w:iCs/>
          <w:i/>
        </w:rPr>
        <w:t xml:space="preserve">Keywords:</w:t>
      </w:r>
      <w:r>
        <w:t xml:space="preserve"> </w:t>
      </w:r>
      <w:r>
        <w:t xml:space="preserve">teaching, expertise, skill transmission, artistic expression, music</w:t>
      </w:r>
    </w:p>
    <w:p>
      <w:pPr>
        <w:pStyle w:val="Textkrper"/>
      </w:pPr>
      <w:r>
        <w:rPr>
          <w:iCs/>
          <w:i/>
        </w:rPr>
        <w:t xml:space="preserve">Word count:</w:t>
      </w:r>
      <w:r>
        <w:t xml:space="preserve"> </w:t>
      </w:r>
      <w:r>
        <w:t xml:space="preserve">5022</w:t>
      </w:r>
    </w:p>
    <w:p>
      <w:pPr>
        <w:pStyle w:val="h1-pagebreak"/>
      </w:pPr>
      <w:r>
        <w:t xml:space="preserve">The Sound of Teaching Music: Expert Pianists’ Performance Modulations for Novices</w:t>
      </w:r>
    </w:p>
    <w:bookmarkStart w:id="21" w:name="introduction"/>
    <w:p>
      <w:pPr>
        <w:pStyle w:val="berschrift1"/>
      </w:pPr>
      <w:r>
        <w:rPr>
          <w:rStyle w:val="SectionNumber"/>
        </w:rPr>
        <w:t xml:space="preserve">1</w:t>
      </w:r>
      <w:r>
        <w:tab/>
      </w:r>
      <w:r>
        <w:t xml:space="preserve">1. Introduction</w:t>
      </w:r>
    </w:p>
    <w:p>
      <w:pPr>
        <w:pStyle w:val="FirstParagraph"/>
      </w:pPr>
      <w:r>
        <w:t xml:space="preserve">Deliberate teaching has supported human skill transmission over generations and provides a key route for learning</w:t>
      </w:r>
      <w:r>
        <w:t xml:space="preserve"> </w:t>
      </w:r>
      <w:r>
        <w:t xml:space="preserve">(Thornton &amp; Raihani, 2008; Tomasello, 2016)</w:t>
      </w:r>
      <w:r>
        <w:t xml:space="preserve">. Experts modulate their behaviour so that novices can extract relevant information to learn a novel skill. In particular, adults modulate their speech (motherese) and actions (motionese) when demonstrating a skill to infant learners</w:t>
      </w:r>
      <w:r>
        <w:t xml:space="preserve"> </w:t>
      </w:r>
      <w:r>
        <w:t xml:space="preserve">(Brand, Baldwin, &amp; Ashburn, 2002; Fernald, 1985)</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t xml:space="preserve"> </w:t>
      </w:r>
      <w:r>
        <w:t xml:space="preserve">(Uther, Knoll, &amp; Burnham, 2007)</w:t>
      </w:r>
      <w:r>
        <w:t xml:space="preserve"> </w:t>
      </w:r>
      <w:r>
        <w:t xml:space="preserve">and when skilled adults were teaching xylophone melodies to novices</w:t>
      </w:r>
      <w:r>
        <w:t xml:space="preserve"> </w:t>
      </w:r>
      <w:r>
        <w:t xml:space="preserve">(McEllin, Knoblich, &amp; Sebanz, 2017)</w:t>
      </w:r>
      <w:r>
        <w:t xml:space="preserve">. The observed modulations are thought to provide communicative signals that can facilitate learning by affecting attention and memory</w:t>
      </w:r>
      <w:r>
        <w:t xml:space="preserve"> </w:t>
      </w:r>
      <w:r>
        <w:t xml:space="preserve">(Csibra &amp; Gergely, 2009)</w:t>
      </w:r>
      <w:r>
        <w:t xml:space="preserve">.</w:t>
      </w:r>
    </w:p>
    <w:p>
      <w:pPr>
        <w:pStyle w:val="Textkrper"/>
      </w:pPr>
      <w:r>
        <w:t xml:space="preserve">Previous research has shown that demonstrators not only adjust their gestures</w:t>
      </w:r>
      <w:r>
        <w:t xml:space="preserve"> </w:t>
      </w:r>
      <w:r>
        <w:t xml:space="preserve">(Campisi &amp; Özyürek, 2013)</w:t>
      </w:r>
      <w:r>
        <w:t xml:space="preserve"> </w:t>
      </w:r>
      <w:r>
        <w:t xml:space="preserve">and actions</w:t>
      </w:r>
      <w:r>
        <w:t xml:space="preserve"> </w:t>
      </w:r>
      <w:r>
        <w:t xml:space="preserve">(Fukuyama et al., 2015)</w:t>
      </w:r>
      <w:r>
        <w:t xml:space="preserve"> </w:t>
      </w:r>
      <w:r>
        <w:t xml:space="preserve">to learners’ skills but engage in specific action modulations to highlight particular aspects of demonstrated actions. For example,</w:t>
      </w:r>
      <w:r>
        <w:t xml:space="preserve"> </w:t>
      </w:r>
      <w:r>
        <w:t xml:space="preserve">Schaik, Meyer, Ham, and Hunnius (2019)</w:t>
      </w:r>
      <w:r>
        <w:t xml:space="preserve"> </w:t>
      </w:r>
      <w:r>
        <w:t xml:space="preserve">showed that adults used specific action modulations for demonstrating different action effects of objects to infants.</w:t>
      </w:r>
      <w:r>
        <w:t xml:space="preserve"> </w:t>
      </w:r>
      <w:r>
        <w:t xml:space="preserve">Ho, Littman, MacGlashan, Cushman, and Austerweil (2016)</w:t>
      </w:r>
      <w:r>
        <w:t xml:space="preserve"> </w:t>
      </w:r>
      <w:r>
        <w:t xml:space="preserve">found that demonstrators chose costly movement paths at structurally important points to disambiguate one goal over other possibilities.</w:t>
      </w:r>
    </w:p>
    <w:p>
      <w:pPr>
        <w:pStyle w:val="Textkrper"/>
      </w:pPr>
      <w:r>
        <w:t xml:space="preserve">Importantly, in some domains teaching requires not only demonstrating</w:t>
      </w:r>
      <w:r>
        <w:t xml:space="preserve"> </w:t>
      </w:r>
      <w:r>
        <w:rPr>
          <w:iCs/>
          <w:i/>
        </w:rPr>
        <w:t xml:space="preserve">what</w:t>
      </w:r>
      <w:r>
        <w:t xml:space="preserve"> </w:t>
      </w:r>
      <w:r>
        <w:t xml:space="preserve">to do, but</w:t>
      </w:r>
      <w:r>
        <w:t xml:space="preserve"> </w:t>
      </w:r>
      <w:r>
        <w:rPr>
          <w:iCs/>
          <w:i/>
        </w:rPr>
        <w:t xml:space="preserve">how</w:t>
      </w:r>
      <w:r>
        <w:t xml:space="preserve"> </w:t>
      </w:r>
      <w:r>
        <w:t xml:space="preserve">to perform actions. In artistic contexts, novices need to learn how exactly to perform actions by relying on particular techniques</w:t>
      </w:r>
      <w:r>
        <w:t xml:space="preserve"> </w:t>
      </w:r>
      <w:r>
        <w:t xml:space="preserve">(Sloboda, 2000)</w:t>
      </w:r>
      <w:r>
        <w:t xml:space="preserve">. For example, when playing a piece of music on the piano, it is not sufficient to press the keys in the correct order, but learners need to be able to implement expressive techniques</w:t>
      </w:r>
      <w:r>
        <w:t xml:space="preserve"> </w:t>
      </w:r>
      <w:r>
        <w:t xml:space="preserve">(Juslin, 2003)</w:t>
      </w:r>
      <w:r>
        <w:t xml:space="preserve">. This raises the question of whether and how experts modulate their actions during didactic demonstration in artistic contexts, where expressivity is an integral part of what learners need to acquire. Studying action modulations that serve the teaching of artistic techniques is also of broader theoretical importance: It can show whether action modulations can be used to selectively highlight subtle aspects of actions that define expert performance.</w:t>
      </w:r>
    </w:p>
    <w:p>
      <w:pPr>
        <w:pStyle w:val="Textkrper"/>
      </w:pPr>
      <w:r>
        <w:t xml:space="preserve">In the present study, we employed musical expressive techniques as skills to be taught because multiple properties of the performance (e.g., timing, articulation, loudness) can be modulated at the same time. Specific and subtle aspects of the performance may need to be highlighted to teach a respective technique. Pianists were asked to perform a piece in order to demonstrate to a learner how to implement the notated expressions (teaching condition) and to play the same piece for an audience (performing condition). Two basic expressive techniques in piano performance were used: articulation (legato and staccato) and dynamics (forte and piano).</w:t>
      </w:r>
    </w:p>
    <w:p>
      <w:pPr>
        <w:pStyle w:val="Textkrper"/>
      </w:pPr>
      <w:r>
        <w:t xml:space="preserve">If experts rely on generic action modulations, it can be expected that they will play more slowly during didactic demonstration, regardless of the kind of expressive techniques to be taught. To the extent that experts use action modulations to support their teaching of specific expressive techniques, they should produce longer legato and shorter staccato when teaching articulation whereas they should produce louder forte and softer piano when teaching dynamics. Furthermore, one could speculate that they might produce modulations specifically at structurally important points that best highlight the technique to be taught. Importantly, they should avoid modulating irrelevant properties of expression, e.g., the smoothness of the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41" w:name="experiment-1"/>
    <w:p>
      <w:pPr>
        <w:pStyle w:val="berschrift1"/>
      </w:pPr>
      <w:r>
        <w:rPr>
          <w:rStyle w:val="SectionNumber"/>
        </w:rPr>
        <w:t xml:space="preserve">2</w:t>
      </w:r>
      <w:r>
        <w:tab/>
      </w:r>
      <w:r>
        <w:t xml:space="preserve">2. Experiment 1</w:t>
      </w:r>
    </w:p>
    <w:bookmarkStart w:id="27" w:name="method"/>
    <w:p>
      <w:pPr>
        <w:pStyle w:val="berschrift2"/>
      </w:pPr>
      <w:r>
        <w:rPr>
          <w:rStyle w:val="SectionNumber"/>
        </w:rPr>
        <w:t xml:space="preserve">2.1</w:t>
      </w:r>
      <w:r>
        <w:tab/>
      </w:r>
      <w:r>
        <w:t xml:space="preserve">2.1. Method</w:t>
      </w:r>
    </w:p>
    <w:bookmarkStart w:id="22" w:name="participants"/>
    <w:p>
      <w:pPr>
        <w:pStyle w:val="berschrift3"/>
      </w:pPr>
      <w:r>
        <w:rPr>
          <w:rStyle w:val="SectionNumber"/>
        </w:rPr>
        <w:t xml:space="preserve">2.1.1</w:t>
      </w:r>
      <w:r>
        <w:tab/>
      </w:r>
      <w:r>
        <w:t xml:space="preserve">2.1.1. Participants.</w:t>
      </w:r>
    </w:p>
    <w:p>
      <w:pPr>
        <w:pStyle w:val="FirstParagraph"/>
      </w:pPr>
      <w:r>
        <w:t xml:space="preserve">We recruited 36 piano experts who played the piano for at least the past 10 years or were studying advanced piano performance at a music school at the time of recruitment. In order to ensure that participants had sufficient motor skills to perform the piece, we asked them to practise the piece with the non-expressive sheet music (</w:t>
      </w:r>
      <w:r>
        <w:rPr>
          <w:iCs/>
          <w:i/>
        </w:rPr>
        <w:t xml:space="preserve">Figure</w:t>
      </w:r>
      <w:r>
        <w:rPr>
          <w:iCs/>
          <w:i/>
        </w:rPr>
        <w:t xml:space="preserve"> </w:t>
      </w:r>
      <w:r>
        <w:rPr>
          <w:iCs/>
          <w:i/>
        </w:rPr>
        <w:t xml:space="preserve">, A</w:t>
      </w:r>
      <w:r>
        <w:t xml:space="preserve">) in the lab. Once they could perform the piece without pitch errors twice consecutively within 5 attempts, the experiment started. Those who could not meet this requirement were excluded from data analysis (as a result, none of the participants were excluded based on this criterion).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They had 12.45 years of practice on average (</w:t>
      </w:r>
      <w:r>
        <w:rPr>
          <w:iCs/>
          <w:i/>
        </w:rPr>
        <w:t xml:space="preserve">SD</w:t>
      </w:r>
      <w:r>
        <w:t xml:space="preserve"> </w:t>
      </w:r>
      <w:r>
        <w:t xml:space="preserve">= 5.66). All participants gave their informed consent before the experiment started and received vouchers for their participation. The study was approved by the United Ethical Review Committee for Research in Psychology (EPKEB) in Hungary.</w:t>
      </w:r>
    </w:p>
    <w:bookmarkEnd w:id="22"/>
    <w:bookmarkStart w:id="23" w:name="apparatus-and-stimuli"/>
    <w:p>
      <w:pPr>
        <w:pStyle w:val="berschrift3"/>
      </w:pPr>
      <w:r>
        <w:rPr>
          <w:rStyle w:val="SectionNumber"/>
        </w:rPr>
        <w:t xml:space="preserve">2.1.2</w:t>
      </w:r>
      <w:r>
        <w:tab/>
      </w:r>
      <w:r>
        <w:t xml:space="preserve">2.1.2. Apparatus and stimuli.</w:t>
      </w:r>
    </w:p>
    <w:p>
      <w:pPr>
        <w:pStyle w:val="FirstParagraph"/>
      </w:pPr>
      <w:r>
        <w:t xml:space="preserve">A weighted Yamaha MIDI digital piano was used to record participants’ performance via Max/MSP on a MacBook Pro with MacOS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Non-expressive sheet music (i.e., sheet music without expressive notations; see</w:t>
      </w:r>
      <w:r>
        <w:t xml:space="preserve"> </w:t>
      </w:r>
      <w:r>
        <w:rPr>
          <w:iCs/>
          <w:i/>
        </w:rPr>
        <w:t xml:space="preserve">Figure</w:t>
      </w:r>
      <w:r>
        <w:rPr>
          <w:iCs/>
          <w:i/>
        </w:rPr>
        <w:t xml:space="preserve"> </w:t>
      </w:r>
      <w:r>
        <w:rPr>
          <w:iCs/>
          <w:i/>
        </w:rPr>
        <w:t xml:space="preserve">, A</w:t>
      </w:r>
      <w:r>
        <w:t xml:space="preserve">) was used for the purpose of practice. Expressive notations were added to the non-expressive sheet music for the experiment. They referred to either articulation or dynamics (</w:t>
      </w:r>
      <w:r>
        <w:rPr>
          <w:iCs/>
          <w:i/>
        </w:rPr>
        <w:t xml:space="preserve">Figure</w:t>
      </w:r>
      <w:r>
        <w:rPr>
          <w:iCs/>
          <w:i/>
        </w:rPr>
        <w:t xml:space="preserve"> </w:t>
      </w:r>
      <w:r>
        <w:rPr>
          <w:iCs/>
          <w:i/>
        </w:rPr>
        <w:t xml:space="preserve">, 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and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3"/>
    <w:bookmarkStart w:id="24" w:name="procedure"/>
    <w:p>
      <w:pPr>
        <w:pStyle w:val="berschrift3"/>
      </w:pPr>
      <w:r>
        <w:rPr>
          <w:rStyle w:val="SectionNumber"/>
        </w:rPr>
        <w:t xml:space="preserve">2.1.3</w:t>
      </w:r>
      <w:r>
        <w:tab/>
      </w:r>
      <w:r>
        <w:t xml:space="preserve">2.1.3. Procedure.</w:t>
      </w:r>
    </w:p>
    <w:p>
      <w:pPr>
        <w:pStyle w:val="FirstParagraph"/>
      </w:pPr>
      <w:r>
        <w:t xml:space="preserve">First, participants were allocated to either the teaching or performing condition and asked to practise the excerpt with notated expressions of either articulation or dynamics (</w:t>
      </w:r>
      <w:r>
        <w:rPr>
          <w:iCs/>
          <w:i/>
        </w:rPr>
        <w:t xml:space="preserve">Figure</w:t>
      </w:r>
      <w:r>
        <w:rPr>
          <w:iCs/>
          <w:i/>
        </w:rPr>
        <w:t xml:space="preserve"> </w:t>
      </w:r>
      <w:r>
        <w:rPr>
          <w:iCs/>
          <w:i/>
        </w:rPr>
        <w:t xml:space="preserve">, 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Materials</w:t>
        </w:r>
      </w:hyperlink>
      <w:r>
        <w:t xml:space="preserve">). Participants played the piece 8 times per expressive technique per condition, so there were 32 trials in total (2 conditions x 2 expressive techniques x 8 trials). The order of the conditions was blocked and counterbalanced across participants. The order of the expressive techniques within each condition was also blocked and counterbalanced across participants. A leading metronome (80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4"/>
    <w:bookmarkStart w:id="26" w:name="data-analysis"/>
    <w:p>
      <w:pPr>
        <w:pStyle w:val="berschrift3"/>
      </w:pPr>
      <w:r>
        <w:rPr>
          <w:rStyle w:val="SectionNumber"/>
        </w:rPr>
        <w:t xml:space="preserve">2.1.4</w:t>
      </w:r>
      <w:r>
        <w:tab/>
      </w:r>
      <w:r>
        <w:t xml:space="preserve">2.1.4. 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measures the smoothness of musical sequences</w:t>
      </w:r>
      <w:r>
        <w:t xml:space="preserve"> </w:t>
      </w:r>
      <w:r>
        <w:t xml:space="preserve">(Bresin &amp; Battel, 2000)</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three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5.16% of the trials contained at least one pitch error (extra notes; 2.78%, missing notes; 2.24%, substituted notes; 0.13%). For offsets, 6.24% of the trials contained at least one pitch error (extra notes; 2.78%, missing notes; 2.29%, substituted notes; 1.17%). In addition to pitch errors, we removed outliers for IOIs, KOT and KV were defined as values more than 3 standard deviations from the mean of each dependent variable and excluded from data analysis. For each dependent variable, this resulted in less than 5% of overall responses being removed as outliers.</w:t>
      </w:r>
    </w:p>
    <w:p>
      <w:pPr>
        <w:pStyle w:val="Textkrper"/>
      </w:pPr>
      <w:r>
        <w:t xml:space="preserve">We performed separate analyses for the two expressive techniques (i.e., articulation, dynamics). A paired-sample</w:t>
      </w:r>
      <w:r>
        <w:t xml:space="preserve"> </w:t>
      </w:r>
      <w:r>
        <w:rPr>
          <w:iCs/>
          <w:i/>
        </w:rPr>
        <w:t xml:space="preserve">t</w:t>
      </w:r>
      <w:r>
        <w:t xml:space="preserve">-test or a Wilcoxon signed-rank tests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(LS; legato vs. staccato or FP; forte vs. piano, respectively).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4780004"/>
            <wp:effectExtent b="0" l="0" r="0" t="0"/>
            <wp:docPr descr="Figure 1.   (A)Non-expressive sheet music. (B)Articulation. The curved line (slur) indicates legato and the dots indicate staccato. (C)Dynamics. The symbol f' denotes forte and the symbolp’ denotes piano. For data analysis, only the 16th notes were included." title="" id="1" name="Picture"/>
            <a:graphic>
              <a:graphicData uri="http://schemas.openxmlformats.org/drawingml/2006/picture">
                <pic:pic>
                  <pic:nvPicPr>
                    <pic:cNvPr descr="manuscript_files/figure-docx/stim-1-1.png" id="0" name="Picture"/>
                    <pic:cNvPicPr>
                      <a:picLocks noChangeArrowheads="1" noChangeAspect="1"/>
                    </pic:cNvPicPr>
                  </pic:nvPicPr>
                  <pic:blipFill>
                    <a:blip r:embed="rId25"/>
                    <a:stretch>
                      <a:fillRect/>
                    </a:stretch>
                  </pic:blipFill>
                  <pic:spPr bwMode="auto">
                    <a:xfrm>
                      <a:off x="0" y="0"/>
                      <a:ext cx="5969000" cy="478000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6"/>
    <w:bookmarkEnd w:id="27"/>
    <w:bookmarkStart w:id="31" w:name="results-articulation"/>
    <w:p>
      <w:pPr>
        <w:pStyle w:val="berschrift2"/>
      </w:pPr>
      <w:r>
        <w:rPr>
          <w:rStyle w:val="SectionNumber"/>
        </w:rPr>
        <w:t xml:space="preserve">2.2</w:t>
      </w:r>
      <w:r>
        <w:tab/>
      </w:r>
      <w:r>
        <w:t xml:space="preserve">2.2. Results (Articulation)</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the piece with the notated expression of articulation (</w:t>
      </w:r>
      <w:r>
        <w:rPr>
          <w:iCs/>
          <w:i/>
        </w:rPr>
        <w:t xml:space="preserve">Figure</w:t>
      </w:r>
      <w:r>
        <w:rPr>
          <w:iCs/>
          <w:i/>
        </w:rPr>
        <w:t xml:space="preserve"> </w:t>
      </w:r>
      <w:r>
        <w:rPr>
          <w:iCs/>
          <w:i/>
        </w:rPr>
        <w:t xml:space="preserve">, B</w:t>
      </w:r>
      <w:r>
        <w:t xml:space="preserve">), followed by performance of the piece with the notated expression of dynamics (</w:t>
      </w:r>
      <w:r>
        <w:rPr>
          <w:iCs/>
          <w:i/>
        </w:rPr>
        <w:t xml:space="preserve">Figure</w:t>
      </w:r>
      <w:r>
        <w:rPr>
          <w:iCs/>
          <w:i/>
        </w:rPr>
        <w:t xml:space="preserve"> </w:t>
      </w:r>
      <w:r>
        <w:rPr>
          <w:iCs/>
          <w:i/>
        </w:rPr>
        <w:t xml:space="preserve">, C</w:t>
      </w:r>
      <w:r>
        <w:t xml:space="preserve">).</w:t>
      </w:r>
    </w:p>
    <w:bookmarkStart w:id="28" w:name="interonset-intervals-iois"/>
    <w:p>
      <w:pPr>
        <w:pStyle w:val="berschrift3"/>
      </w:pPr>
      <w:r>
        <w:rPr>
          <w:rStyle w:val="SectionNumber"/>
        </w:rPr>
        <w:t xml:space="preserve">2.2.1</w:t>
      </w:r>
      <w:r>
        <w:tab/>
      </w:r>
      <w:r>
        <w:t xml:space="preserve">2.2.1. Interonset Intervals (IOIs).</w:t>
      </w:r>
    </w:p>
    <w:p>
      <w:pPr>
        <w:pStyle w:val="FirstParagraph"/>
      </w:pPr>
      <w:r>
        <w:t xml:space="preserve">In order to compare the mean IOIs between the teaching and performing condition, we conducted a Wiscoxon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Wiscoxon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185.24 (ms),</w:t>
      </w:r>
      <w:r>
        <w:t xml:space="preserve"> </w:t>
      </w:r>
      <w:r>
        <w:rPr>
          <w:iCs/>
          <w:i/>
        </w:rPr>
        <w:t xml:space="preserve">IQR</w:t>
      </w:r>
      <w:r>
        <w:t xml:space="preserve"> </w:t>
      </w:r>
      <w:r>
        <w:t xml:space="preserve">= 19.32] while playing the piece with the notated articulation (</w:t>
      </w:r>
      <w:r>
        <w:rPr>
          <w:iCs/>
          <w:i/>
        </w:rPr>
        <w:t xml:space="preserve">p</w:t>
      </w:r>
      <w:r>
        <w:t xml:space="preserve"> </w:t>
      </w:r>
      <w:r>
        <w:t xml:space="preserve">= 0.021;</w:t>
      </w:r>
      <w:r>
        <w:t xml:space="preserve"> </w:t>
      </w:r>
      <w:r>
        <w:rPr>
          <w:iCs/>
          <w:i/>
        </w:rPr>
        <w:t xml:space="preserve">Figure</w:t>
      </w:r>
      <w:r>
        <w:rPr>
          <w:iCs/>
          <w:i/>
        </w:rPr>
        <w:t xml:space="preserve"> </w:t>
      </w:r>
      <w:r>
        <w:t xml:space="preserve">).</w:t>
      </w:r>
    </w:p>
    <w:bookmarkEnd w:id="28"/>
    <w:bookmarkStart w:id="29" w:name="key-overlap-time-kot"/>
    <w:p>
      <w:pPr>
        <w:pStyle w:val="berschrift3"/>
      </w:pPr>
      <w:r>
        <w:rPr>
          <w:rStyle w:val="SectionNumber"/>
        </w:rPr>
        <w:t xml:space="preserve">2.2.2</w:t>
      </w:r>
      <w:r>
        <w:tab/>
      </w:r>
      <w:r>
        <w:t xml:space="preserve">2.2.2. Key-Overlap Time (KOT).</w:t>
      </w:r>
    </w:p>
    <w:p>
      <w:pPr>
        <w:pStyle w:val="FirstParagraph"/>
      </w:pPr>
      <w:r>
        <w:t xml:space="preserve">A two-way repeated-measures ANOVA with the factors Condition (teaching vs. performing) and Subcomponent-LS (legato vs. staccato) revealed that there was a significant main effect of Subcomponent-LS (</w:t>
      </w:r>
      <w:r>
        <w:rPr>
          <w:iCs/>
          <w:i/>
        </w:rPr>
        <w:t xml:space="preserve">F</w:t>
      </w:r>
      <w:r>
        <w:t xml:space="preserve">(1,30) = 1158,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Subcomponent-LS (</w:t>
      </w:r>
      <w:r>
        <w:rPr>
          <w:iCs/>
          <w:i/>
        </w:rPr>
        <w:t xml:space="preserve">F</w:t>
      </w:r>
      <w:r>
        <w:t xml:space="preserve">(1,30) = 8.31,</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0.011;</w:t>
      </w:r>
      <w:r>
        <w:t xml:space="preserve"> </w:t>
      </w:r>
      <w:r>
        <w:rPr>
          <w:iCs/>
          <w:i/>
        </w:rPr>
        <w:t xml:space="preserve">Figure</w:t>
      </w:r>
      <w:r>
        <w:rPr>
          <w:iCs/>
          <w:i/>
        </w:rPr>
        <w:t xml:space="preserve"> </w:t>
      </w:r>
      <w:r>
        <w:t xml:space="preserve">). Post-hoc comparisons based on the estimated marginal means with Tukey adjustment showed that participants produced shorter staccato in the teaching condition [</w:t>
      </w:r>
      <w:r>
        <w:rPr>
          <w:iCs/>
          <w:i/>
        </w:rPr>
        <w:t xml:space="preserve">M</w:t>
      </w:r>
      <w:r>
        <w:t xml:space="preserve"> </w:t>
      </w:r>
      <w:r>
        <w:t xml:space="preserve">= -134.03 (ms),</w:t>
      </w:r>
      <w:r>
        <w:t xml:space="preserve"> </w:t>
      </w:r>
      <w:r>
        <w:rPr>
          <w:iCs/>
          <w:i/>
        </w:rPr>
        <w:t xml:space="preserve">SD</w:t>
      </w:r>
      <w:r>
        <w:t xml:space="preserve"> </w:t>
      </w:r>
      <w:r>
        <w:t xml:space="preserve">= 19.86] than in the performing condition [</w:t>
      </w:r>
      <w:r>
        <w:rPr>
          <w:iCs/>
          <w:i/>
        </w:rPr>
        <w:t xml:space="preserve">M</w:t>
      </w:r>
      <w:r>
        <w:t xml:space="preserve"> </w:t>
      </w:r>
      <w:r>
        <w:t xml:space="preserve">= -128.35 (ms),</w:t>
      </w:r>
      <w:r>
        <w:t xml:space="preserve"> </w:t>
      </w:r>
      <w:r>
        <w:rPr>
          <w:iCs/>
          <w:i/>
        </w:rPr>
        <w:t xml:space="preserve">SD</w:t>
      </w:r>
      <w:r>
        <w:t xml:space="preserve"> </w:t>
      </w:r>
      <w:r>
        <w:t xml:space="preserve">= 20.80] (</w:t>
      </w:r>
      <w:r>
        <w:rPr>
          <w:iCs/>
          <w:i/>
        </w:rPr>
        <w:t xml:space="preserve">p</w:t>
      </w:r>
      <w:r>
        <w:t xml:space="preserve"> </w:t>
      </w:r>
      <w:r>
        <w:t xml:space="preserve">= 0.004) while there was no significant difference in legato between the teaching [</w:t>
      </w:r>
      <w:r>
        <w:rPr>
          <w:iCs/>
          <w:i/>
        </w:rPr>
        <w:t xml:space="preserve">M</w:t>
      </w:r>
      <w:r>
        <w:t xml:space="preserve"> </w:t>
      </w:r>
      <w:r>
        <w:t xml:space="preserve">= 15.91 (ms),</w:t>
      </w:r>
      <w:r>
        <w:t xml:space="preserve"> </w:t>
      </w:r>
      <w:r>
        <w:rPr>
          <w:iCs/>
          <w:i/>
        </w:rPr>
        <w:t xml:space="preserve">SD</w:t>
      </w:r>
      <w:r>
        <w:t xml:space="preserve"> </w:t>
      </w:r>
      <w:r>
        <w:t xml:space="preserve">= 15.49] and performing condition[</w:t>
      </w:r>
      <w:r>
        <w:rPr>
          <w:iCs/>
          <w:i/>
        </w:rPr>
        <w:t xml:space="preserve">M</w:t>
      </w:r>
      <w:r>
        <w:t xml:space="preserve"> </w:t>
      </w:r>
      <w:r>
        <w:t xml:space="preserve">= 14.00 (ms),</w:t>
      </w:r>
      <w:r>
        <w:t xml:space="preserve"> </w:t>
      </w:r>
      <w:r>
        <w:rPr>
          <w:iCs/>
          <w:i/>
        </w:rPr>
        <w:t xml:space="preserve">SD</w:t>
      </w:r>
      <w:r>
        <w:t xml:space="preserve"> </w:t>
      </w:r>
      <w:r>
        <w:t xml:space="preserve">= 17.01] (</w:t>
      </w:r>
      <w:r>
        <w:rPr>
          <w:iCs/>
          <w:i/>
        </w:rPr>
        <w:t xml:space="preserve">p</w:t>
      </w:r>
      <w:r>
        <w:t xml:space="preserve"> </w:t>
      </w:r>
      <w:r>
        <w:t xml:space="preserve">= 0.32).</w:t>
      </w:r>
    </w:p>
    <w:bookmarkEnd w:id="29"/>
    <w:bookmarkStart w:id="30" w:name="key-velocity-kv"/>
    <w:p>
      <w:pPr>
        <w:pStyle w:val="berschrift3"/>
      </w:pPr>
      <w:r>
        <w:rPr>
          <w:rStyle w:val="SectionNumber"/>
        </w:rPr>
        <w:t xml:space="preserve">2.2.3</w:t>
      </w:r>
      <w:r>
        <w:tab/>
      </w:r>
      <w:r>
        <w:t xml:space="preserve">2.2.3. Key Velocity (KV).</w:t>
      </w:r>
    </w:p>
    <w:p>
      <w:pPr>
        <w:pStyle w:val="FirstParagraph"/>
      </w:pPr>
      <w:r>
        <w:t xml:space="preserve">A two-way repeated-measures ANOVA with the factors Condition (teaching vs. performing) and Subcomponent-LS (legato vs. staccato) showed that there was a significant interaction between Condition and Subcomponent-LS (</w:t>
      </w:r>
      <w:r>
        <w:rPr>
          <w:iCs/>
          <w:i/>
        </w:rPr>
        <w:t xml:space="preserve">F</w:t>
      </w:r>
      <w:r>
        <w:t xml:space="preserve">(1,30) = 7.38,</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Figure</w:t>
      </w:r>
      <w:r>
        <w:rPr>
          <w:iCs/>
          <w:i/>
        </w:rPr>
        <w:t xml:space="preserve"> </w:t>
      </w:r>
      <w:r>
        <w:t xml:space="preserve">). However, post-hoc comparisons based on the estimated marginal means with Tukey adjustment failed to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6.45, Staccato;</w:t>
      </w:r>
      <w:r>
        <w:t xml:space="preserve"> </w:t>
      </w:r>
      <w:r>
        <w:rPr>
          <w:iCs/>
          <w:i/>
        </w:rPr>
        <w:t xml:space="preserve">M</w:t>
      </w:r>
      <w:r>
        <w:t xml:space="preserve"> </w:t>
      </w:r>
      <w:r>
        <w:t xml:space="preserve">= 72.01,</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5.84, Staccato;</w:t>
      </w:r>
      <w:r>
        <w:t xml:space="preserve"> </w:t>
      </w:r>
      <w:r>
        <w:rPr>
          <w:iCs/>
          <w:i/>
        </w:rPr>
        <w:t xml:space="preserve">M</w:t>
      </w:r>
      <w:r>
        <w:t xml:space="preserve"> </w:t>
      </w:r>
      <w:r>
        <w:t xml:space="preserve">= 70.42,</w:t>
      </w:r>
      <w:r>
        <w:t xml:space="preserve"> </w:t>
      </w:r>
      <w:r>
        <w:rPr>
          <w:iCs/>
          <w:i/>
        </w:rPr>
        <w:t xml:space="preserve">SD</w:t>
      </w:r>
      <w:r>
        <w:t xml:space="preserve"> </w:t>
      </w:r>
      <w:r>
        <w:t xml:space="preserve">= 7.96] for each subcomponent (Legato;</w:t>
      </w:r>
      <w:r>
        <w:t xml:space="preserve"> </w:t>
      </w:r>
      <w:r>
        <w:rPr>
          <w:iCs/>
          <w:i/>
        </w:rPr>
        <w:t xml:space="preserve">p</w:t>
      </w:r>
      <w:r>
        <w:t xml:space="preserve"> </w:t>
      </w:r>
      <w:r>
        <w:t xml:space="preserve">= 0.70, Staccato;</w:t>
      </w:r>
      <w:r>
        <w:t xml:space="preserve"> </w:t>
      </w:r>
      <w:r>
        <w:rPr>
          <w:iCs/>
          <w:i/>
        </w:rPr>
        <w:t xml:space="preserve">p</w:t>
      </w:r>
      <w:r>
        <w:t xml:space="preserve"> </w:t>
      </w:r>
      <w:r>
        <w:t xml:space="preserve">= 0.07).</w:t>
      </w:r>
    </w:p>
    <w:bookmarkEnd w:id="30"/>
    <w:bookmarkEnd w:id="31"/>
    <w:bookmarkStart w:id="36" w:name="results-dynamics"/>
    <w:p>
      <w:pPr>
        <w:pStyle w:val="berschrift2"/>
      </w:pPr>
      <w:r>
        <w:rPr>
          <w:rStyle w:val="SectionNumber"/>
        </w:rPr>
        <w:t xml:space="preserve">2.3</w:t>
      </w:r>
      <w:r>
        <w:tab/>
      </w:r>
      <w:r>
        <w:t xml:space="preserve">2.3. Results (Dynamics)</w:t>
      </w:r>
    </w:p>
    <w:bookmarkStart w:id="32" w:name="interonset-intervals-iois-1"/>
    <w:p>
      <w:pPr>
        <w:pStyle w:val="berschrift3"/>
      </w:pPr>
      <w:r>
        <w:rPr>
          <w:rStyle w:val="SectionNumber"/>
        </w:rPr>
        <w:t xml:space="preserve">2.3.1</w:t>
      </w:r>
      <w:r>
        <w:tab/>
      </w:r>
      <w:r>
        <w:t xml:space="preserve">2.3.1. Interonset Intervals (IOIs).</w:t>
      </w:r>
    </w:p>
    <w:p>
      <w:pPr>
        <w:pStyle w:val="FirstParagraph"/>
      </w:pPr>
      <w:r>
        <w:t xml:space="preserve">The Wiscoxon Signed-rank test revealed no significant difference between the teaching condition [</w:t>
      </w:r>
      <w:r>
        <w:rPr>
          <w:iCs/>
          <w:i/>
        </w:rPr>
        <w:t xml:space="preserve">Mdn</w:t>
      </w:r>
      <w:r>
        <w:t xml:space="preserve"> </w:t>
      </w:r>
      <w:r>
        <w:t xml:space="preserve">= 186.29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19.58] while playing the piece with the notated dynamics (</w:t>
      </w:r>
      <w:r>
        <w:rPr>
          <w:iCs/>
          <w:i/>
        </w:rPr>
        <w:t xml:space="preserve">p</w:t>
      </w:r>
      <w:r>
        <w:t xml:space="preserve"> </w:t>
      </w:r>
      <w:r>
        <w:t xml:space="preserve">= 0.111;</w:t>
      </w:r>
      <w:r>
        <w:t xml:space="preserve"> </w:t>
      </w:r>
      <w:r>
        <w:rPr>
          <w:iCs/>
          <w:i/>
        </w:rPr>
        <w:t xml:space="preserve">Figure</w:t>
      </w:r>
      <w:r>
        <w:rPr>
          <w:iCs/>
          <w:i/>
        </w:rPr>
        <w:t xml:space="preserve"> </w:t>
      </w:r>
      <w:r>
        <w:t xml:space="preserve">).</w:t>
      </w:r>
    </w:p>
    <w:bookmarkEnd w:id="32"/>
    <w:bookmarkStart w:id="33" w:name="key-velocity-kv-1"/>
    <w:p>
      <w:pPr>
        <w:pStyle w:val="berschrift3"/>
      </w:pPr>
      <w:r>
        <w:rPr>
          <w:rStyle w:val="SectionNumber"/>
        </w:rPr>
        <w:t xml:space="preserve">2.3.2</w:t>
      </w:r>
      <w:r>
        <w:tab/>
      </w:r>
      <w:r>
        <w:t xml:space="preserve">2.3.2. Key Velocity (KV).</w:t>
      </w:r>
    </w:p>
    <w:p>
      <w:pPr>
        <w:pStyle w:val="FirstParagraph"/>
      </w:pPr>
      <w:r>
        <w:t xml:space="preserve">A two-way repeated-measures ANOVA with the factors Condition (teaching vs. performing) and Subcomponent-FP (forte vs. piano) showed that there was a significant main effect of Subcomponent-FP (</w:t>
      </w:r>
      <w:r>
        <w:rPr>
          <w:iCs/>
          <w:i/>
        </w:rPr>
        <w:t xml:space="preserve">F</w:t>
      </w:r>
      <w:r>
        <w:t xml:space="preserve">(1,30) = 370,</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Subcomponent-FP (</w:t>
      </w:r>
      <w:r>
        <w:rPr>
          <w:iCs/>
          <w:i/>
        </w:rPr>
        <w:t xml:space="preserve">F</w:t>
      </w:r>
      <w:r>
        <w:t xml:space="preserve">(1,30) = 6.80,</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Figure</w:t>
      </w:r>
      <w:r>
        <w:rPr>
          <w:iCs/>
          <w:i/>
        </w:rPr>
        <w:t xml:space="preserve"> </w:t>
      </w:r>
      <w:r>
        <w:t xml:space="preserve">). Post-hoc comparisons based on the estimated marginal means with Tukey adjustment revealed that participants produced louder forte in the teaching condition [</w:t>
      </w:r>
      <w:r>
        <w:rPr>
          <w:iCs/>
          <w:i/>
        </w:rPr>
        <w:t xml:space="preserve">M</w:t>
      </w:r>
      <w:r>
        <w:t xml:space="preserve"> </w:t>
      </w:r>
      <w:r>
        <w:t xml:space="preserve">= 82.78,</w:t>
      </w:r>
      <w:r>
        <w:t xml:space="preserve"> </w:t>
      </w:r>
      <w:r>
        <w:rPr>
          <w:iCs/>
          <w:i/>
        </w:rPr>
        <w:t xml:space="preserve">SD</w:t>
      </w:r>
      <w:r>
        <w:t xml:space="preserve"> </w:t>
      </w:r>
      <w:r>
        <w:t xml:space="preserve">= 8.30] than in the performing condition [</w:t>
      </w:r>
      <w:r>
        <w:rPr>
          <w:iCs/>
          <w:i/>
        </w:rPr>
        <w:t xml:space="preserve">M</w:t>
      </w:r>
      <w:r>
        <w:t xml:space="preserve"> </w:t>
      </w:r>
      <w:r>
        <w:t xml:space="preserve">= 81.66,</w:t>
      </w:r>
      <w:r>
        <w:t xml:space="preserve"> </w:t>
      </w:r>
      <w:r>
        <w:rPr>
          <w:iCs/>
          <w:i/>
        </w:rPr>
        <w:t xml:space="preserve">SD</w:t>
      </w:r>
      <w:r>
        <w:t xml:space="preserve"> </w:t>
      </w:r>
      <w:r>
        <w:t xml:space="preserve">= 7.43] (</w:t>
      </w:r>
      <w:r>
        <w:rPr>
          <w:iCs/>
          <w:i/>
        </w:rPr>
        <w:t xml:space="preserve">p</w:t>
      </w:r>
      <w:r>
        <w:t xml:space="preserve"> </w:t>
      </w:r>
      <w:r>
        <w:t xml:space="preserve">= 0.021) while there was no significant difference in piano between the teaching [</w:t>
      </w:r>
      <w:r>
        <w:rPr>
          <w:iCs/>
          <w:i/>
        </w:rPr>
        <w:t xml:space="preserve">M</w:t>
      </w:r>
      <w:r>
        <w:t xml:space="preserve"> </w:t>
      </w:r>
      <w:r>
        <w:t xml:space="preserve">= 60.63,</w:t>
      </w:r>
      <w:r>
        <w:t xml:space="preserve"> </w:t>
      </w:r>
      <w:r>
        <w:rPr>
          <w:iCs/>
          <w:i/>
        </w:rPr>
        <w:t xml:space="preserve">SD</w:t>
      </w:r>
      <w:r>
        <w:t xml:space="preserve"> </w:t>
      </w:r>
      <w:r>
        <w:t xml:space="preserve">= 5.07] and performing condition[</w:t>
      </w:r>
      <w:r>
        <w:rPr>
          <w:iCs/>
          <w:i/>
        </w:rPr>
        <w:t xml:space="preserve">M</w:t>
      </w:r>
      <w:r>
        <w:t xml:space="preserve"> </w:t>
      </w:r>
      <w:r>
        <w:t xml:space="preserve">= 60.99,</w:t>
      </w:r>
      <w:r>
        <w:t xml:space="preserve"> </w:t>
      </w:r>
      <w:r>
        <w:rPr>
          <w:iCs/>
          <w:i/>
        </w:rPr>
        <w:t xml:space="preserve">SD</w:t>
      </w:r>
      <w:r>
        <w:t xml:space="preserve"> </w:t>
      </w:r>
      <w:r>
        <w:t xml:space="preserve">= 4.40] (</w:t>
      </w:r>
      <w:r>
        <w:rPr>
          <w:iCs/>
          <w:i/>
        </w:rPr>
        <w:t xml:space="preserve">p</w:t>
      </w:r>
      <w:r>
        <w:t xml:space="preserve"> </w:t>
      </w:r>
      <w:r>
        <w:t xml:space="preserve">= 0.45).</w:t>
      </w:r>
    </w:p>
    <w:bookmarkEnd w:id="33"/>
    <w:bookmarkStart w:id="34" w:name="kv-transition-points"/>
    <w:p>
      <w:pPr>
        <w:pStyle w:val="berschrift3"/>
      </w:pPr>
      <w:r>
        <w:rPr>
          <w:rStyle w:val="SectionNumber"/>
        </w:rPr>
        <w:t xml:space="preserve">2.3.3</w:t>
      </w:r>
      <w:r>
        <w:tab/>
      </w:r>
      <w:r>
        <w:t xml:space="preserve">2.3.3. 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in order to make a contrast between forte and piano. We calculated a KV difference for each interval by subtracting the KV value of the current note from that of the following note. Outliers were also removed with the same criteria for other dependent variables and less than 5 % were excluded from data analysis. A two-way repeated-measures ANOVA with the factors Condition (teaching vs. performing) and Subcomponent-FP (FtoP vs. PtoF) showed that there was a significant main effect of Subcomponent-FP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of Condition and Subcomponent-FP (</w:t>
      </w:r>
      <w:r>
        <w:rPr>
          <w:iCs/>
          <w:i/>
        </w:rPr>
        <w:t xml:space="preserve">F</w:t>
      </w:r>
      <w:r>
        <w:t xml:space="preserve">(1,30) = 25.74,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0.032;</w:t>
      </w:r>
      <w:r>
        <w:t xml:space="preserve"> </w:t>
      </w:r>
      <w:r>
        <w:rPr>
          <w:iCs/>
          <w:i/>
        </w:rPr>
        <w:t xml:space="preserve">Figure</w:t>
      </w:r>
      <w:r>
        <w:rPr>
          <w:iCs/>
          <w:i/>
        </w:rPr>
        <w:t xml:space="preserve"> </w:t>
      </w:r>
      <w:r>
        <w:t xml:space="preserve">). Post-hoc comparisons based on the estimated marginal means with Tukey adjustment showed that there was a larger KV difference when the expressive notation changed from forte to piano and from piano to forte in the teaching condition [FtoP;</w:t>
      </w:r>
      <w:r>
        <w:t xml:space="preserve"> </w:t>
      </w:r>
      <w:r>
        <w:rPr>
          <w:iCs/>
          <w:i/>
        </w:rPr>
        <w:t xml:space="preserve">M</w:t>
      </w:r>
      <w:r>
        <w:t xml:space="preserve"> </w:t>
      </w:r>
      <w:r>
        <w:t xml:space="preserve">= -14.06,</w:t>
      </w:r>
      <w:r>
        <w:t xml:space="preserve"> </w:t>
      </w:r>
      <w:r>
        <w:rPr>
          <w:iCs/>
          <w:i/>
        </w:rPr>
        <w:t xml:space="preserve">SD</w:t>
      </w:r>
      <w:r>
        <w:t xml:space="preserve"> </w:t>
      </w:r>
      <w:r>
        <w:t xml:space="preserve">= 7.20, PtoF;</w:t>
      </w:r>
      <w:r>
        <w:t xml:space="preserve"> </w:t>
      </w:r>
      <w:r>
        <w:rPr>
          <w:iCs/>
          <w:i/>
        </w:rPr>
        <w:t xml:space="preserve">M</w:t>
      </w:r>
      <w:r>
        <w:t xml:space="preserve"> </w:t>
      </w:r>
      <w:r>
        <w:t xml:space="preserve">= 24.26,</w:t>
      </w:r>
      <w:r>
        <w:t xml:space="preserve"> </w:t>
      </w:r>
      <w:r>
        <w:rPr>
          <w:iCs/>
          <w:i/>
        </w:rPr>
        <w:t xml:space="preserve">SD</w:t>
      </w:r>
      <w:r>
        <w:t xml:space="preserve"> </w:t>
      </w:r>
      <w:r>
        <w:t xml:space="preserve">= 9.75] than in the performing condition [FtoP;</w:t>
      </w:r>
      <w:r>
        <w:t xml:space="preserve"> </w:t>
      </w:r>
      <w:r>
        <w:rPr>
          <w:iCs/>
          <w:i/>
        </w:rPr>
        <w:t xml:space="preserve">M</w:t>
      </w:r>
      <w:r>
        <w:t xml:space="preserve"> </w:t>
      </w:r>
      <w:r>
        <w:t xml:space="preserve">= -11.69,</w:t>
      </w:r>
      <w:r>
        <w:t xml:space="preserve"> </w:t>
      </w:r>
      <w:r>
        <w:rPr>
          <w:iCs/>
          <w:i/>
        </w:rPr>
        <w:t xml:space="preserve">SD</w:t>
      </w:r>
      <w:r>
        <w:t xml:space="preserve"> </w:t>
      </w:r>
      <w:r>
        <w:t xml:space="preserve">= 5.97, PtoF;</w:t>
      </w:r>
      <w:r>
        <w:t xml:space="preserve"> </w:t>
      </w:r>
      <w:r>
        <w:rPr>
          <w:iCs/>
          <w:i/>
        </w:rPr>
        <w:t xml:space="preserve">M</w:t>
      </w:r>
      <w:r>
        <w:t xml:space="preserve"> </w:t>
      </w:r>
      <w:r>
        <w:t xml:space="preserve">= 20.88,</w:t>
      </w:r>
      <w:r>
        <w:t xml:space="preserve"> </w:t>
      </w:r>
      <w:r>
        <w:rPr>
          <w:iCs/>
          <w:i/>
        </w:rPr>
        <w:t xml:space="preserve">SD</w:t>
      </w:r>
      <w:r>
        <w:t xml:space="preserve"> </w:t>
      </w:r>
      <w:r>
        <w:t xml:space="preserve">= 8.67] (FtoP;</w:t>
      </w:r>
      <w:r>
        <w:t xml:space="preserve"> </w:t>
      </w:r>
      <w:r>
        <w:rPr>
          <w:iCs/>
          <w:i/>
        </w:rPr>
        <w:t xml:space="preserve">p</w:t>
      </w:r>
      <w:r>
        <w:t xml:space="preserve"> </w:t>
      </w:r>
      <w:r>
        <w:t xml:space="preserve">= 0.002, PtoF;</w:t>
      </w:r>
      <w:r>
        <w:t xml:space="preserve"> </w:t>
      </w:r>
      <w:r>
        <w:rPr>
          <w:iCs/>
          <w:i/>
        </w:rPr>
        <w:t xml:space="preserve">p</w:t>
      </w:r>
      <w:r>
        <w:t xml:space="preserve"> </w:t>
      </w:r>
      <w:r>
        <w:t xml:space="preserve">&lt; 0.001).</w:t>
      </w:r>
    </w:p>
    <w:bookmarkEnd w:id="34"/>
    <w:bookmarkStart w:id="35" w:name="key-overlap-time-kot-1"/>
    <w:p>
      <w:pPr>
        <w:pStyle w:val="berschrift3"/>
      </w:pPr>
      <w:r>
        <w:rPr>
          <w:rStyle w:val="SectionNumber"/>
        </w:rPr>
        <w:t xml:space="preserve">2.3.4</w:t>
      </w:r>
      <w:r>
        <w:tab/>
      </w:r>
      <w:r>
        <w:t xml:space="preserve">2.3.4. Key-Overlap Time (KOT).</w:t>
      </w:r>
    </w:p>
    <w:p>
      <w:pPr>
        <w:pStyle w:val="FirstParagraph"/>
      </w:pPr>
      <w:r>
        <w:t xml:space="preserve">A two-way repeated-measures ANOVA with the factors Condition (teaching vs. performing) and Subcomponent-FP (forte vs. piano) revealed that there was a significant main effect of Subcomponent-FP (</w:t>
      </w:r>
      <w:r>
        <w:rPr>
          <w:iCs/>
          <w:i/>
        </w:rPr>
        <w:t xml:space="preserve">F</w:t>
      </w:r>
      <w:r>
        <w:t xml:space="preserve">(1,30) = 377,</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0.31;</w:t>
      </w:r>
      <w:r>
        <w:t xml:space="preserve"> </w:t>
      </w:r>
      <w:r>
        <w:rPr>
          <w:iCs/>
          <w:i/>
        </w:rPr>
        <w:t xml:space="preserve">Figure</w:t>
      </w:r>
      <w:r>
        <w:rPr>
          <w:iCs/>
          <w:i/>
        </w:rPr>
        <w:t xml:space="preserve"> </w:t>
      </w:r>
      <w:r>
        <w:t xml:space="preserve">), reflecting more key overlap for forte notes compared to piano notes. Neither the main effect of Condition (</w:t>
      </w:r>
      <w:r>
        <w:rPr>
          <w:iCs/>
          <w:i/>
        </w:rPr>
        <w:t xml:space="preserve">F</w:t>
      </w:r>
      <w:r>
        <w:t xml:space="preserve">(1,30) = 0.42,</w:t>
      </w:r>
      <w:r>
        <w:t xml:space="preserve"> </w:t>
      </w:r>
      <w:r>
        <w:rPr>
          <w:iCs/>
          <w:i/>
        </w:rPr>
        <w:t xml:space="preserve">p</w:t>
      </w:r>
      <w:r>
        <w:t xml:space="preserve"> </w:t>
      </w:r>
      <w:r>
        <w:t xml:space="preserve">= 0.520,</w:t>
      </w:r>
      <w:r>
        <w:t xml:space="preserve"> </w:t>
      </w:r>
      <m:oMath>
        <m:sSubSup>
          <m:e>
            <m:r>
              <m:t>η</m:t>
            </m:r>
          </m:e>
          <m:sub>
            <m:r>
              <m:t>G</m:t>
            </m:r>
          </m:sub>
          <m:sup>
            <m:r>
              <m:t>2</m:t>
            </m:r>
          </m:sup>
        </m:sSubSup>
      </m:oMath>
      <w:r>
        <w:t xml:space="preserve"> </w:t>
      </w:r>
      <w:r>
        <w:t xml:space="preserve">= 0.00) nor the interaction between Condition and Subcomponent-FP (</w:t>
      </w:r>
      <w:r>
        <w:rPr>
          <w:iCs/>
          <w:i/>
        </w:rPr>
        <w:t xml:space="preserve">F</w:t>
      </w:r>
      <w:r>
        <w:t xml:space="preserve">(1,30) = 0.000,</w:t>
      </w:r>
      <w:r>
        <w:t xml:space="preserve"> </w:t>
      </w:r>
      <w:r>
        <w:rPr>
          <w:iCs/>
          <w:i/>
        </w:rPr>
        <w:t xml:space="preserve">p</w:t>
      </w:r>
      <w:r>
        <w:t xml:space="preserve"> </w:t>
      </w:r>
      <w:r>
        <w:t xml:space="preserve">= 0.99,</w:t>
      </w:r>
      <w:r>
        <w:t xml:space="preserve"> </w:t>
      </w:r>
      <m:oMath>
        <m:sSubSup>
          <m:e>
            <m:r>
              <m:t>η</m:t>
            </m:r>
          </m:e>
          <m:sub>
            <m:r>
              <m:t>G</m:t>
            </m:r>
          </m:sub>
          <m:sup>
            <m:r>
              <m:t>2</m:t>
            </m:r>
          </m:sup>
        </m:sSubSup>
      </m:oMath>
      <w:r>
        <w:t xml:space="preserve"> </w:t>
      </w:r>
      <w:r>
        <w:t xml:space="preserve">= 0.000).</w:t>
      </w:r>
    </w:p>
    <w:bookmarkEnd w:id="35"/>
    <w:bookmarkEnd w:id="36"/>
    <w:bookmarkStart w:id="40" w:name="discussion"/>
    <w:p>
      <w:pPr>
        <w:pStyle w:val="berschrift2"/>
      </w:pPr>
      <w:r>
        <w:rPr>
          <w:rStyle w:val="SectionNumber"/>
        </w:rPr>
        <w:t xml:space="preserve">2.4</w:t>
      </w:r>
      <w:r>
        <w:tab/>
      </w:r>
      <w:r>
        <w:t xml:space="preserve">2.4. Discussion</w:t>
      </w:r>
    </w:p>
    <w:p>
      <w:pPr>
        <w:pStyle w:val="FirstParagraph"/>
      </w:pPr>
      <w:r>
        <w:t xml:space="preserve">The findings from Experiment 1 indicated that skilled pianists were able to modify their performance for teaching purposes. For IOIs (tempo), we found a small but significant difference only when playing the piece with the notated articulation. This could be due to the leading metronome, which was given prior to each performance. As participants tried to follow the ideal tempo through their performances, it was possible that there was only a tiny difference between the two conditions. Another possibility could be that slower performance may be more or only beneficial to highlight the relation between two notes (i.e. to what extent two notes overlap) when teaching articulation whereas such relation was irrelevant when teaching dynamics. With regard to KOT (articulation) and KV (dynamics), participants successfully highlight the relevant aspects of the techniques. Specifically, they produced shorter staccato when teaching articulation and produced louder forte when teaching dynamics. Moreover, our exploratory analysis demonstrated that participants made a larger contrast in dynamics at transition points where one of two subcomponents moved to the other (i.e., forte to piano or piano to forte). Importantly, participants did not modulate their performance in term of irrelevant aspects of the techniques for teaching purposes (e.g., modulating the smoothness of sound while teaching dynamics). These findings confirmed that participants modulated their performance in systematic and fine-grained ways in order to teach expressive techniques in a simple musical scale.</w:t>
      </w:r>
    </w:p>
    <w:p>
      <w:pPr>
        <w:pStyle w:val="Textkrper"/>
      </w:pPr>
      <w:r>
        <w:t xml:space="preserve">One of the limitations of Experiment 1 is that we employed a simple musical scale, which was suitable to gain an experimental control. However the stimulus was not a naturalistic piece to implement artistic expressions. In Experiment 2, we chose one piece of music from actual piano pieces and modified it for the purpose of the experiment. We predict that participants will played more slowly regardless of the techniques to be taught or only when teaching articulation based on the finding from Experiment 1. Also, we expect that participants will be able to highlight only the relevant aspects of the techniques to be taught. More precisely, they should be able to produce longer legato and shorter staccato while teaching articulation. When teaching dynamics, they should be able to produce louder forte and softer piano. Given the findings we observed in Experiment 1, participants will make a larger contrast between forte and piano at transition points.</w:t>
      </w:r>
    </w:p>
    <w:p>
      <w:pPr>
        <w:pStyle w:val="CaptionedFigure"/>
      </w:pPr>
      <w:r>
        <w:drawing>
          <wp:inline>
            <wp:extent cx="5969000" cy="2984500"/>
            <wp:effectExtent b="0" l="0" r="0" t="0"/>
            <wp:docPr descr="Figure 2.   Experiment 1: IOIs (m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ioi-1-1.png" id="0" name="Picture"/>
                    <pic:cNvPicPr>
                      <a:picLocks noChangeArrowheads="1" noChangeAspect="1"/>
                    </pic:cNvPicPr>
                  </pic:nvPicPr>
                  <pic:blipFill>
                    <a:blip r:embed="rId37"/>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Experiment 1: IOIs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kot-1-1.png" id="0" name="Picture"/>
                    <pic:cNvPicPr>
                      <a:picLocks noChangeArrowheads="1" noChangeAspect="1"/>
                    </pic:cNvPicPr>
                  </pic:nvPicPr>
                  <pic:blipFill>
                    <a:blip r:embed="rId3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1-1.png" id="0" name="Picture"/>
                    <pic:cNvPicPr>
                      <a:picLocks noChangeArrowheads="1" noChangeAspect="1"/>
                    </pic:cNvPicPr>
                  </pic:nvPicPr>
                  <pic:blipFill>
                    <a:blip r:embed="rId39"/>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40"/>
    <w:bookmarkEnd w:id="41"/>
    <w:bookmarkStart w:id="62" w:name="experiment-2"/>
    <w:p>
      <w:pPr>
        <w:pStyle w:val="berschrift1"/>
      </w:pPr>
      <w:r>
        <w:rPr>
          <w:rStyle w:val="SectionNumber"/>
        </w:rPr>
        <w:t xml:space="preserve">3</w:t>
      </w:r>
      <w:r>
        <w:tab/>
      </w:r>
      <w:r>
        <w:t xml:space="preserve">3. Experiment 2</w:t>
      </w:r>
    </w:p>
    <w:bookmarkStart w:id="47" w:name="method-1"/>
    <w:p>
      <w:pPr>
        <w:pStyle w:val="berschrift2"/>
      </w:pPr>
      <w:r>
        <w:rPr>
          <w:rStyle w:val="SectionNumber"/>
        </w:rPr>
        <w:t xml:space="preserve">3.1</w:t>
      </w:r>
      <w:r>
        <w:tab/>
      </w:r>
      <w:r>
        <w:t xml:space="preserve">3.1. Method</w:t>
      </w:r>
    </w:p>
    <w:bookmarkStart w:id="42" w:name="participants-1"/>
    <w:p>
      <w:pPr>
        <w:pStyle w:val="berschrift3"/>
      </w:pPr>
      <w:r>
        <w:rPr>
          <w:rStyle w:val="SectionNumber"/>
        </w:rPr>
        <w:t xml:space="preserve">3.1.1</w:t>
      </w:r>
      <w:r>
        <w:tab/>
      </w:r>
      <w:r>
        <w:t xml:space="preserve">3.1.1. Participants.</w:t>
      </w:r>
    </w:p>
    <w:p>
      <w:pPr>
        <w:pStyle w:val="FirstParagraph"/>
      </w:pPr>
      <w:r>
        <w:t xml:space="preserve">We recruited 21 piano experts who already had a degree in (above bachelor or equivalent) in piano performance/teaching or were studying piano performance at a music school at the time of recruitment. For data analysis, we excluded 1 participants due to insufficient motor skills (1) and an overall deviated tempo (1; outside 2 standard deviations from the average tempo across participants). Nineteen participants (9 female) were included in data analysis. Most participants were right-handed (left; 2). They had 15.65 years of practice on average (</w:t>
      </w:r>
      <w:r>
        <w:rPr>
          <w:iCs/>
          <w:i/>
        </w:rPr>
        <w:t xml:space="preserve">SD</w:t>
      </w:r>
      <w:r>
        <w:t xml:space="preserve"> </w:t>
      </w:r>
      <w:r>
        <w:t xml:space="preserve">= 5.67).</w:t>
      </w:r>
    </w:p>
    <w:bookmarkEnd w:id="42"/>
    <w:bookmarkStart w:id="43" w:name="apparatus-and-stimuli-1"/>
    <w:p>
      <w:pPr>
        <w:pStyle w:val="berschrift3"/>
      </w:pPr>
      <w:r>
        <w:rPr>
          <w:rStyle w:val="SectionNumber"/>
        </w:rPr>
        <w:t xml:space="preserve">3.1.2</w:t>
      </w:r>
      <w:r>
        <w:tab/>
      </w:r>
      <w:r>
        <w:t xml:space="preserve">3.1.2. Apparatus and stimuli.</w:t>
      </w:r>
    </w:p>
    <w:p>
      <w:pPr>
        <w:pStyle w:val="FirstParagraph"/>
      </w:pPr>
      <w:r>
        <w:t xml:space="preserve">The same apparatus as Experiment 1 was used. We selected Clementi’s Sonatina Op.36 (No.3) in C major as a stimulus because it contained our targeted expressions (i.e., articulation, dynamics) and was relatively simple in terms of motor skills. The first 12 measures of the original piece was used and modified so that it had the almost equal number of data points for each dependent variable. The stimulus consisted of a 12-measure isochronous melody notated in 4/4 meter. Non-expressive sheet was used for the purpose of practice (</w:t>
      </w:r>
      <w:r>
        <w:rPr>
          <w:iCs/>
          <w:i/>
        </w:rPr>
        <w:t xml:space="preserve">Figure</w:t>
      </w:r>
      <w:r>
        <w:rPr>
          <w:iCs/>
          <w:i/>
        </w:rPr>
        <w:t xml:space="preserve"> </w:t>
      </w:r>
      <w:r>
        <w:rPr>
          <w:iCs/>
          <w:i/>
        </w:rPr>
        <w:t xml:space="preserve">, A</w:t>
      </w:r>
      <w:r>
        <w:t xml:space="preserve">). Expressive notations were added to the non-expressive sheet music for the experiment (</w:t>
      </w:r>
      <w:r>
        <w:rPr>
          <w:iCs/>
          <w:i/>
        </w:rPr>
        <w:t xml:space="preserve">Figure</w:t>
      </w:r>
      <w:r>
        <w:rPr>
          <w:iCs/>
          <w:i/>
        </w:rPr>
        <w:t xml:space="preserve"> </w:t>
      </w:r>
      <w:r>
        <w:rPr>
          <w:iCs/>
          <w:i/>
        </w:rPr>
        <w:t xml:space="preserve">, B-C</w:t>
      </w:r>
      <w:r>
        <w:t xml:space="preserve">). These excerpts were confirmed to be musically natural by a doctoral student in piano performance at Liszt Ferenc Academy of Music in Hungary. The fingering was also assigned and confirmed by the same doctoral student.</w:t>
      </w:r>
    </w:p>
    <w:bookmarkEnd w:id="43"/>
    <w:bookmarkStart w:id="44" w:name="procedure-2"/>
    <w:p>
      <w:pPr>
        <w:pStyle w:val="berschrift3"/>
      </w:pPr>
      <w:r>
        <w:rPr>
          <w:rStyle w:val="SectionNumber"/>
        </w:rPr>
        <w:t xml:space="preserve">3.1.3</w:t>
      </w:r>
      <w:r>
        <w:tab/>
      </w:r>
      <w:r>
        <w:t xml:space="preserve">3.1.3. Procedure.</w:t>
      </w:r>
    </w:p>
    <w:p>
      <w:pPr>
        <w:pStyle w:val="FirstParagraph"/>
      </w:pPr>
      <w:r>
        <w:t xml:space="preserve">We employed the same procedure as Experiment 1 with several modifications. First, all participants were required to memorise the piece without expressive notations (i.e.,</w:t>
      </w:r>
      <w:r>
        <w:t xml:space="preserve"> </w:t>
      </w:r>
      <w:r>
        <w:rPr>
          <w:iCs/>
          <w:i/>
        </w:rPr>
        <w:t xml:space="preserve">Figure</w:t>
      </w:r>
      <w:r>
        <w:rPr>
          <w:iCs/>
          <w:i/>
        </w:rPr>
        <w:t xml:space="preserve"> </w:t>
      </w:r>
      <w:r>
        <w:rPr>
          <w:iCs/>
          <w:i/>
        </w:rPr>
        <w:t xml:space="preserve">, A</w:t>
      </w:r>
      <w:r>
        <w:t xml:space="preserve">) prior to the experiment. Second, we modified the wording of instructions for the performing condition so that both instructions had the same focus on expressive notations (see details in</w:t>
      </w:r>
      <w:r>
        <w:t xml:space="preserve"> </w:t>
      </w:r>
      <w:hyperlink w:anchor="supplemental">
        <w:r>
          <w:rPr>
            <w:rStyle w:val="Hyperlink"/>
            <w:iCs/>
            <w:i/>
          </w:rPr>
          <w:t xml:space="preserve">Supplemental Materials</w:t>
        </w:r>
      </w:hyperlink>
      <w:r>
        <w:t xml:space="preserve">). Third, participants could choose their preferred tempo from one of the 3 options (100, 110 and 120 beats per minute) as a leading metronome. In order to make sure that participants memorised the piece and had sufficient motor skills, we asked participants to perform the piece without looking at the non-expressive sheet music. As Experiment 1, those who could not perform the piece twice consecutively within 5 attempts were excluded from data analysis (as a result, one participant was excluded). The rest of the procedure was identical to Experiment 1.</w:t>
      </w:r>
    </w:p>
    <w:bookmarkEnd w:id="44"/>
    <w:bookmarkStart w:id="46" w:name="design-and-data-analysis"/>
    <w:p>
      <w:pPr>
        <w:pStyle w:val="berschrift3"/>
      </w:pPr>
      <w:r>
        <w:rPr>
          <w:rStyle w:val="SectionNumber"/>
        </w:rPr>
        <w:t xml:space="preserve">3.1.4</w:t>
      </w:r>
      <w:r>
        <w:tab/>
      </w:r>
      <w:r>
        <w:t xml:space="preserve">3.1.4. Design and data analysis.</w:t>
      </w:r>
    </w:p>
    <w:p>
      <w:pPr>
        <w:pStyle w:val="FirstParagraph"/>
      </w:pPr>
      <w:r>
        <w:t xml:space="preserve">Data cleaning, preprocessing and statistical analysis were almost identical as Experiment 1. For statistical analysis, only 8th notes with expressive notations were included. As a result, only one 8th note in the 4th measure without any expression was not included to calculate dependent variables. IOIs were normalised by their preferred tempo because each participant chose different tempi from the 3 options. Key-overlap Ratio (KOR) was calculated by dividing KOT by the mean IOI of each performance in order to normalise KOT due to a different tempo for each participant. Additionally, we include KV difference (i.e., KV difference for each interval) at transition points (i.e., forte to piano or piano to forte) as a dependent variable based on the findings of Experiment 1. Three trials were entirely excluded from data analysis because participants did not follow sheet music. With the same method as Experiment 1, pitch errors were removed manually. For onsets, 3.32% of the trials contained at least one pitch error (extra notes; 1.66%, missing notes; 1.57%, substituted notes; 0.09%). For offsets, 5.11% of the trials contained at least one pitch error (extra notes; 1.66%, missing notes; 1.57%, substituted notes; 1.88%). Removed outliers (i.e., responses outside 3 standard deviations from the mean) were less than 5% of overall responses for each dependent variable.</w:t>
      </w:r>
    </w:p>
    <w:p>
      <w:pPr>
        <w:pStyle w:val="CaptionedFigure"/>
      </w:pPr>
      <w:r>
        <w:drawing>
          <wp:inline>
            <wp:extent cx="5969000" cy="7494277"/>
            <wp:effectExtent b="0" l="0" r="0" t="0"/>
            <wp:docPr descr="Figure 5.   (A)Non-expressive sheet music. (B)Articulation. The curved line (slur) indicates legato and the dots indicate staccato. (C)Dynamics. The symbol f' denotes forte and the symbolp’ denotes piano. For data analysis, only the 8th notes were included." title="" id="1" name="Picture"/>
            <a:graphic>
              <a:graphicData uri="http://schemas.openxmlformats.org/drawingml/2006/picture">
                <pic:pic>
                  <pic:nvPicPr>
                    <pic:cNvPr descr="manuscript_files/figure-docx/stim-2-1.png" id="0" name="Picture"/>
                    <pic:cNvPicPr>
                      <a:picLocks noChangeArrowheads="1" noChangeAspect="1"/>
                    </pic:cNvPicPr>
                  </pic:nvPicPr>
                  <pic:blipFill>
                    <a:blip r:embed="rId45"/>
                    <a:stretch>
                      <a:fillRect/>
                    </a:stretch>
                  </pic:blipFill>
                  <pic:spPr bwMode="auto">
                    <a:xfrm>
                      <a:off x="0" y="0"/>
                      <a:ext cx="5969000" cy="749427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46"/>
    <w:bookmarkEnd w:id="47"/>
    <w:bookmarkStart w:id="51" w:name="results-articulation-1"/>
    <w:p>
      <w:pPr>
        <w:pStyle w:val="berschrift2"/>
      </w:pPr>
      <w:r>
        <w:rPr>
          <w:rStyle w:val="SectionNumber"/>
        </w:rPr>
        <w:t xml:space="preserve">3.2</w:t>
      </w:r>
      <w:r>
        <w:tab/>
      </w:r>
      <w:r>
        <w:t xml:space="preserve">3.2. Results (Articulation)</w:t>
      </w:r>
    </w:p>
    <w:p>
      <w:pPr>
        <w:pStyle w:val="FirstParagraph"/>
      </w:pPr>
      <w:r>
        <w:t xml:space="preserve">As Experiment 1, we first report results for performance of the piece with the notated expression of articulation (</w:t>
      </w:r>
      <w:r>
        <w:rPr>
          <w:iCs/>
          <w:i/>
        </w:rPr>
        <w:t xml:space="preserve">Figure</w:t>
      </w:r>
      <w:r>
        <w:rPr>
          <w:iCs/>
          <w:i/>
        </w:rPr>
        <w:t xml:space="preserve"> </w:t>
      </w:r>
      <w:r>
        <w:rPr>
          <w:iCs/>
          <w:i/>
        </w:rPr>
        <w:t xml:space="preserve">, B</w:t>
      </w:r>
      <w:r>
        <w:t xml:space="preserve">), followed by performance of the piece with the notated expression of dynamics (</w:t>
      </w:r>
      <w:r>
        <w:rPr>
          <w:iCs/>
          <w:i/>
        </w:rPr>
        <w:t xml:space="preserve">Figure</w:t>
      </w:r>
      <w:r>
        <w:rPr>
          <w:iCs/>
          <w:i/>
        </w:rPr>
        <w:t xml:space="preserve"> </w:t>
      </w:r>
      <w:r>
        <w:rPr>
          <w:iCs/>
          <w:i/>
        </w:rPr>
        <w:t xml:space="preserve">, C</w:t>
      </w:r>
      <w:r>
        <w:t xml:space="preserve">).</w:t>
      </w:r>
    </w:p>
    <w:bookmarkStart w:id="48" w:name="interonset-intervals-iois-2"/>
    <w:p>
      <w:pPr>
        <w:pStyle w:val="berschrift3"/>
      </w:pPr>
      <w:r>
        <w:rPr>
          <w:rStyle w:val="SectionNumber"/>
        </w:rPr>
        <w:t xml:space="preserve">3.2.1</w:t>
      </w:r>
      <w:r>
        <w:tab/>
      </w:r>
      <w:r>
        <w:t xml:space="preserve">3.2.1. 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0.042] than in the performing condition [</w:t>
      </w:r>
      <w:r>
        <w:rPr>
          <w:iCs/>
          <w:i/>
        </w:rPr>
        <w:t xml:space="preserve">M</w:t>
      </w:r>
      <w:r>
        <w:t xml:space="preserve"> </w:t>
      </w:r>
      <w:r>
        <w:t xml:space="preserve">= 0.96,</w:t>
      </w:r>
      <w:r>
        <w:t xml:space="preserve"> </w:t>
      </w:r>
      <w:r>
        <w:rPr>
          <w:iCs/>
          <w:i/>
        </w:rPr>
        <w:t xml:space="preserve">SD</w:t>
      </w:r>
      <w:r>
        <w:t xml:space="preserve"> </w:t>
      </w:r>
      <w:r>
        <w:t xml:space="preserve">= 0.034] while playing the piece with notated articulation (</w:t>
      </w:r>
      <w:r>
        <w:rPr>
          <w:iCs/>
          <w:i/>
        </w:rPr>
        <w:t xml:space="preserve">t</w:t>
      </w:r>
      <w:r>
        <w:t xml:space="preserve">(18) = 2.64</w:t>
      </w:r>
      <w:r>
        <w:t xml:space="preserve"> </w:t>
      </w:r>
      <w:r>
        <w:t xml:space="preserve">,</w:t>
      </w:r>
      <w:r>
        <w:t xml:space="preserve"> </w:t>
      </w:r>
      <w:r>
        <w:rPr>
          <w:iCs/>
          <w:i/>
        </w:rPr>
        <w:t xml:space="preserve">p</w:t>
      </w:r>
      <w:r>
        <w:t xml:space="preserve"> </w:t>
      </w:r>
      <w:r>
        <w:t xml:space="preserve">= 0.017;</w:t>
      </w:r>
      <w:r>
        <w:t xml:space="preserve"> </w:t>
      </w:r>
      <w:r>
        <w:rPr>
          <w:iCs/>
          <w:i/>
        </w:rPr>
        <w:t xml:space="preserve">Figure</w:t>
      </w:r>
      <w:r>
        <w:rPr>
          <w:iCs/>
          <w:i/>
        </w:rPr>
        <w:t xml:space="preserve"> </w:t>
      </w:r>
      <w:r>
        <w:t xml:space="preserve">). A Wiscoxon Signed-rank test also confirmed that there was a significant difference between the two condition (</w:t>
      </w:r>
      <w:r>
        <w:rPr>
          <w:iCs/>
          <w:i/>
        </w:rPr>
        <w:t xml:space="preserve">p</w:t>
      </w:r>
      <w:r>
        <w:t xml:space="preserve"> </w:t>
      </w:r>
      <w:r>
        <w:t xml:space="preserve">= 0.026).</w:t>
      </w:r>
    </w:p>
    <w:bookmarkEnd w:id="48"/>
    <w:bookmarkStart w:id="49" w:name="key-overlap-ratio-kor"/>
    <w:p>
      <w:pPr>
        <w:pStyle w:val="berschrift3"/>
      </w:pPr>
      <w:r>
        <w:rPr>
          <w:rStyle w:val="SectionNumber"/>
        </w:rPr>
        <w:t xml:space="preserve">3.2.2</w:t>
      </w:r>
      <w:r>
        <w:tab/>
      </w:r>
      <w:r>
        <w:t xml:space="preserve">3.2.2. Key-Overlap Ratio (KOR).</w:t>
      </w:r>
    </w:p>
    <w:p>
      <w:pPr>
        <w:pStyle w:val="FirstParagraph"/>
      </w:pPr>
      <w:r>
        <w:t xml:space="preserve">A two-way repeated-measures ANOVA with the factors Condition (teaching vs. performing) and Subcomponent-LS (legato vs. staccato) showed that there was a significant main effect of Subcomponent-LS (</w:t>
      </w:r>
      <w:r>
        <w:rPr>
          <w:iCs/>
          <w:i/>
        </w:rPr>
        <w:t xml:space="preserve">F</w:t>
      </w:r>
      <w:r>
        <w:t xml:space="preserve">(1,18) = 2324,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Subcomponent-LS (</w:t>
      </w:r>
      <w:r>
        <w:rPr>
          <w:iCs/>
          <w:i/>
        </w:rPr>
        <w:t xml:space="preserve">F</w:t>
      </w:r>
      <w:r>
        <w:t xml:space="preserve">(1,18) = 6.90,</w:t>
      </w:r>
      <w:r>
        <w:t xml:space="preserve"> </w:t>
      </w:r>
      <w:r>
        <w:rPr>
          <w:iCs/>
          <w:i/>
        </w:rPr>
        <w:t xml:space="preserve">p</w:t>
      </w:r>
      <w:r>
        <w:t xml:space="preserve"> </w:t>
      </w:r>
      <w:r>
        <w:t xml:space="preserve">= 0.017,</w:t>
      </w:r>
      <w:r>
        <w:t xml:space="preserve"> </w:t>
      </w:r>
      <m:oMath>
        <m:sSubSup>
          <m:e>
            <m:r>
              <m:t>η</m:t>
            </m:r>
          </m:e>
          <m:sub>
            <m:r>
              <m:t>G</m:t>
            </m:r>
          </m:sub>
          <m:sup>
            <m:r>
              <m:t>2</m:t>
            </m:r>
          </m:sup>
        </m:sSubSup>
      </m:oMath>
      <w:r>
        <w:t xml:space="preserve"> </w:t>
      </w:r>
      <w:r>
        <w:t xml:space="preserve">= 0.01;</w:t>
      </w:r>
      <w:r>
        <w:t xml:space="preserve"> </w:t>
      </w:r>
      <w:r>
        <w:rPr>
          <w:iCs/>
          <w:i/>
        </w:rPr>
        <w:t xml:space="preserve">Figure</w:t>
      </w:r>
      <w:r>
        <w:rPr>
          <w:iCs/>
          <w:i/>
        </w:rPr>
        <w:t xml:space="preserve"> </w:t>
      </w:r>
      <w:r>
        <w:t xml:space="preserve">). Post-hoc comparisons based on the estimated marginal means with Tukey adjustment showed that participants produced shorter staccato in the teaching condition [</w:t>
      </w:r>
      <w:r>
        <w:rPr>
          <w:iCs/>
          <w:i/>
        </w:rPr>
        <w:t xml:space="preserve">M</w:t>
      </w:r>
      <w:r>
        <w:t xml:space="preserve"> </w:t>
      </w:r>
      <w:r>
        <w:t xml:space="preserve">= -0.77,</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0.001) while there was no significant difference in legato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0.85).</w:t>
      </w:r>
    </w:p>
    <w:bookmarkEnd w:id="49"/>
    <w:bookmarkStart w:id="50" w:name="key-velocity-kv-2"/>
    <w:p>
      <w:pPr>
        <w:pStyle w:val="berschrift3"/>
      </w:pPr>
      <w:r>
        <w:rPr>
          <w:rStyle w:val="SectionNumber"/>
        </w:rPr>
        <w:t xml:space="preserve">3.2.3</w:t>
      </w:r>
      <w:r>
        <w:tab/>
      </w:r>
      <w:r>
        <w:t xml:space="preserve">3.2.3. Key Velocity (KV).</w:t>
      </w:r>
    </w:p>
    <w:p>
      <w:pPr>
        <w:pStyle w:val="FirstParagraph"/>
      </w:pPr>
      <w:r>
        <w:t xml:space="preserve">A two-way repeated-measures ANOVA with the factors Condition (teaching vs. performing) and Subcomponent-LS (legato vs. staccato) showed that there was a significant main effect of Subcomponent-LS (</w:t>
      </w:r>
      <w:r>
        <w:rPr>
          <w:iCs/>
          <w:i/>
        </w:rPr>
        <w:t xml:space="preserve">F</w:t>
      </w:r>
      <w:r>
        <w:t xml:space="preserve">(1,18) = 8.15,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0.04;</w:t>
      </w:r>
      <w:r>
        <w:t xml:space="preserve"> </w:t>
      </w:r>
      <w:r>
        <w:rPr>
          <w:iCs/>
          <w:i/>
        </w:rPr>
        <w:t xml:space="preserve">Figure</w:t>
      </w:r>
      <w:r>
        <w:rPr>
          <w:iCs/>
          <w:i/>
        </w:rPr>
        <w:t xml:space="preserve"> </w:t>
      </w:r>
      <w:r>
        <w:t xml:space="preserve">), reflecting louder sound for legato notes compared to staccato notes. Neither the main effect of Condition (</w:t>
      </w:r>
      <w:r>
        <w:rPr>
          <w:iCs/>
          <w:i/>
        </w:rPr>
        <w:t xml:space="preserve">F</w:t>
      </w:r>
      <w:r>
        <w:t xml:space="preserve">(1,18) = 0.46,</w:t>
      </w:r>
      <w:r>
        <w:t xml:space="preserve"> </w:t>
      </w:r>
      <w:r>
        <w:rPr>
          <w:iCs/>
          <w:i/>
        </w:rPr>
        <w:t xml:space="preserve">p</w:t>
      </w:r>
      <w:r>
        <w:t xml:space="preserve"> </w:t>
      </w:r>
      <w:r>
        <w:t xml:space="preserve">= 0.51,</w:t>
      </w:r>
      <w:r>
        <w:t xml:space="preserve"> </w:t>
      </w:r>
      <m:oMath>
        <m:sSubSup>
          <m:e>
            <m:r>
              <m:t>η</m:t>
            </m:r>
          </m:e>
          <m:sub>
            <m:r>
              <m:t>G</m:t>
            </m:r>
          </m:sub>
          <m:sup>
            <m:r>
              <m:t>2</m:t>
            </m:r>
          </m:sup>
        </m:sSubSup>
      </m:oMath>
      <w:r>
        <w:t xml:space="preserve"> </w:t>
      </w:r>
      <w:r>
        <w:t xml:space="preserve">= 0.001) nor the interaction between Condition and Subcomponent-LS (</w:t>
      </w:r>
      <w:r>
        <w:rPr>
          <w:iCs/>
          <w:i/>
        </w:rPr>
        <w:t xml:space="preserve">F</w:t>
      </w:r>
      <w:r>
        <w:t xml:space="preserve">(1,18) = 8.15,</w:t>
      </w:r>
      <w:r>
        <w:t xml:space="preserve"> </w:t>
      </w:r>
      <w:r>
        <w:rPr>
          <w:iCs/>
          <w:i/>
        </w:rPr>
        <w:t xml:space="preserve">p</w:t>
      </w:r>
      <w:r>
        <w:t xml:space="preserve"> </w:t>
      </w:r>
      <w:r>
        <w:t xml:space="preserve">= 0.80,</w:t>
      </w:r>
      <w:r>
        <w:t xml:space="preserve"> </w:t>
      </w:r>
      <m:oMath>
        <m:sSubSup>
          <m:e>
            <m:r>
              <m:t>η</m:t>
            </m:r>
          </m:e>
          <m:sub>
            <m:r>
              <m:t>G</m:t>
            </m:r>
          </m:sub>
          <m:sup>
            <m:r>
              <m:t>2</m:t>
            </m:r>
          </m:sup>
        </m:sSubSup>
      </m:oMath>
      <w:r>
        <w:t xml:space="preserve"> </w:t>
      </w:r>
      <w:r>
        <w:t xml:space="preserve">= 0.000).</w:t>
      </w:r>
    </w:p>
    <w:bookmarkEnd w:id="50"/>
    <w:bookmarkEnd w:id="51"/>
    <w:bookmarkStart w:id="56" w:name="results-dynamics-1"/>
    <w:p>
      <w:pPr>
        <w:pStyle w:val="berschrift2"/>
      </w:pPr>
      <w:r>
        <w:rPr>
          <w:rStyle w:val="SectionNumber"/>
        </w:rPr>
        <w:t xml:space="preserve">3.3</w:t>
      </w:r>
      <w:r>
        <w:tab/>
      </w:r>
      <w:r>
        <w:t xml:space="preserve">3.3. Results (Dynamics)</w:t>
      </w:r>
    </w:p>
    <w:bookmarkStart w:id="52" w:name="interonset-intervals-iois-3"/>
    <w:p>
      <w:pPr>
        <w:pStyle w:val="berschrift3"/>
      </w:pPr>
      <w:r>
        <w:rPr>
          <w:rStyle w:val="SectionNumber"/>
        </w:rPr>
        <w:t xml:space="preserve">3.3.1</w:t>
      </w:r>
      <w:r>
        <w:tab/>
      </w:r>
      <w:r>
        <w:t xml:space="preserve">3.3.1. 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0.041] and the performing condition [</w:t>
      </w:r>
      <w:r>
        <w:rPr>
          <w:iCs/>
          <w:i/>
        </w:rPr>
        <w:t xml:space="preserve">M</w:t>
      </w:r>
      <w:r>
        <w:t xml:space="preserve"> </w:t>
      </w:r>
      <w:r>
        <w:t xml:space="preserve">= 0.96,</w:t>
      </w:r>
      <w:r>
        <w:t xml:space="preserve"> </w:t>
      </w:r>
      <w:r>
        <w:rPr>
          <w:iCs/>
          <w:i/>
        </w:rPr>
        <w:t xml:space="preserve">SD</w:t>
      </w:r>
      <w:r>
        <w:t xml:space="preserve"> </w:t>
      </w:r>
      <w:r>
        <w:t xml:space="preserve">= 0.037] while playing the piece with notated articulation (</w:t>
      </w:r>
      <w:r>
        <w:rPr>
          <w:iCs/>
          <w:i/>
        </w:rPr>
        <w:t xml:space="preserve">t</w:t>
      </w:r>
      <w:r>
        <w:t xml:space="preserve">(18) = 0.37,</w:t>
      </w:r>
      <w:r>
        <w:t xml:space="preserve"> </w:t>
      </w:r>
      <w:r>
        <w:rPr>
          <w:iCs/>
          <w:i/>
        </w:rPr>
        <w:t xml:space="preserve">p</w:t>
      </w:r>
      <w:r>
        <w:t xml:space="preserve"> </w:t>
      </w:r>
      <w:r>
        <w:t xml:space="preserve">= 0.72;</w:t>
      </w:r>
      <w:r>
        <w:t xml:space="preserve"> </w:t>
      </w:r>
      <w:r>
        <w:rPr>
          <w:iCs/>
          <w:i/>
        </w:rPr>
        <w:t xml:space="preserve">Figure</w:t>
      </w:r>
      <w:r>
        <w:rPr>
          <w:iCs/>
          <w:i/>
        </w:rPr>
        <w:t xml:space="preserve"> </w:t>
      </w:r>
      <w:r>
        <w:t xml:space="preserve">). A Wiscoxon Signed-rank test also confirmed that there was no significant difference between the two condition (</w:t>
      </w:r>
      <w:r>
        <w:rPr>
          <w:iCs/>
          <w:i/>
        </w:rPr>
        <w:t xml:space="preserve">p</w:t>
      </w:r>
      <w:r>
        <w:t xml:space="preserve"> </w:t>
      </w:r>
      <w:r>
        <w:t xml:space="preserve">= 0.92).</w:t>
      </w:r>
    </w:p>
    <w:bookmarkEnd w:id="52"/>
    <w:bookmarkStart w:id="53" w:name="key-velocity-kv-3"/>
    <w:p>
      <w:pPr>
        <w:pStyle w:val="berschrift3"/>
      </w:pPr>
      <w:r>
        <w:rPr>
          <w:rStyle w:val="SectionNumber"/>
        </w:rPr>
        <w:t xml:space="preserve">3.3.2</w:t>
      </w:r>
      <w:r>
        <w:tab/>
      </w:r>
      <w:r>
        <w:t xml:space="preserve">3.3.2. Key Velocity (KV).</w:t>
      </w:r>
    </w:p>
    <w:p>
      <w:pPr>
        <w:pStyle w:val="FirstParagraph"/>
      </w:pPr>
      <w:r>
        <w:t xml:space="preserve">A two-way repeated-measures ANOVA with the factors Condition (teaching vs. performing) and Subcomponent-FP (forte vs. piano) showed that there was a significant main effect of Subcomponent-FP (</w:t>
      </w:r>
      <w:r>
        <w:rPr>
          <w:iCs/>
          <w:i/>
        </w:rPr>
        <w:t xml:space="preserve">F</w:t>
      </w:r>
      <w:r>
        <w:t xml:space="preserve">(1,18) = 126,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Subcomponent-FP (</w:t>
      </w:r>
      <w:r>
        <w:rPr>
          <w:iCs/>
          <w:i/>
        </w:rPr>
        <w:t xml:space="preserve">F</w:t>
      </w:r>
      <w:r>
        <w:t xml:space="preserve">(1,18) = 6.11,</w:t>
      </w:r>
      <w:r>
        <w:t xml:space="preserve"> </w:t>
      </w:r>
      <w:r>
        <w:rPr>
          <w:iCs/>
          <w:i/>
        </w:rPr>
        <w:t xml:space="preserve">p</w:t>
      </w:r>
      <w:r>
        <w:t xml:space="preserve"> </w:t>
      </w:r>
      <w:r>
        <w:t xml:space="preserve">= 0.024,</w:t>
      </w:r>
      <w:r>
        <w:t xml:space="preserve"> </w:t>
      </w:r>
      <m:oMath>
        <m:sSubSup>
          <m:e>
            <m:r>
              <m:t>η</m:t>
            </m:r>
          </m:e>
          <m:sub>
            <m:r>
              <m:t>G</m:t>
            </m:r>
          </m:sub>
          <m:sup>
            <m:r>
              <m:t>2</m:t>
            </m:r>
          </m:sup>
        </m:sSubSup>
      </m:oMath>
      <w:r>
        <w:t xml:space="preserve"> </w:t>
      </w:r>
      <w:r>
        <w:t xml:space="preserve">= 0.022;</w:t>
      </w:r>
      <w:r>
        <w:t xml:space="preserve"> </w:t>
      </w:r>
      <w:r>
        <w:rPr>
          <w:iCs/>
          <w:i/>
        </w:rPr>
        <w:t xml:space="preserve">Figure</w:t>
      </w:r>
      <w:r>
        <w:rPr>
          <w:iCs/>
          <w:i/>
        </w:rPr>
        <w:t xml:space="preserve"> </w:t>
      </w:r>
      <w:r>
        <w:t xml:space="preserve">). Post-hoc comparisons based on the estimated marginal means with Tukey adjustment revealed that participants produced louder forte and softer piano in the teaching condition [Forte;</w:t>
      </w:r>
      <w:r>
        <w:t xml:space="preserve"> </w:t>
      </w:r>
      <w:r>
        <w:rPr>
          <w:iCs/>
          <w:i/>
        </w:rPr>
        <w:t xml:space="preserve">M</w:t>
      </w:r>
      <w:r>
        <w:t xml:space="preserve"> </w:t>
      </w:r>
      <w:r>
        <w:t xml:space="preserve">= 82.55,</w:t>
      </w:r>
      <w:r>
        <w:t xml:space="preserve"> </w:t>
      </w:r>
      <w:r>
        <w:rPr>
          <w:iCs/>
          <w:i/>
        </w:rPr>
        <w:t xml:space="preserve">SD</w:t>
      </w:r>
      <w:r>
        <w:t xml:space="preserve"> </w:t>
      </w:r>
      <w:r>
        <w:t xml:space="preserve">= 8.57, Piano;</w:t>
      </w:r>
      <w:r>
        <w:t xml:space="preserve"> </w:t>
      </w:r>
      <w:r>
        <w:rPr>
          <w:iCs/>
          <w:i/>
        </w:rPr>
        <w:t xml:space="preserve">M</w:t>
      </w:r>
      <w:r>
        <w:t xml:space="preserve"> </w:t>
      </w:r>
      <w:r>
        <w:t xml:space="preserve">= 60.41,</w:t>
      </w:r>
      <w:r>
        <w:t xml:space="preserve"> </w:t>
      </w:r>
      <w:r>
        <w:rPr>
          <w:iCs/>
          <w:i/>
        </w:rPr>
        <w:t xml:space="preserve">SD</w:t>
      </w:r>
      <w:r>
        <w:t xml:space="preserve"> </w:t>
      </w:r>
      <w:r>
        <w:t xml:space="preserve">= 3.83] than in the performing condition [Forte;</w:t>
      </w:r>
      <w:r>
        <w:t xml:space="preserve"> </w:t>
      </w:r>
      <w:r>
        <w:rPr>
          <w:iCs/>
          <w:i/>
        </w:rPr>
        <w:t xml:space="preserve">M</w:t>
      </w:r>
      <w:r>
        <w:t xml:space="preserve"> </w:t>
      </w:r>
      <w:r>
        <w:t xml:space="preserve">= 80.71,</w:t>
      </w:r>
      <w:r>
        <w:t xml:space="preserve"> </w:t>
      </w:r>
      <w:r>
        <w:rPr>
          <w:iCs/>
          <w:i/>
        </w:rPr>
        <w:t xml:space="preserve">SD</w:t>
      </w:r>
      <w:r>
        <w:t xml:space="preserve"> </w:t>
      </w:r>
      <w:r>
        <w:t xml:space="preserve">= 7.53, Piano;</w:t>
      </w:r>
      <w:r>
        <w:t xml:space="preserve"> </w:t>
      </w:r>
      <w:r>
        <w:rPr>
          <w:iCs/>
          <w:i/>
        </w:rPr>
        <w:t xml:space="preserve">M</w:t>
      </w:r>
      <w:r>
        <w:t xml:space="preserve"> </w:t>
      </w:r>
      <w:r>
        <w:t xml:space="preserve">= 62.34,</w:t>
      </w:r>
      <w:r>
        <w:t xml:space="preserve"> </w:t>
      </w:r>
      <w:r>
        <w:rPr>
          <w:iCs/>
          <w:i/>
        </w:rPr>
        <w:t xml:space="preserve">SD</w:t>
      </w:r>
      <w:r>
        <w:t xml:space="preserve"> </w:t>
      </w:r>
      <w:r>
        <w:t xml:space="preserve">= 4.93] than in the performing condition (Forte;</w:t>
      </w:r>
      <w:r>
        <w:t xml:space="preserve"> </w:t>
      </w:r>
      <w:r>
        <w:rPr>
          <w:iCs/>
          <w:i/>
        </w:rPr>
        <w:t xml:space="preserve">p</w:t>
      </w:r>
      <w:r>
        <w:t xml:space="preserve"> </w:t>
      </w:r>
      <w:r>
        <w:t xml:space="preserve">= 0.036, Piano;</w:t>
      </w:r>
      <w:r>
        <w:t xml:space="preserve"> </w:t>
      </w:r>
      <w:r>
        <w:rPr>
          <w:iCs/>
          <w:i/>
        </w:rPr>
        <w:t xml:space="preserve">p</w:t>
      </w:r>
      <w:r>
        <w:t xml:space="preserve"> </w:t>
      </w:r>
      <w:r>
        <w:t xml:space="preserve">= 0.028).</w:t>
      </w:r>
    </w:p>
    <w:bookmarkEnd w:id="53"/>
    <w:bookmarkStart w:id="54" w:name="kv-transition-points-1"/>
    <w:p>
      <w:pPr>
        <w:pStyle w:val="berschrift3"/>
      </w:pPr>
      <w:r>
        <w:rPr>
          <w:rStyle w:val="SectionNumber"/>
        </w:rPr>
        <w:t xml:space="preserve">3.3.3</w:t>
      </w:r>
      <w:r>
        <w:tab/>
      </w:r>
      <w:r>
        <w:t xml:space="preserve">3.3.3. KV Transition Points.</w:t>
      </w:r>
    </w:p>
    <w:p>
      <w:pPr>
        <w:pStyle w:val="FirstParagraph"/>
      </w:pPr>
      <w:r>
        <w:t xml:space="preserve">A two-way repeated-measures ANOVA with the factors Condition (teaching vs. performing) and Subcomponent-FP (FtoP vs. PtoF) showed that there was a significant main effect of Subcomponent-FP (</w:t>
      </w:r>
      <w:r>
        <w:rPr>
          <w:iCs/>
          <w:i/>
        </w:rPr>
        <w:t xml:space="preserve">F</w:t>
      </w:r>
      <w:r>
        <w:t xml:space="preserve">(1,18) = 111,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0.82) and a significant interaction of Condition and Subcomponent-FP (</w:t>
      </w:r>
      <w:r>
        <w:rPr>
          <w:iCs/>
          <w:i/>
        </w:rPr>
        <w:t xml:space="preserve">F</w:t>
      </w:r>
      <w:r>
        <w:t xml:space="preserve">(1,18) = 9.77,</w:t>
      </w:r>
      <w:r>
        <w:t xml:space="preserve"> </w:t>
      </w:r>
      <w:r>
        <w:rPr>
          <w:iCs/>
          <w:i/>
        </w:rPr>
        <w:t xml:space="preserve">p</w:t>
      </w:r>
      <w:r>
        <w:t xml:space="preserve"> </w:t>
      </w:r>
      <w:r>
        <w:t xml:space="preserve">= 0.006,</w:t>
      </w:r>
      <w:r>
        <w:t xml:space="preserve"> </w:t>
      </w:r>
      <m:oMath>
        <m:sSubSup>
          <m:e>
            <m:r>
              <m:t>η</m:t>
            </m:r>
          </m:e>
          <m:sub>
            <m:r>
              <m:t>G</m:t>
            </m:r>
          </m:sub>
          <m:sup>
            <m:r>
              <m:t>2</m:t>
            </m:r>
          </m:sup>
        </m:sSubSup>
      </m:oMath>
      <w:r>
        <w:t xml:space="preserve"> </w:t>
      </w:r>
      <w:r>
        <w:t xml:space="preserve">= 0.064;</w:t>
      </w:r>
      <w:r>
        <w:t xml:space="preserve"> </w:t>
      </w:r>
      <w:r>
        <w:rPr>
          <w:iCs/>
          <w:i/>
        </w:rPr>
        <w:t xml:space="preserve">Figure</w:t>
      </w:r>
      <w:r>
        <w:rPr>
          <w:iCs/>
          <w:i/>
        </w:rPr>
        <w:t xml:space="preserve"> </w:t>
      </w:r>
      <w:r>
        <w:t xml:space="preserve">). Post-hoc comparisons based on the estimated marginal means with Tukey adjustment showed that there was a larger KV difference when the expressive notation changed from forte to piano and from piano to forte in the teaching condition [FtoP;</w:t>
      </w:r>
      <w:r>
        <w:t xml:space="preserve"> </w:t>
      </w:r>
      <w:r>
        <w:rPr>
          <w:iCs/>
          <w:i/>
        </w:rPr>
        <w:t xml:space="preserve">M</w:t>
      </w:r>
      <w:r>
        <w:t xml:space="preserve"> </w:t>
      </w:r>
      <w:r>
        <w:t xml:space="preserve">= -17.35,</w:t>
      </w:r>
      <w:r>
        <w:t xml:space="preserve"> </w:t>
      </w:r>
      <w:r>
        <w:rPr>
          <w:iCs/>
          <w:i/>
        </w:rPr>
        <w:t xml:space="preserve">SD</w:t>
      </w:r>
      <w:r>
        <w:t xml:space="preserve"> </w:t>
      </w:r>
      <w:r>
        <w:t xml:space="preserve">= 8.46, PtoF;</w:t>
      </w:r>
      <w:r>
        <w:t xml:space="preserve"> </w:t>
      </w:r>
      <w:r>
        <w:rPr>
          <w:iCs/>
          <w:i/>
        </w:rPr>
        <w:t xml:space="preserve">M</w:t>
      </w:r>
      <w:r>
        <w:t xml:space="preserve"> </w:t>
      </w:r>
      <w:r>
        <w:t xml:space="preserve">= 20.60,</w:t>
      </w:r>
      <w:r>
        <w:t xml:space="preserve"> </w:t>
      </w:r>
      <w:r>
        <w:rPr>
          <w:iCs/>
          <w:i/>
        </w:rPr>
        <w:t xml:space="preserve">SD</w:t>
      </w:r>
      <w:r>
        <w:t xml:space="preserve"> </w:t>
      </w:r>
      <w:r>
        <w:t xml:space="preserve">= 9.10] than in the performing condition [FtoP;</w:t>
      </w:r>
      <w:r>
        <w:t xml:space="preserve"> </w:t>
      </w:r>
      <w:r>
        <w:rPr>
          <w:iCs/>
          <w:i/>
        </w:rPr>
        <w:t xml:space="preserve">M</w:t>
      </w:r>
      <w:r>
        <w:t xml:space="preserve"> </w:t>
      </w:r>
      <w:r>
        <w:t xml:space="preserve">= -13.71,</w:t>
      </w:r>
      <w:r>
        <w:t xml:space="preserve"> </w:t>
      </w:r>
      <w:r>
        <w:rPr>
          <w:iCs/>
          <w:i/>
        </w:rPr>
        <w:t xml:space="preserve">SD</w:t>
      </w:r>
      <w:r>
        <w:t xml:space="preserve"> </w:t>
      </w:r>
      <w:r>
        <w:t xml:space="preserve">= 7.73, PtoF;</w:t>
      </w:r>
      <w:r>
        <w:t xml:space="preserve"> </w:t>
      </w:r>
      <w:r>
        <w:rPr>
          <w:iCs/>
          <w:i/>
        </w:rPr>
        <w:t xml:space="preserve">M</w:t>
      </w:r>
      <w:r>
        <w:t xml:space="preserve"> </w:t>
      </w:r>
      <w:r>
        <w:t xml:space="preserve">= 15.87,</w:t>
      </w:r>
      <w:r>
        <w:t xml:space="preserve"> </w:t>
      </w:r>
      <w:r>
        <w:rPr>
          <w:iCs/>
          <w:i/>
        </w:rPr>
        <w:t xml:space="preserve">SD</w:t>
      </w:r>
      <w:r>
        <w:t xml:space="preserve"> </w:t>
      </w:r>
      <w:r>
        <w:t xml:space="preserve">= 7.47] (FtoP;</w:t>
      </w:r>
      <w:r>
        <w:t xml:space="preserve"> </w:t>
      </w:r>
      <w:r>
        <w:rPr>
          <w:iCs/>
          <w:i/>
        </w:rPr>
        <w:t xml:space="preserve">p</w:t>
      </w:r>
      <w:r>
        <w:t xml:space="preserve"> </w:t>
      </w:r>
      <w:r>
        <w:t xml:space="preserve">= 0.017, PtoF;</w:t>
      </w:r>
      <w:r>
        <w:t xml:space="preserve"> </w:t>
      </w:r>
      <w:r>
        <w:rPr>
          <w:iCs/>
          <w:i/>
        </w:rPr>
        <w:t xml:space="preserve">p</w:t>
      </w:r>
      <w:r>
        <w:t xml:space="preserve"> </w:t>
      </w:r>
      <w:r>
        <w:t xml:space="preserve">= 0.003).</w:t>
      </w:r>
    </w:p>
    <w:bookmarkEnd w:id="54"/>
    <w:bookmarkStart w:id="55" w:name="key-overlap-ratio-kor-1"/>
    <w:p>
      <w:pPr>
        <w:pStyle w:val="berschrift3"/>
      </w:pPr>
      <w:r>
        <w:rPr>
          <w:rStyle w:val="SectionNumber"/>
        </w:rPr>
        <w:t xml:space="preserve">3.3.4</w:t>
      </w:r>
      <w:r>
        <w:tab/>
      </w:r>
      <w:r>
        <w:t xml:space="preserve">3.3.4. Key-Overlap Ratio (KOR).</w:t>
      </w:r>
    </w:p>
    <w:p>
      <w:pPr>
        <w:pStyle w:val="FirstParagraph"/>
      </w:pPr>
      <w:r>
        <w:t xml:space="preserve">A two-way repeated-measures ANOVA with the factors Condition (teaching vs. performing) and Subcomponent-FP (forte vs. piano) showed that there was a significant main effect of Subcomponent-FP (</w:t>
      </w:r>
      <w:r>
        <w:rPr>
          <w:iCs/>
          <w:i/>
        </w:rPr>
        <w:t xml:space="preserve">F</w:t>
      </w:r>
      <w:r>
        <w:t xml:space="preserve">(1,18) = 559,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0.93), reflecting more key overlap for forte notes compared to piano notes. Neither the main effect of Condition (</w:t>
      </w:r>
      <w:r>
        <w:rPr>
          <w:iCs/>
          <w:i/>
        </w:rPr>
        <w:t xml:space="preserve">F</w:t>
      </w:r>
      <w:r>
        <w:t xml:space="preserve">(1,18) = 0.016,</w:t>
      </w:r>
      <w:r>
        <w:t xml:space="preserve"> </w:t>
      </w:r>
      <w:r>
        <w:rPr>
          <w:iCs/>
          <w:i/>
        </w:rPr>
        <w:t xml:space="preserve">p</w:t>
      </w:r>
      <w:r>
        <w:t xml:space="preserve"> </w:t>
      </w:r>
      <w:r>
        <w:t xml:space="preserve">= 0.90,</w:t>
      </w:r>
      <w:r>
        <w:t xml:space="preserve"> </w:t>
      </w:r>
      <m:oMath>
        <m:sSubSup>
          <m:e>
            <m:r>
              <m:t>η</m:t>
            </m:r>
          </m:e>
          <m:sub>
            <m:r>
              <m:t>G</m:t>
            </m:r>
          </m:sub>
          <m:sup>
            <m:r>
              <m:t>2</m:t>
            </m:r>
          </m:sup>
        </m:sSubSup>
      </m:oMath>
      <w:r>
        <w:t xml:space="preserve"> </w:t>
      </w:r>
      <w:r>
        <w:t xml:space="preserve">= 0.000) nor the interaction between Condition and Subcomponent-FP (</w:t>
      </w:r>
      <w:r>
        <w:rPr>
          <w:iCs/>
          <w:i/>
        </w:rPr>
        <w:t xml:space="preserve">F</w:t>
      </w:r>
      <w:r>
        <w:t xml:space="preserve">(1,18) = 0.58,</w:t>
      </w:r>
      <w:r>
        <w:t xml:space="preserve"> </w:t>
      </w:r>
      <w:r>
        <w:rPr>
          <w:iCs/>
          <w:i/>
        </w:rPr>
        <w:t xml:space="preserve">p</w:t>
      </w:r>
      <w:r>
        <w:t xml:space="preserve"> </w:t>
      </w:r>
      <w:r>
        <w:t xml:space="preserve">= 0.46,</w:t>
      </w:r>
      <w:r>
        <w:t xml:space="preserve"> </w:t>
      </w:r>
      <m:oMath>
        <m:sSubSup>
          <m:e>
            <m:r>
              <m:t>η</m:t>
            </m:r>
          </m:e>
          <m:sub>
            <m:r>
              <m:t>G</m:t>
            </m:r>
          </m:sub>
          <m:sup>
            <m:r>
              <m:t>2</m:t>
            </m:r>
          </m:sup>
        </m:sSubSup>
      </m:oMath>
      <w:r>
        <w:t xml:space="preserve"> </w:t>
      </w:r>
      <w:r>
        <w:t xml:space="preserve">= 0.001;</w:t>
      </w:r>
      <w:r>
        <w:t xml:space="preserve"> </w:t>
      </w:r>
      <w:r>
        <w:rPr>
          <w:iCs/>
          <w:i/>
        </w:rPr>
        <w:t xml:space="preserve">Figure</w:t>
      </w:r>
      <w:r>
        <w:rPr>
          <w:iCs/>
          <w:i/>
        </w:rPr>
        <w:t xml:space="preserve"> </w:t>
      </w:r>
      <w:r>
        <w:t xml:space="preserve">).</w:t>
      </w:r>
    </w:p>
    <w:bookmarkEnd w:id="55"/>
    <w:bookmarkEnd w:id="56"/>
    <w:bookmarkStart w:id="61" w:name="discussion-1"/>
    <w:p>
      <w:pPr>
        <w:pStyle w:val="berschrift2"/>
      </w:pPr>
      <w:r>
        <w:rPr>
          <w:rStyle w:val="SectionNumber"/>
        </w:rPr>
        <w:t xml:space="preserve">3.4</w:t>
      </w:r>
      <w:r>
        <w:tab/>
      </w:r>
      <w:r>
        <w:t xml:space="preserve">3.4. Discussion</w:t>
      </w:r>
    </w:p>
    <w:p>
      <w:pPr>
        <w:pStyle w:val="FirstParagraph"/>
      </w:pPr>
      <w:r>
        <w:t xml:space="preserve">The results from Experiment 2 demonstrated that we successfully replicated our earlier findings that skilled pianists were able to modulate their performance for teaching purposes. As Experiment 1, we observed slower performance only while teaching the notated articulation. With regard to KOR (articulation), participants highlighted articulation by producing shorter staccato. Again, there was no significant difference in legato between the two conditions as Experiment 1. In term of KV (dynamics), participants produced louder forte and softer piano, which showed a clearer pattern of exaggeration compared to Experiment 1, where only softer piano was observed. Furthermore, we found that participants made a larger contrast between forte and piano bidirectionally at transition points. Importantly, participants did not modulate their performance in term of irrelevant aspects of the techniques for teaching purposes as we found in Experiment 1. To sum, Experiment 2 demonstrated consistent results of systematic and fine-grained ways of didactic performance even in a naturalistic piece of music.</w:t>
      </w:r>
    </w:p>
    <w:p>
      <w:pPr>
        <w:pStyle w:val="CaptionedFigure"/>
      </w:pPr>
      <w:r>
        <w:drawing>
          <wp:inline>
            <wp:extent cx="5969000" cy="2984500"/>
            <wp:effectExtent b="0" l="0" r="0" t="0"/>
            <wp:docPr descr="Figure 6.   Experiment 2: Normalised IOI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ioi-2-1.png" id="0" name="Picture"/>
                    <pic:cNvPicPr>
                      <a:picLocks noChangeArrowheads="1" noChangeAspect="1"/>
                    </pic:cNvPicPr>
                  </pic:nvPicPr>
                  <pic:blipFill>
                    <a:blip r:embed="rId57"/>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Experiment 2: Normalised IOIs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7.   Experiment 2: KOR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kor-2-1.png" id="0" name="Picture"/>
                    <pic:cNvPicPr>
                      <a:picLocks noChangeArrowheads="1" noChangeAspect="1"/>
                    </pic:cNvPicPr>
                  </pic:nvPicPr>
                  <pic:blipFill>
                    <a:blip r:embed="rId5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Experiment 2: KOR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2-1.png" id="0" name="Picture"/>
                    <pic:cNvPicPr>
                      <a:picLocks noChangeArrowheads="1" noChangeAspect="1"/>
                    </pic:cNvPicPr>
                  </pic:nvPicPr>
                  <pic:blipFill>
                    <a:blip r:embed="rId59"/>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diff-1.png" id="0" name="Picture"/>
                    <pic:cNvPicPr>
                      <a:picLocks noChangeArrowheads="1" noChangeAspect="1"/>
                    </pic:cNvPicPr>
                  </pic:nvPicPr>
                  <pic:blipFill>
                    <a:blip r:embed="rId60"/>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61"/>
    <w:bookmarkEnd w:id="62"/>
    <w:bookmarkStart w:id="63" w:name="general-discussion"/>
    <w:p>
      <w:pPr>
        <w:pStyle w:val="berschrift1"/>
      </w:pPr>
      <w:r>
        <w:rPr>
          <w:rStyle w:val="SectionNumber"/>
        </w:rPr>
        <w:t xml:space="preserve">4</w:t>
      </w:r>
      <w:r>
        <w:tab/>
      </w:r>
      <w:r>
        <w:t xml:space="preserve">4. General Discussion</w:t>
      </w:r>
    </w:p>
    <w:p>
      <w:pPr>
        <w:pStyle w:val="FirstParagraph"/>
      </w:pPr>
      <w:r>
        <w:t xml:space="preserve">The aim of the study was to investigate how expert pianists could modulate their performance in order to teach expressive artistic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In particular, they exaggerated staccato when playing with the intention to teach expressions concerning articulation, and they exaggerated changes between forte and piano (in both directions) when playing with the intention to teach expressions concerning dynamics.</w:t>
      </w:r>
    </w:p>
    <w:p>
      <w:pPr>
        <w:pStyle w:val="Textkrper"/>
      </w:pPr>
      <w:r>
        <w:t xml:space="preserve">Although participants tended to play slower in the teaching condition than in the performing condition in general, we found a significant difference only for articulation, not for dynamics. As we mentioned in Experiment 1, it could be that the metronome beats given prior to each performance discouraged participants from deviating from the prescribed tempo. Another possibility is that expression is actually best taught when leaving the tempo unchanged when it is irrelevant. This would imply that general didactic modulations like slowing down, reported in research on parent-infant interaction, might be less useful in the context of teaching expressive artistic techniques where timing itself can be used to add an expression to a performance.</w:t>
      </w:r>
    </w:p>
    <w:p>
      <w:pPr>
        <w:pStyle w:val="Textkrper"/>
      </w:pPr>
      <w:r>
        <w:t xml:space="preserve">Participants exaggerated articulation for teaching purposes by highlighting staccato. The lack of a difference for legato might stem from a ceiling effect. When participants played the piece with dynamics, there was no difference between the two conditions with regard to KOT/KOR, which indicates that participants did not modulate irrelevant properties of the sound. Also, participants made a larger contrast between forte and piano for teaching purposes to highlight the transition of dynamics. We expected there would be an overall exaggeration in KV while teaching dynamics and indeed found that participants produced louder forte and softer piano, but only in Experiment 2. The finding of making a larger contrast in dynamics at transition points suggests an effective way to highlight the technique as the loudness is determined relatively. Taken together, these findings demonstrate that expert pianists systematically modulated their sound depending on the specific technique they were trying to convey.</w:t>
      </w:r>
    </w:p>
    <w:p>
      <w:pPr>
        <w:pStyle w:val="Textkrper"/>
      </w:pPr>
      <w:r>
        <w:t xml:space="preserve">Musicians and music teachers tend to consider expressive skills as a performer’s most important skills</w:t>
      </w:r>
      <w:r>
        <w:t xml:space="preserve"> </w:t>
      </w:r>
      <w:r>
        <w:t xml:space="preserve">(Lindström, Juslin, Bresin, &amp; Williamon, 2003)</w:t>
      </w:r>
      <w:r>
        <w:t xml:space="preserve">. In the present study, experts focused on the teaching of expressions that were notated. However, expression also has other facets</w:t>
      </w:r>
      <w:r>
        <w:t xml:space="preserve"> </w:t>
      </w:r>
      <w:r>
        <w:t xml:space="preserve">(Juslin, 2003)</w:t>
      </w:r>
      <w:r>
        <w:t xml:space="preserve"> </w:t>
      </w:r>
      <w:r>
        <w:t xml:space="preserve">that are not only piece-related but performer- or context-related. An interesting topic for future research is how experts teach not only expressive techniques as such but convey possibilities of interpretation.</w:t>
      </w:r>
    </w:p>
    <w:p>
      <w:pPr>
        <w:pStyle w:val="Textkrper"/>
      </w:pPr>
      <w:r>
        <w:t xml:space="preserve">One limitation of the study is that although we instructed participants to imagine a situation in which they were teaching musical expression to students, there was no feedback from actual students. Given that teachers modulate their demonstration throughout online interactions with learners</w:t>
      </w:r>
      <w:r>
        <w:t xml:space="preserve"> </w:t>
      </w:r>
      <w:r>
        <w:t xml:space="preserve">(Okazaki, Muraoka, &amp; Osu, 2019)</w:t>
      </w:r>
      <w:r>
        <w:t xml:space="preserve">, future studies are needed to investigate how experts dynamically adapt their performance to their student’s skill level and demonstrated abilities.</w:t>
      </w:r>
    </w:p>
    <w:p>
      <w:pPr>
        <w:pStyle w:val="Textkrper"/>
      </w:pPr>
      <w:r>
        <w:t xml:space="preserve">The present findings extend earlier research on teaching-related action modulations. First, our study sheds light on the teaching of expressive techniques that are an integral part of skill acquisition in artistic domains. We showed that compared to an expressive performance baseline, experts made specific modulations in order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t xml:space="preserve"> </w:t>
      </w:r>
      <w:r>
        <w:t xml:space="preserve">(Sperber &amp; Wilson, 1995)</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63"/>
    <w:bookmarkStart w:id="64" w:name="acknowledgements"/>
    <w:p>
      <w:pPr>
        <w:pStyle w:val="berschrift1"/>
      </w:pPr>
      <w:r>
        <w:rPr>
          <w:rStyle w:val="SectionNumber"/>
        </w:rPr>
        <w:t xml:space="preserve">5</w:t>
      </w:r>
      <w:r>
        <w:tab/>
      </w:r>
      <w:r>
        <w:t xml:space="preserve">Acknowledgements</w:t>
      </w:r>
    </w:p>
    <w:p>
      <w:pPr>
        <w:pStyle w:val="FirstParagraph"/>
      </w:pPr>
      <w:r>
        <w:t xml:space="preserve">We thank Dávid Csűrös for his help with data collection. This research was supported by the European Research Council under the European Union’s Seventh Framework Program (FP7/2007-2013)/ERC (European Research Council) grant agreement no. 609819, SOMICS, and by ERC grant agreement no. 616072, JAXPERTISE.</w:t>
      </w:r>
    </w:p>
    <w:bookmarkEnd w:id="64"/>
    <w:bookmarkStart w:id="65" w:name="declarations-of-interest"/>
    <w:p>
      <w:pPr>
        <w:pStyle w:val="berschrift1"/>
      </w:pPr>
      <w:r>
        <w:rPr>
          <w:rStyle w:val="SectionNumber"/>
        </w:rPr>
        <w:t xml:space="preserve">6</w:t>
      </w:r>
      <w:r>
        <w:tab/>
      </w:r>
      <w:r>
        <w:t xml:space="preserve">Declarations of interest</w:t>
      </w:r>
    </w:p>
    <w:p>
      <w:pPr>
        <w:pStyle w:val="FirstParagraph"/>
      </w:pPr>
      <w:r>
        <w:t xml:space="preserve">All authors have no conflict of interest.</w:t>
      </w:r>
    </w:p>
    <w:p>
      <w:r>
        <w:br w:type="page"/>
      </w:r>
    </w:p>
    <w:bookmarkEnd w:id="65"/>
    <w:bookmarkStart w:id="99" w:name="references"/>
    <w:p>
      <w:pPr>
        <w:pStyle w:val="berschrift1"/>
      </w:pPr>
      <w:r>
        <w:rPr>
          <w:rStyle w:val="SectionNumber"/>
        </w:rPr>
        <w:t xml:space="preserve">7</w:t>
      </w:r>
      <w:r>
        <w:tab/>
      </w:r>
      <w:r>
        <w:t xml:space="preserve">References</w:t>
      </w:r>
    </w:p>
    <w:bookmarkStart w:id="98" w:name="refs"/>
    <w:bookmarkStart w:id="67" w:name="ref-brand_2002"/>
    <w:p>
      <w:pPr>
        <w:pStyle w:val="Literaturverzeichnis"/>
      </w:pPr>
      <w:r>
        <w:t xml:space="preserve">Brand, R. J., Baldwin, D. A., &amp; Ashburn, L. A. (2002). Evidence for</w:t>
      </w:r>
      <w:r>
        <w:t xml:space="preserve"> </w:t>
      </w:r>
      <w:r>
        <w:t xml:space="preserve">‘motionese’</w:t>
      </w:r>
      <w:r>
        <w:t xml:space="preserve">: Modifications in mothers’ infant-directed action.</w:t>
      </w:r>
      <w:r>
        <w:t xml:space="preserve"> </w:t>
      </w:r>
      <w:r>
        <w:rPr>
          <w:iCs/>
          <w:i/>
        </w:rPr>
        <w:t xml:space="preserve">Developmental Science</w:t>
      </w:r>
      <w:r>
        <w:t xml:space="preserve">,</w:t>
      </w:r>
      <w:r>
        <w:t xml:space="preserve"> </w:t>
      </w:r>
      <w:r>
        <w:rPr>
          <w:iCs/>
          <w:i/>
        </w:rPr>
        <w:t xml:space="preserve">5</w:t>
      </w:r>
      <w:r>
        <w:t xml:space="preserve">(1), 72–83.</w:t>
      </w:r>
      <w:r>
        <w:t xml:space="preserve"> </w:t>
      </w:r>
      <w:hyperlink r:id="rId66">
        <w:r>
          <w:rPr>
            <w:rStyle w:val="Hyperlink"/>
          </w:rPr>
          <w:t xml:space="preserve">https://doi.org/10.1111/1467-7687.00211</w:t>
        </w:r>
      </w:hyperlink>
    </w:p>
    <w:bookmarkEnd w:id="67"/>
    <w:bookmarkStart w:id="69" w:name="ref-bresin_2000"/>
    <w:p>
      <w:pPr>
        <w:pStyle w:val="Literaturverzeichnis"/>
      </w:pPr>
      <w:r>
        <w:t xml:space="preserve">Bresin, R., &amp; Battel, G. U. (2000). Articulation</w:t>
      </w:r>
      <w:r>
        <w:t xml:space="preserve"> </w:t>
      </w:r>
      <w:r>
        <w:t xml:space="preserve">Strategies</w:t>
      </w:r>
      <w:r>
        <w:t xml:space="preserve"> </w:t>
      </w:r>
      <w:r>
        <w:t xml:space="preserve">in</w:t>
      </w:r>
      <w:r>
        <w:t xml:space="preserve"> </w:t>
      </w:r>
      <w:r>
        <w:t xml:space="preserve">Expressive Piano Performance Analysis</w:t>
      </w:r>
      <w:r>
        <w:t xml:space="preserve"> </w:t>
      </w:r>
      <w:r>
        <w:t xml:space="preserve">of</w:t>
      </w:r>
      <w:r>
        <w:t xml:space="preserve"> </w:t>
      </w:r>
      <w:r>
        <w:t xml:space="preserve">Legato</w:t>
      </w:r>
      <w:r>
        <w:t xml:space="preserve">,</w:t>
      </w:r>
      <w:r>
        <w:t xml:space="preserve"> </w:t>
      </w:r>
      <w:r>
        <w:t xml:space="preserve">Staccato</w:t>
      </w:r>
      <w:r>
        <w:t xml:space="preserve">, and</w:t>
      </w:r>
      <w:r>
        <w:t xml:space="preserve"> </w:t>
      </w:r>
      <w:r>
        <w:t xml:space="preserve">Repeated Notes</w:t>
      </w:r>
      <w:r>
        <w:t xml:space="preserve"> </w:t>
      </w:r>
      <w:r>
        <w:t xml:space="preserve">in</w:t>
      </w:r>
      <w:r>
        <w:t xml:space="preserve"> </w:t>
      </w:r>
      <w:r>
        <w:t xml:space="preserve">Performances</w:t>
      </w:r>
      <w:r>
        <w:t xml:space="preserve"> </w:t>
      </w:r>
      <w:r>
        <w:t xml:space="preserve">of the</w:t>
      </w:r>
      <w:r>
        <w:t xml:space="preserve"> </w:t>
      </w:r>
      <w:r>
        <w:t xml:space="preserve">Andante Movement</w:t>
      </w:r>
      <w:r>
        <w:t xml:space="preserve"> </w:t>
      </w:r>
      <w:r>
        <w:t xml:space="preserve">of</w:t>
      </w:r>
      <w:r>
        <w:t xml:space="preserve"> </w:t>
      </w:r>
      <w:r>
        <w:t xml:space="preserve">Mozart</w:t>
      </w:r>
      <w:r>
        <w:t xml:space="preserve">’s</w:t>
      </w:r>
      <w:r>
        <w:t xml:space="preserve"> </w:t>
      </w:r>
      <w:r>
        <w:t xml:space="preserve">Sonata</w:t>
      </w:r>
      <w:r>
        <w:t xml:space="preserve"> </w:t>
      </w:r>
      <w:r>
        <w:t xml:space="preserve">in</w:t>
      </w:r>
      <w:r>
        <w:t xml:space="preserve"> </w:t>
      </w:r>
      <w:r>
        <w:t xml:space="preserve">G Major</w:t>
      </w:r>
      <w:r>
        <w:t xml:space="preserve"> </w:t>
      </w:r>
      <w:r>
        <w:t xml:space="preserve">(</w:t>
      </w:r>
      <w:r>
        <w:t xml:space="preserve">K</w:t>
      </w:r>
      <w:r>
        <w:t xml:space="preserve"> </w:t>
      </w:r>
      <w:r>
        <w:t xml:space="preserve">545).</w:t>
      </w:r>
      <w:r>
        <w:t xml:space="preserve"> </w:t>
      </w:r>
      <w:r>
        <w:rPr>
          <w:iCs/>
          <w:i/>
        </w:rPr>
        <w:t xml:space="preserve">Journal of New Music Research</w:t>
      </w:r>
      <w:r>
        <w:t xml:space="preserve">,</w:t>
      </w:r>
      <w:r>
        <w:t xml:space="preserve"> </w:t>
      </w:r>
      <w:r>
        <w:rPr>
          <w:iCs/>
          <w:i/>
        </w:rPr>
        <w:t xml:space="preserve">29</w:t>
      </w:r>
      <w:r>
        <w:t xml:space="preserve">(3), 211–224.</w:t>
      </w:r>
      <w:r>
        <w:t xml:space="preserve"> </w:t>
      </w:r>
      <w:hyperlink r:id="rId68">
        <w:r>
          <w:rPr>
            <w:rStyle w:val="Hyperlink"/>
          </w:rPr>
          <w:t xml:space="preserve">https://doi.org/10.1076/jnmr.29.3.211.3092</w:t>
        </w:r>
      </w:hyperlink>
    </w:p>
    <w:bookmarkEnd w:id="69"/>
    <w:bookmarkStart w:id="71" w:name="ref-campisi_2013"/>
    <w:p>
      <w:pPr>
        <w:pStyle w:val="Literaturverzeichnis"/>
      </w:pPr>
      <w:r>
        <w:t xml:space="preserve">Campisi, E., &amp; Özyürek, A. (2013). Iconicity as a communicative strategy:</w:t>
      </w:r>
      <w:r>
        <w:t xml:space="preserve"> </w:t>
      </w:r>
      <w:r>
        <w:t xml:space="preserve">Recipient</w:t>
      </w:r>
      <w:r>
        <w:t xml:space="preserve"> </w:t>
      </w:r>
      <w:r>
        <w:t xml:space="preserve">design in multimodal demonstrations for adults and children.</w:t>
      </w:r>
      <w:r>
        <w:t xml:space="preserve"> </w:t>
      </w:r>
      <w:r>
        <w:rPr>
          <w:iCs/>
          <w:i/>
        </w:rPr>
        <w:t xml:space="preserve">Journal of Pragmatics</w:t>
      </w:r>
      <w:r>
        <w:t xml:space="preserve">,</w:t>
      </w:r>
      <w:r>
        <w:t xml:space="preserve"> </w:t>
      </w:r>
      <w:r>
        <w:rPr>
          <w:iCs/>
          <w:i/>
        </w:rPr>
        <w:t xml:space="preserve">47</w:t>
      </w:r>
      <w:r>
        <w:t xml:space="preserve">(1), 14–27.</w:t>
      </w:r>
      <w:r>
        <w:t xml:space="preserve"> </w:t>
      </w:r>
      <w:hyperlink r:id="rId70">
        <w:r>
          <w:rPr>
            <w:rStyle w:val="Hyperlink"/>
          </w:rPr>
          <w:t xml:space="preserve">https://doi.org/10.1016/j.pragma.2012.12.007</w:t>
        </w:r>
      </w:hyperlink>
    </w:p>
    <w:bookmarkEnd w:id="71"/>
    <w:bookmarkStart w:id="73" w:name="ref-csibra_2009"/>
    <w:p>
      <w:pPr>
        <w:pStyle w:val="Literaturverzeichnis"/>
      </w:pPr>
      <w:r>
        <w:t xml:space="preserve">Csibra, G., &amp; Gergely, G. (2009). Natural pedagogy.</w:t>
      </w:r>
      <w:r>
        <w:t xml:space="preserve"> </w:t>
      </w:r>
      <w:r>
        <w:rPr>
          <w:iCs/>
          <w:i/>
        </w:rPr>
        <w:t xml:space="preserve">Trends in Cognitive Sciences</w:t>
      </w:r>
      <w:r>
        <w:t xml:space="preserve">,</w:t>
      </w:r>
      <w:r>
        <w:t xml:space="preserve"> </w:t>
      </w:r>
      <w:r>
        <w:rPr>
          <w:iCs/>
          <w:i/>
        </w:rPr>
        <w:t xml:space="preserve">13</w:t>
      </w:r>
      <w:r>
        <w:t xml:space="preserve">(4), 148–153.</w:t>
      </w:r>
      <w:r>
        <w:t xml:space="preserve"> </w:t>
      </w:r>
      <w:hyperlink r:id="rId72">
        <w:r>
          <w:rPr>
            <w:rStyle w:val="Hyperlink"/>
          </w:rPr>
          <w:t xml:space="preserve">https://doi.org/10.1016/j.tics.2009.01.005</w:t>
        </w:r>
      </w:hyperlink>
    </w:p>
    <w:bookmarkEnd w:id="73"/>
    <w:bookmarkStart w:id="75" w:name="ref-fernald_1985"/>
    <w:p>
      <w:pPr>
        <w:pStyle w:val="Literaturverzeichnis"/>
      </w:pPr>
      <w:r>
        <w:t xml:space="preserve">Fernald, A. (1985). Four-month-old infants prefer to listen to motherese.</w:t>
      </w:r>
      <w:r>
        <w:t xml:space="preserve"> </w:t>
      </w:r>
      <w:r>
        <w:rPr>
          <w:iCs/>
          <w:i/>
        </w:rPr>
        <w:t xml:space="preserve">Infant Behavior and Development</w:t>
      </w:r>
      <w:r>
        <w:t xml:space="preserve">,</w:t>
      </w:r>
      <w:r>
        <w:t xml:space="preserve"> </w:t>
      </w:r>
      <w:r>
        <w:rPr>
          <w:iCs/>
          <w:i/>
        </w:rPr>
        <w:t xml:space="preserve">8</w:t>
      </w:r>
      <w:r>
        <w:t xml:space="preserve">(2), 181–195.</w:t>
      </w:r>
      <w:r>
        <w:t xml:space="preserve"> </w:t>
      </w:r>
      <w:hyperlink r:id="rId74">
        <w:r>
          <w:rPr>
            <w:rStyle w:val="Hyperlink"/>
          </w:rPr>
          <w:t xml:space="preserve">https://doi.org/10.1016/S0163-6383(85)80005-9</w:t>
        </w:r>
      </w:hyperlink>
    </w:p>
    <w:bookmarkEnd w:id="75"/>
    <w:bookmarkStart w:id="77" w:name="ref-fukuyama_2015"/>
    <w:p>
      <w:pPr>
        <w:pStyle w:val="Literaturverzeichnis"/>
      </w:pPr>
      <w:r>
        <w:t xml:space="preserve">Fukuyama, H., Qin, S., Kanakogi, Y., Nagai, Y., Asada, M., &amp; Myowa-Yamakoshi, M. (2015). Infant’s action skill dynamically modulates parental action demonstration in the dyadic interaction.</w:t>
      </w:r>
      <w:r>
        <w:t xml:space="preserve"> </w:t>
      </w:r>
      <w:r>
        <w:rPr>
          <w:iCs/>
          <w:i/>
        </w:rPr>
        <w:t xml:space="preserve">Developmental Science</w:t>
      </w:r>
      <w:r>
        <w:t xml:space="preserve">,</w:t>
      </w:r>
      <w:r>
        <w:t xml:space="preserve"> </w:t>
      </w:r>
      <w:r>
        <w:rPr>
          <w:iCs/>
          <w:i/>
        </w:rPr>
        <w:t xml:space="preserve">18</w:t>
      </w:r>
      <w:r>
        <w:t xml:space="preserve">(6), 1006–1013.</w:t>
      </w:r>
      <w:r>
        <w:t xml:space="preserve"> </w:t>
      </w:r>
      <w:hyperlink r:id="rId76">
        <w:r>
          <w:rPr>
            <w:rStyle w:val="Hyperlink"/>
          </w:rPr>
          <w:t xml:space="preserve">https://doi.org/10.1111/desc.12270</w:t>
        </w:r>
      </w:hyperlink>
    </w:p>
    <w:bookmarkEnd w:id="77"/>
    <w:bookmarkStart w:id="78" w:name="ref-NIPS2016_6413"/>
    <w:p>
      <w:pPr>
        <w:pStyle w:val="Literaturverzeichnis"/>
      </w:pPr>
      <w:r>
        <w:t xml:space="preserve">Ho, M. K., Littman, M., MacGlashan, J., Cushman, F., &amp; Austerweil, J. L. (2016). Showing versus doing:</w:t>
      </w:r>
      <w:r>
        <w:t xml:space="preserve"> </w:t>
      </w:r>
      <w:r>
        <w:t xml:space="preserve">Teaching</w:t>
      </w:r>
      <w:r>
        <w:t xml:space="preserve"> </w:t>
      </w:r>
      <w:r>
        <w:t xml:space="preserve">by demonstration. In D. D. Lee, M. Sugiyama, U. V. Luxburg, I. Guyon, &amp; R. Garnett (Eds.),</w:t>
      </w:r>
      <w:r>
        <w:t xml:space="preserve"> </w:t>
      </w:r>
      <w:r>
        <w:rPr>
          <w:iCs/>
          <w:i/>
        </w:rPr>
        <w:t xml:space="preserve">Advances in neural information processing systems 29</w:t>
      </w:r>
      <w:r>
        <w:t xml:space="preserve"> </w:t>
      </w:r>
      <w:r>
        <w:t xml:space="preserve">(pp. 3027–3035).</w:t>
      </w:r>
      <w:r>
        <w:t xml:space="preserve"> </w:t>
      </w:r>
      <w:r>
        <w:t xml:space="preserve">Curran Associates, Inc.</w:t>
      </w:r>
    </w:p>
    <w:bookmarkEnd w:id="78"/>
    <w:bookmarkStart w:id="80" w:name="ref-juslin_2003"/>
    <w:p>
      <w:pPr>
        <w:pStyle w:val="Literaturverzeichnis"/>
      </w:pPr>
      <w:r>
        <w:t xml:space="preserve">Juslin, P. N. (2003). Five</w:t>
      </w:r>
      <w:r>
        <w:t xml:space="preserve"> </w:t>
      </w:r>
      <w:r>
        <w:t xml:space="preserve">Facets</w:t>
      </w:r>
      <w:r>
        <w:t xml:space="preserve"> </w:t>
      </w:r>
      <w:r>
        <w:t xml:space="preserve">of</w:t>
      </w:r>
      <w:r>
        <w:t xml:space="preserve"> </w:t>
      </w:r>
      <w:r>
        <w:t xml:space="preserve">Musical Expression</w:t>
      </w:r>
      <w:r>
        <w:t xml:space="preserve">:</w:t>
      </w:r>
      <w:r>
        <w:t xml:space="preserve"> </w:t>
      </w:r>
      <w:r>
        <w:t xml:space="preserve">A Psychologist</w:t>
      </w:r>
      <w:r>
        <w:t xml:space="preserve">’s</w:t>
      </w:r>
      <w:r>
        <w:t xml:space="preserve"> </w:t>
      </w:r>
      <w:r>
        <w:t xml:space="preserve">Perspective</w:t>
      </w:r>
      <w:r>
        <w:t xml:space="preserve"> </w:t>
      </w:r>
      <w:r>
        <w:t xml:space="preserve">on</w:t>
      </w:r>
      <w:r>
        <w:t xml:space="preserve"> </w:t>
      </w:r>
      <w:r>
        <w:t xml:space="preserve">Music Performance</w:t>
      </w:r>
      <w:r>
        <w:t xml:space="preserve">.</w:t>
      </w:r>
      <w:r>
        <w:t xml:space="preserve"> </w:t>
      </w:r>
      <w:r>
        <w:rPr>
          <w:iCs/>
          <w:i/>
        </w:rPr>
        <w:t xml:space="preserve">Psychology of Music</w:t>
      </w:r>
      <w:r>
        <w:t xml:space="preserve">,</w:t>
      </w:r>
      <w:r>
        <w:t xml:space="preserve"> </w:t>
      </w:r>
      <w:r>
        <w:rPr>
          <w:iCs/>
          <w:i/>
        </w:rPr>
        <w:t xml:space="preserve">31</w:t>
      </w:r>
      <w:r>
        <w:t xml:space="preserve">(3), 273–302.</w:t>
      </w:r>
      <w:r>
        <w:t xml:space="preserve"> </w:t>
      </w:r>
      <w:hyperlink r:id="rId79">
        <w:r>
          <w:rPr>
            <w:rStyle w:val="Hyperlink"/>
          </w:rPr>
          <w:t xml:space="preserve">https://doi.org/10.1177/03057356030313003</w:t>
        </w:r>
      </w:hyperlink>
    </w:p>
    <w:bookmarkEnd w:id="80"/>
    <w:bookmarkStart w:id="82" w:name="ref-lindstrom_2003"/>
    <w:p>
      <w:pPr>
        <w:pStyle w:val="Literaturverzeichnis"/>
      </w:pPr>
      <w:r>
        <w:t xml:space="preserve">Lindström, E., Juslin, P. N., Bresin, R., &amp; Williamon, A. (2003).</w:t>
      </w:r>
      <w:r>
        <w:t xml:space="preserve"> </w:t>
      </w:r>
      <w:r>
        <w:t xml:space="preserve">“</w:t>
      </w:r>
      <w:r>
        <w:t xml:space="preserve">Expressivity</w:t>
      </w:r>
      <w:r>
        <w:t xml:space="preserve"> </w:t>
      </w:r>
      <w:r>
        <w:t xml:space="preserve">comes from within your soul”</w:t>
      </w:r>
      <w:r>
        <w:t xml:space="preserve">:</w:t>
      </w:r>
      <w:r>
        <w:t xml:space="preserve"> </w:t>
      </w:r>
      <w:r>
        <w:t xml:space="preserve">A</w:t>
      </w:r>
      <w:r>
        <w:t xml:space="preserve"> </w:t>
      </w:r>
      <w:r>
        <w:t xml:space="preserve">questionnaire study of music students’ perspectives on expressivity.</w:t>
      </w:r>
      <w:r>
        <w:t xml:space="preserve"> </w:t>
      </w:r>
      <w:r>
        <w:rPr>
          <w:iCs/>
          <w:i/>
        </w:rPr>
        <w:t xml:space="preserve">Research Studies in Music Education</w:t>
      </w:r>
      <w:r>
        <w:t xml:space="preserve">,</w:t>
      </w:r>
      <w:r>
        <w:t xml:space="preserve"> </w:t>
      </w:r>
      <w:r>
        <w:rPr>
          <w:iCs/>
          <w:i/>
        </w:rPr>
        <w:t xml:space="preserve">20</w:t>
      </w:r>
      <w:r>
        <w:t xml:space="preserve">(1), 23–47.</w:t>
      </w:r>
      <w:r>
        <w:t xml:space="preserve"> </w:t>
      </w:r>
      <w:hyperlink r:id="rId81">
        <w:r>
          <w:rPr>
            <w:rStyle w:val="Hyperlink"/>
          </w:rPr>
          <w:t xml:space="preserve">https://doi.org/10.1177/1321103X030200010201</w:t>
        </w:r>
      </w:hyperlink>
    </w:p>
    <w:bookmarkEnd w:id="82"/>
    <w:bookmarkStart w:id="84" w:name="ref-mcellin_2017"/>
    <w:p>
      <w:pPr>
        <w:pStyle w:val="Literaturverzeichnis"/>
      </w:pPr>
      <w:r>
        <w:t xml:space="preserve">McEllin, L., Knoblich, G., &amp; Sebanz, N. (2017). Distinct kinematic markers of demonstration and joint action coordination?</w:t>
      </w:r>
      <w:r>
        <w:t xml:space="preserve"> </w:t>
      </w:r>
      <w:r>
        <w:t xml:space="preserve">Evidence</w:t>
      </w:r>
      <w:r>
        <w:t xml:space="preserve"> </w:t>
      </w:r>
      <w:r>
        <w:t xml:space="preserve">from virtual xylophone playing.</w:t>
      </w:r>
      <w:r>
        <w:t xml:space="preserve"> </w:t>
      </w:r>
      <w:r>
        <w:rPr>
          <w:iCs/>
          <w:i/>
        </w:rPr>
        <w:t xml:space="preserve">Journal of Experimental Psychology: Human Perception and Performance</w:t>
      </w:r>
      <w:r>
        <w:t xml:space="preserve">,</w:t>
      </w:r>
      <w:r>
        <w:t xml:space="preserve"> </w:t>
      </w:r>
      <w:r>
        <w:rPr>
          <w:iCs/>
          <w:i/>
        </w:rPr>
        <w:t xml:space="preserve">44</w:t>
      </w:r>
      <w:r>
        <w:t xml:space="preserve">(6), 885.</w:t>
      </w:r>
      <w:r>
        <w:t xml:space="preserve"> </w:t>
      </w:r>
      <w:hyperlink r:id="rId83">
        <w:r>
          <w:rPr>
            <w:rStyle w:val="Hyperlink"/>
          </w:rPr>
          <w:t xml:space="preserve">https://doi.org/10.1037/xhp0000505</w:t>
        </w:r>
      </w:hyperlink>
    </w:p>
    <w:bookmarkEnd w:id="84"/>
    <w:bookmarkStart w:id="86" w:name="ref-okazaki_2019"/>
    <w:p>
      <w:pPr>
        <w:pStyle w:val="Literaturverzeichnis"/>
      </w:pPr>
      <w:r>
        <w:t xml:space="preserve">Okazaki, S., Muraoka, Y., &amp; Osu, R. (2019). Teacher-learner interaction quantifies scaffolding behaviour in imitation learning.</w:t>
      </w:r>
      <w:r>
        <w:t xml:space="preserve"> </w:t>
      </w:r>
      <w:r>
        <w:rPr>
          <w:iCs/>
          <w:i/>
        </w:rPr>
        <w:t xml:space="preserve">Scientific Reports</w:t>
      </w:r>
      <w:r>
        <w:t xml:space="preserve">,</w:t>
      </w:r>
      <w:r>
        <w:t xml:space="preserve"> </w:t>
      </w:r>
      <w:r>
        <w:rPr>
          <w:iCs/>
          <w:i/>
        </w:rPr>
        <w:t xml:space="preserve">9</w:t>
      </w:r>
      <w:r>
        <w:t xml:space="preserve">(1), 1–13.</w:t>
      </w:r>
      <w:r>
        <w:t xml:space="preserve"> </w:t>
      </w:r>
      <w:hyperlink r:id="rId85">
        <w:r>
          <w:rPr>
            <w:rStyle w:val="Hyperlink"/>
          </w:rPr>
          <w:t xml:space="preserve">https://doi.org/10.1038/s41598-019-44049-x</w:t>
        </w:r>
      </w:hyperlink>
    </w:p>
    <w:bookmarkEnd w:id="86"/>
    <w:bookmarkStart w:id="88" w:name="ref-schaik_2019"/>
    <w:p>
      <w:pPr>
        <w:pStyle w:val="Literaturverzeichnis"/>
      </w:pPr>
      <w:r>
        <w:t xml:space="preserve">Schaik, J. E. van, Meyer, M., Ham, C. R. van, &amp; Hunnius, S. (2019). Motion tracking of parents’ infant- versus adult-directed actions reveals general and action-specific modulations.</w:t>
      </w:r>
      <w:r>
        <w:t xml:space="preserve"> </w:t>
      </w:r>
      <w:r>
        <w:rPr>
          <w:iCs/>
          <w:i/>
        </w:rPr>
        <w:t xml:space="preserve">Developmental Science</w:t>
      </w:r>
      <w:r>
        <w:t xml:space="preserve">,</w:t>
      </w:r>
      <w:r>
        <w:t xml:space="preserve"> </w:t>
      </w:r>
      <w:r>
        <w:rPr>
          <w:iCs/>
          <w:i/>
        </w:rPr>
        <w:t xml:space="preserve">0</w:t>
      </w:r>
      <w:r>
        <w:t xml:space="preserve">(0), e12869.</w:t>
      </w:r>
      <w:r>
        <w:t xml:space="preserve"> </w:t>
      </w:r>
      <w:hyperlink r:id="rId87">
        <w:r>
          <w:rPr>
            <w:rStyle w:val="Hyperlink"/>
          </w:rPr>
          <w:t xml:space="preserve">https://doi.org/10.1111/desc.12869</w:t>
        </w:r>
      </w:hyperlink>
    </w:p>
    <w:bookmarkEnd w:id="88"/>
    <w:bookmarkStart w:id="90" w:name="ref-sloboda_2000"/>
    <w:p>
      <w:pPr>
        <w:pStyle w:val="Literaturverzeichnis"/>
      </w:pPr>
      <w:r>
        <w:t xml:space="preserve">Sloboda, J. A. (2000). Individual differences in music performance.</w:t>
      </w:r>
      <w:r>
        <w:t xml:space="preserve"> </w:t>
      </w:r>
      <w:r>
        <w:rPr>
          <w:iCs/>
          <w:i/>
        </w:rPr>
        <w:t xml:space="preserve">Trends in Cognitive Sciences</w:t>
      </w:r>
      <w:r>
        <w:t xml:space="preserve">,</w:t>
      </w:r>
      <w:r>
        <w:t xml:space="preserve"> </w:t>
      </w:r>
      <w:r>
        <w:rPr>
          <w:iCs/>
          <w:i/>
        </w:rPr>
        <w:t xml:space="preserve">4</w:t>
      </w:r>
      <w:r>
        <w:t xml:space="preserve">(10), 397–403.</w:t>
      </w:r>
      <w:r>
        <w:t xml:space="preserve"> </w:t>
      </w:r>
      <w:hyperlink r:id="rId89">
        <w:r>
          <w:rPr>
            <w:rStyle w:val="Hyperlink"/>
          </w:rPr>
          <w:t xml:space="preserve">https://doi.org/10.1016/S1364-6613(00)01531-X</w:t>
        </w:r>
      </w:hyperlink>
    </w:p>
    <w:bookmarkEnd w:id="90"/>
    <w:bookmarkStart w:id="91" w:name="ref-sperber_1995"/>
    <w:p>
      <w:pPr>
        <w:pStyle w:val="Literaturverzeichnis"/>
      </w:pPr>
      <w:r>
        <w:t xml:space="preserve">Sperber, D., &amp; Wilson, D. (1995).</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w:t>
      </w:r>
      <w:r>
        <w:t xml:space="preserve"> </w:t>
      </w:r>
      <w:r>
        <w:t xml:space="preserve">Malden</w:t>
      </w:r>
      <w:r>
        <w:t xml:space="preserve">:</w:t>
      </w:r>
      <w:r>
        <w:t xml:space="preserve"> </w:t>
      </w:r>
      <w:r>
        <w:t xml:space="preserve">Blackwell Publishing</w:t>
      </w:r>
      <w:r>
        <w:t xml:space="preserve">.</w:t>
      </w:r>
    </w:p>
    <w:bookmarkEnd w:id="91"/>
    <w:bookmarkStart w:id="93" w:name="ref-thornton_2008"/>
    <w:p>
      <w:pPr>
        <w:pStyle w:val="Literaturverzeichnis"/>
      </w:pPr>
      <w:r>
        <w:t xml:space="preserve">Thornton, A., &amp; Raihani, N. J. (2008). The evolution of teaching.</w:t>
      </w:r>
      <w:r>
        <w:t xml:space="preserve"> </w:t>
      </w:r>
      <w:r>
        <w:rPr>
          <w:iCs/>
          <w:i/>
        </w:rPr>
        <w:t xml:space="preserve">Animal Behaviour</w:t>
      </w:r>
      <w:r>
        <w:t xml:space="preserve">,</w:t>
      </w:r>
      <w:r>
        <w:t xml:space="preserve"> </w:t>
      </w:r>
      <w:r>
        <w:rPr>
          <w:iCs/>
          <w:i/>
        </w:rPr>
        <w:t xml:space="preserve">75</w:t>
      </w:r>
      <w:r>
        <w:t xml:space="preserve">(6), 1823–1836.</w:t>
      </w:r>
      <w:r>
        <w:t xml:space="preserve"> </w:t>
      </w:r>
      <w:hyperlink r:id="rId92">
        <w:r>
          <w:rPr>
            <w:rStyle w:val="Hyperlink"/>
          </w:rPr>
          <w:t xml:space="preserve">https://doi.org/10.1016/j.anbehav.2007.12.014</w:t>
        </w:r>
      </w:hyperlink>
    </w:p>
    <w:bookmarkEnd w:id="93"/>
    <w:bookmarkStart w:id="95" w:name="ref-tomasello_2016"/>
    <w:p>
      <w:pPr>
        <w:pStyle w:val="Literaturverzeichnis"/>
      </w:pPr>
      <w:r>
        <w:t xml:space="preserve">Tomasello, M. (2016). The ontogeny of cultural learning.</w:t>
      </w:r>
      <w:r>
        <w:t xml:space="preserve"> </w:t>
      </w:r>
      <w:r>
        <w:rPr>
          <w:iCs/>
          <w:i/>
        </w:rPr>
        <w:t xml:space="preserve">Current Opinion in Psychology</w:t>
      </w:r>
      <w:r>
        <w:t xml:space="preserve">,</w:t>
      </w:r>
      <w:r>
        <w:t xml:space="preserve"> </w:t>
      </w:r>
      <w:r>
        <w:rPr>
          <w:iCs/>
          <w:i/>
        </w:rPr>
        <w:t xml:space="preserve">8</w:t>
      </w:r>
      <w:r>
        <w:t xml:space="preserve">, 1–4.</w:t>
      </w:r>
      <w:r>
        <w:t xml:space="preserve"> </w:t>
      </w:r>
      <w:hyperlink r:id="rId94">
        <w:r>
          <w:rPr>
            <w:rStyle w:val="Hyperlink"/>
          </w:rPr>
          <w:t xml:space="preserve">https://doi.org/10.1016/j.copsyc.2015.09.008</w:t>
        </w:r>
      </w:hyperlink>
    </w:p>
    <w:bookmarkEnd w:id="95"/>
    <w:bookmarkStart w:id="97" w:name="ref-uther_2007"/>
    <w:p>
      <w:pPr>
        <w:pStyle w:val="Literaturverzeichnis"/>
      </w:pPr>
      <w:r>
        <w:t xml:space="preserve">Uther, M., Knoll, M. A., &amp; Burnham, D. (2007). Do you speak</w:t>
      </w:r>
      <w:r>
        <w:t xml:space="preserve"> </w:t>
      </w:r>
      <w:r>
        <w:t xml:space="preserve">E</w:t>
      </w:r>
      <w:r>
        <w:t xml:space="preserve">-</w:t>
      </w:r>
      <w:r>
        <w:t xml:space="preserve">NG</w:t>
      </w:r>
      <w:r>
        <w:t xml:space="preserve">-</w:t>
      </w:r>
      <w:r>
        <w:t xml:space="preserve">L</w:t>
      </w:r>
      <w:r>
        <w:t xml:space="preserve">-</w:t>
      </w:r>
      <w:r>
        <w:t xml:space="preserve">I</w:t>
      </w:r>
      <w:r>
        <w:t xml:space="preserve">-</w:t>
      </w:r>
      <w:r>
        <w:t xml:space="preserve">SH</w:t>
      </w:r>
      <w:r>
        <w:t xml:space="preserve">?</w:t>
      </w:r>
      <w:r>
        <w:t xml:space="preserve"> </w:t>
      </w:r>
      <w:r>
        <w:t xml:space="preserve">A</w:t>
      </w:r>
      <w:r>
        <w:t xml:space="preserve"> </w:t>
      </w:r>
      <w:r>
        <w:t xml:space="preserve">comparison of foreigner- and infant-directed speech.</w:t>
      </w:r>
      <w:r>
        <w:t xml:space="preserve"> </w:t>
      </w:r>
      <w:r>
        <w:rPr>
          <w:iCs/>
          <w:i/>
        </w:rPr>
        <w:t xml:space="preserve">Speech Communication</w:t>
      </w:r>
      <w:r>
        <w:t xml:space="preserve">,</w:t>
      </w:r>
      <w:r>
        <w:t xml:space="preserve"> </w:t>
      </w:r>
      <w:r>
        <w:rPr>
          <w:iCs/>
          <w:i/>
        </w:rPr>
        <w:t xml:space="preserve">49</w:t>
      </w:r>
      <w:r>
        <w:t xml:space="preserve">(1), 2–7.</w:t>
      </w:r>
      <w:r>
        <w:t xml:space="preserve"> </w:t>
      </w:r>
      <w:hyperlink r:id="rId96">
        <w:r>
          <w:rPr>
            <w:rStyle w:val="Hyperlink"/>
          </w:rPr>
          <w:t xml:space="preserve">https://doi.org/10.1016/j.specom.2006.10.003</w:t>
        </w:r>
      </w:hyperlink>
    </w:p>
    <w:bookmarkEnd w:id="97"/>
    <w:bookmarkEnd w:id="98"/>
    <w:bookmarkEnd w:id="99"/>
    <w:bookmarkStart w:id="103" w:name="supplementary"/>
    <w:p>
      <w:pPr>
        <w:pStyle w:val="berschrift1"/>
      </w:pPr>
      <w:r>
        <w:rPr>
          <w:rStyle w:val="SectionNumber"/>
        </w:rPr>
        <w:t xml:space="preserve">8</w:t>
      </w:r>
      <w:r>
        <w:tab/>
      </w:r>
      <w:r>
        <w:t xml:space="preserve">Supplementary Materials</w:t>
      </w:r>
    </w:p>
    <w:bookmarkStart w:id="102" w:name="instructions"/>
    <w:p>
      <w:pPr>
        <w:pStyle w:val="berschrift2"/>
      </w:pPr>
      <w:r>
        <w:rPr>
          <w:rStyle w:val="SectionNumber"/>
        </w:rPr>
        <w:t xml:space="preserve">8.1</w:t>
      </w:r>
      <w:r>
        <w:tab/>
      </w:r>
      <w:r>
        <w:t xml:space="preserve">Instructions</w:t>
      </w:r>
    </w:p>
    <w:bookmarkStart w:id="100" w:name="experiment-1-1"/>
    <w:p>
      <w:pPr>
        <w:pStyle w:val="berschrift3"/>
      </w:pPr>
      <w:r>
        <w:rPr>
          <w:rStyle w:val="SectionNumber"/>
        </w:rPr>
        <w:t xml:space="preserve">8.1.1</w:t>
      </w:r>
      <w:r>
        <w:tab/>
      </w:r>
      <w:r>
        <w:t xml:space="preserve">Experiment 1.</w:t>
      </w:r>
    </w:p>
    <w:p>
      <w:pPr>
        <w:pStyle w:val="FirstParagraph"/>
      </w:pPr>
      <w:r>
        <w:t xml:space="preserve">In the teaching condition, participants were shown with the following instruction on a computer monitor (Italic sentences were highlighted with a yellow colour on a black background); 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displayed with the following instruction on a computer monitor monitor; 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00"/>
    <w:bookmarkStart w:id="101" w:name="experiment-2-1"/>
    <w:p>
      <w:pPr>
        <w:pStyle w:val="berschrift3"/>
      </w:pPr>
      <w:r>
        <w:rPr>
          <w:rStyle w:val="SectionNumber"/>
        </w:rPr>
        <w:t xml:space="preserve">8.1.2</w:t>
      </w:r>
      <w:r>
        <w:tab/>
      </w:r>
      <w:r>
        <w:t xml:space="preserve">Experiment 2.</w:t>
      </w:r>
    </w:p>
    <w:p>
      <w:pPr>
        <w:pStyle w:val="FirstParagraph"/>
      </w:pPr>
      <w:r>
        <w:t xml:space="preserve">In the teaching condition, we gave participants the exact same instruction as Experiment 1.</w:t>
      </w:r>
    </w:p>
    <w:p>
      <w:pPr>
        <w:pStyle w:val="Textkrper"/>
      </w:pPr>
      <w:r>
        <w:t xml:space="preserve">In the performing condition, participants were displayed with the following instruction on a computer monitor; Now, play what you practised as if you were performing it to an audience.</w:t>
      </w:r>
      <w:r>
        <w:t xml:space="preserve"> </w:t>
      </w:r>
      <w:r>
        <w:rPr>
          <w:iCs/>
          <w:i/>
        </w:rPr>
        <w:t xml:space="preserve">Perform the piece expressively with your interpretation</w:t>
      </w:r>
      <w:r>
        <w:t xml:space="preserve">.</w:t>
      </w:r>
      <w:r>
        <w:t xml:space="preserve"> </w:t>
      </w:r>
      <w:r>
        <w:rPr>
          <w:iCs/>
          <w:i/>
        </w:rPr>
        <w:t xml:space="preserve">Do your best as a performer to produce the piece according to the notation that you just practised</w:t>
      </w:r>
      <w:r>
        <w:t xml:space="preserve">.</w:t>
      </w:r>
    </w:p>
    <w:bookmarkEnd w:id="101"/>
    <w:bookmarkEnd w:id="102"/>
    <w:bookmarkEnd w:id="10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7" Target="media/rId37.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hyperlink" Id="rId74" Target="https://doi.org/10.1016/S0163-6383(85)80005-9" TargetMode="External" /><Relationship Type="http://schemas.openxmlformats.org/officeDocument/2006/relationships/hyperlink" Id="rId89" Target="https://doi.org/10.1016/S1364-6613(00)01531-X" TargetMode="External" /><Relationship Type="http://schemas.openxmlformats.org/officeDocument/2006/relationships/hyperlink" Id="rId92" Target="https://doi.org/10.1016/j.anbehav.2007.12.014" TargetMode="External" /><Relationship Type="http://schemas.openxmlformats.org/officeDocument/2006/relationships/hyperlink" Id="rId94" Target="https://doi.org/10.1016/j.copsyc.2015.09.008" TargetMode="External" /><Relationship Type="http://schemas.openxmlformats.org/officeDocument/2006/relationships/hyperlink" Id="rId70" Target="https://doi.org/10.1016/j.pragma.2012.12.007" TargetMode="External" /><Relationship Type="http://schemas.openxmlformats.org/officeDocument/2006/relationships/hyperlink" Id="rId96" Target="https://doi.org/10.1016/j.specom.2006.10.003" TargetMode="External" /><Relationship Type="http://schemas.openxmlformats.org/officeDocument/2006/relationships/hyperlink" Id="rId72" Target="https://doi.org/10.1016/j.tics.2009.01.005" TargetMode="External" /><Relationship Type="http://schemas.openxmlformats.org/officeDocument/2006/relationships/hyperlink" Id="rId83" Target="https://doi.org/10.1037/xhp0000505" TargetMode="External" /><Relationship Type="http://schemas.openxmlformats.org/officeDocument/2006/relationships/hyperlink" Id="rId85" Target="https://doi.org/10.1038/s41598-019-44049-x" TargetMode="External" /><Relationship Type="http://schemas.openxmlformats.org/officeDocument/2006/relationships/hyperlink" Id="rId68" Target="https://doi.org/10.1076/jnmr.29.3.211.3092" TargetMode="External" /><Relationship Type="http://schemas.openxmlformats.org/officeDocument/2006/relationships/hyperlink" Id="rId66" Target="https://doi.org/10.1111/1467-7687.00211" TargetMode="External" /><Relationship Type="http://schemas.openxmlformats.org/officeDocument/2006/relationships/hyperlink" Id="rId76" Target="https://doi.org/10.1111/desc.12270" TargetMode="External" /><Relationship Type="http://schemas.openxmlformats.org/officeDocument/2006/relationships/hyperlink" Id="rId87" Target="https://doi.org/10.1111/desc.12869" TargetMode="External" /><Relationship Type="http://schemas.openxmlformats.org/officeDocument/2006/relationships/hyperlink" Id="rId79" Target="https://doi.org/10.1177/03057356030313003" TargetMode="External" /><Relationship Type="http://schemas.openxmlformats.org/officeDocument/2006/relationships/hyperlink" Id="rId81" Target="https://doi.org/10.1177/1321103X030200010201" TargetMode="External" /><Relationship Type="http://schemas.openxmlformats.org/officeDocument/2006/relationships/hyperlink" Id="rId20" Target="mailto:Tominaga_Atsuko@phd.ceu.edu"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16/S0163-6383(85)80005-9" TargetMode="External" /><Relationship Type="http://schemas.openxmlformats.org/officeDocument/2006/relationships/hyperlink" Id="rId89" Target="https://doi.org/10.1016/S1364-6613(00)01531-X" TargetMode="External" /><Relationship Type="http://schemas.openxmlformats.org/officeDocument/2006/relationships/hyperlink" Id="rId92" Target="https://doi.org/10.1016/j.anbehav.2007.12.014" TargetMode="External" /><Relationship Type="http://schemas.openxmlformats.org/officeDocument/2006/relationships/hyperlink" Id="rId94" Target="https://doi.org/10.1016/j.copsyc.2015.09.008" TargetMode="External" /><Relationship Type="http://schemas.openxmlformats.org/officeDocument/2006/relationships/hyperlink" Id="rId70" Target="https://doi.org/10.1016/j.pragma.2012.12.007" TargetMode="External" /><Relationship Type="http://schemas.openxmlformats.org/officeDocument/2006/relationships/hyperlink" Id="rId96" Target="https://doi.org/10.1016/j.specom.2006.10.003" TargetMode="External" /><Relationship Type="http://schemas.openxmlformats.org/officeDocument/2006/relationships/hyperlink" Id="rId72" Target="https://doi.org/10.1016/j.tics.2009.01.005" TargetMode="External" /><Relationship Type="http://schemas.openxmlformats.org/officeDocument/2006/relationships/hyperlink" Id="rId83" Target="https://doi.org/10.1037/xhp0000505" TargetMode="External" /><Relationship Type="http://schemas.openxmlformats.org/officeDocument/2006/relationships/hyperlink" Id="rId85" Target="https://doi.org/10.1038/s41598-019-44049-x" TargetMode="External" /><Relationship Type="http://schemas.openxmlformats.org/officeDocument/2006/relationships/hyperlink" Id="rId68" Target="https://doi.org/10.1076/jnmr.29.3.211.3092" TargetMode="External" /><Relationship Type="http://schemas.openxmlformats.org/officeDocument/2006/relationships/hyperlink" Id="rId66" Target="https://doi.org/10.1111/1467-7687.00211" TargetMode="External" /><Relationship Type="http://schemas.openxmlformats.org/officeDocument/2006/relationships/hyperlink" Id="rId76" Target="https://doi.org/10.1111/desc.12270" TargetMode="External" /><Relationship Type="http://schemas.openxmlformats.org/officeDocument/2006/relationships/hyperlink" Id="rId87" Target="https://doi.org/10.1111/desc.12869" TargetMode="External" /><Relationship Type="http://schemas.openxmlformats.org/officeDocument/2006/relationships/hyperlink" Id="rId79" Target="https://doi.org/10.1177/03057356030313003" TargetMode="External" /><Relationship Type="http://schemas.openxmlformats.org/officeDocument/2006/relationships/hyperlink" Id="rId81" Target="https://doi.org/10.1177/1321103X030200010201" TargetMode="External" /><Relationship Type="http://schemas.openxmlformats.org/officeDocument/2006/relationships/hyperlink" Id="rId20" Target="mailto:Tominaga_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2021-06-17T14:40:46Z</dcterms:created>
  <dcterms:modified xsi:type="dcterms:W3CDTF">2021-06-17T14:40:46Z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The Sound of Teaching Music</vt:lpwstr>
  </property>
  <property fmtid="{D5CDD505-2E9C-101B-9397-08002B2CF9AE}" pid="16" name="tablelist">
    <vt:lpwstr>no</vt:lpwstr>
  </property>
  <property fmtid="{D5CDD505-2E9C-101B-9397-08002B2CF9AE}" pid="17" name="wordcount">
    <vt:lpwstr>5022</vt:lpwstr>
  </property>
</Properties>
</file>