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Yu Gothic" w:hAnsi="Yu Gothic" w:eastAsia="Yu Gothic"/>
          <w:b/>
          <w:color w:val="4A2BD4"/>
          <w:sz w:val="36"/>
        </w:rPr>
        <w:t>2026年下期 戦略メモ</w:t>
      </w:r>
    </w:p>
    <w:p>
      <w:pPr>
        <w:jc w:val="center"/>
      </w:pPr>
      <w:r>
        <w:rPr>
          <w:rFonts w:ascii="Yu Gothic" w:hAnsi="Yu Gothic" w:eastAsia="Yu Gothic"/>
          <w:b w:val="0"/>
          <w:color w:val="6B7280"/>
          <w:sz w:val="24"/>
        </w:rPr>
        <w:t>株式会社サンプル商事</w:t>
      </w:r>
    </w:p>
    <w:p>
      <w:pPr>
        <w:jc w:val="center"/>
      </w:pPr>
      <w:r>
        <w:rPr>
          <w:rFonts w:ascii="Yu Mincho" w:hAnsi="Yu Mincho" w:eastAsia="Yu Mincho"/>
          <w:b w:val="0"/>
          <w:color w:val="6B7280"/>
          <w:sz w:val="18"/>
        </w:rPr>
        <w:t>作成：経営企画室 ／ 2026年4月22日 ／ Confidential</w:t>
      </w:r>
    </w:p>
    <w:p/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1. サマリー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上期実績は売上ベースで前年比+1.8%、計画比+0.2%とほぼ計画線で着地。事業部別では食品が想定を上回る伸長を示す一方、オフィス用品は3ヶ月連続の前年割れで構造的な減速局面に入っている。下期は食品の伸長を「面」として広げつつ、オフィス用品の事業ポートフォリオを再定義することを最重要テーマとする。</w:t>
      </w:r>
    </w:p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2. 上期の振り返り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売上構成比：食品 51% / 日用品 31% / オフィス用品 18%（前年同期：47% / 32% / 21%）。食品が4ポイント増、オフィス用品が3ポイント減と、ポートフォリオが大きく変化している。新規顧客獲得数は食品で前年比+38%と顕著、対してオフィス用品は前年比-25%と落ち込み。離反顧客の主な行き先は競合の三洋商会（架空）と関東卸売（架空）。粗利率は食品が18.5%（前年18.0%）、日用品が22.7%（前年22.5%）、オフィス用品が23.2%（前年24.4%）。</w:t>
      </w:r>
    </w:p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3. 課題認識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(1) オフィス用品事業部の構造的縮小。リモートワーク定着で法人文具の需要は中長期で縮小トレンド。ヘルスケア用品など隣接カテゴリへの拡張、または事業統合・縮小判断のいずれかが必要。</w:t>
        <w:br/>
        <w:t>(2) 食品事業部の急成長に対する供給体制。物流拠点の処理能力が逼迫しており、来期さらに+10%伸長すると配送遅延リスク。東京本社倉庫の増床、または大阪支店の物流機能強化が選択肢。</w:t>
        <w:br/>
        <w:t>(3) 新規事業（オンライン受発注プラットフォーム）の本格化。9月リリース予定で、運営体制と販売推進が間に合うか。</w:t>
      </w:r>
    </w:p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4. 下期の戦略方向性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「食品成長の最大化」と「オフィス用品の事業再定義」を二本柱とし、新規事業を3本目の柱として育成する。短期（〜2026年9月）はオフィス用品の離反顧客リカバリと食品の物流体制強化。中期（〜2027年3月）はオフィス用品の新カテゴリ判断と新規事業の市場立ち上げ。</w:t>
      </w:r>
    </w:p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5. 主な施策と KPI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(1) オフィス用品リカバリ営業：5月13日経営会議で計画提示、6月着手、9月までに離反2社の取引再開を目標。KPIは離反顧客の取引再開件数、月次の前年比改善幅。</w:t>
        <w:br/>
        <w:t>(2) オフィス用品 新カテゴリ判断：5月13日経営会議で複数案提示、7月までに方向性を決定。判断基準は5年後の市場規模成長率と当社の競争優位の有無。</w:t>
        <w:br/>
        <w:t>(3) 食品物流体制強化：6月までに東京・大阪のキャパシティ実態調査、7月に拡張計画決定、12月までに整備完了。KPIは配送リードタイム、配送遅延率。</w:t>
        <w:br/>
        <w:t>(4) 新規事業推進体制：6月までに運営体制決定（社長案）、7月から人員配置着手、9月リリースに合わせ立ち上げ。KPIは初年度月額契約数、平均契約単価。</w:t>
      </w:r>
    </w:p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6. 必要なリソース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人員：オフィス用品リカバリで営業2名増員、新規事業立ち上げで3〜5名（兼務含む）。投資：食品物流の拡張で約3,000万円、Teams移行（決定済み）約700万円。外部支援：オフィス用品の新カテゴリ判断は外部コンサルの活用検討。</w:t>
      </w:r>
    </w:p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7. リスクと留意点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(1) オフィス用品の縮小スピードが想定以上に早まる可能性。3ヶ月連続前年割れの幅が拡大すれば前倒し判断が必要。</w:t>
        <w:br/>
        <w:t>(2) 食品の伸長が物流逼迫で頭打ちになるリスク。配送遅延が出始めると顧客満足度に直接影響。</w:t>
        <w:br/>
        <w:t>(3) 新規事業のリリース遅延。9月予定が10〜11月にズレると年度内の実績認識が困難に。</w:t>
      </w:r>
    </w:p>
    <w:p>
      <w:pPr>
        <w:spacing w:before="240" w:after="120"/>
      </w:pPr>
      <w:r>
        <w:rPr>
          <w:rFonts w:ascii="Yu Gothic" w:hAnsi="Yu Gothic" w:eastAsia="Yu Gothic"/>
          <w:b/>
          <w:color w:val="4A2BD4"/>
          <w:sz w:val="26"/>
        </w:rPr>
        <w:t>8. 議論ポイント（経営会議向け）</w:t>
      </w:r>
    </w:p>
    <w:p>
      <w:pPr>
        <w:spacing w:line="384" w:lineRule="auto" w:after="120"/>
      </w:pPr>
      <w:r>
        <w:rPr>
          <w:rFonts w:ascii="Yu Mincho" w:hAnsi="Yu Mincho" w:eastAsia="Yu Mincho"/>
          <w:b w:val="0"/>
          <w:sz w:val="21"/>
        </w:rPr>
        <w:t>・オフィス用品事業の下期戦略は「再成長狙い」か「縮小・再定義」か。</w:t>
        <w:br/>
        <w:t>・食品物流投資は東京増床と大阪強化のどちらを優先するか。</w:t>
        <w:br/>
        <w:t>・新規事業の運営体制は新設部門か、既存部門の兼務体制か。</w:t>
        <w:br/>
        <w:t>・中途採用の追加予算（200万円）は本件に紐づけて承認するか。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Mincho" w:hAnsi="Yu Mincho" w:eastAsia="Yu Minch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