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op-tier-manuscript-architecture-v1"/>
    <w:p>
      <w:pPr>
        <w:pStyle w:val="Heading1"/>
        <w:keepNext/>
        <w:keepLines/>
        <w:spacing w:before="360" w:after="120"/>
        <w:jc w:val="center"/>
      </w:pPr>
      <w:r>
        <w:rPr>
          <w:rFonts w:ascii="Aptos Display" w:hAnsi="Aptos Display"/>
          <w:b/>
          <w:color w:val="17365D"/>
          <w:sz w:val="40"/>
        </w:rPr>
        <w:t xml:space="preserve">Top-Tier Manuscript Architecture v1</w:t>
      </w:r>
    </w:p>
    <w:bookmarkStart w:id="20" w:name="X009281d0c84bc8b4a5341b03f1ff34618bc00c2"/>
    <w:p>
      <w:pPr>
        <w:pStyle w:val="Heading2"/>
        <w:keepNext/>
        <w:keepLines/>
        <w:spacing w:after="280"/>
        <w:jc w:val="center"/>
      </w:pPr>
      <w:r>
        <w:rPr>
          <w:rFonts w:ascii="Aptos Display" w:hAnsi="Aptos Display"/>
          <w:b/>
          <w:color w:val="2F5597"/>
          <w:sz w:val="28"/>
        </w:rPr>
        <w:t xml:space="preserve">Policy-Level Search Size for Adaptive Statistical Pipelines</w:t>
      </w:r>
    </w:p>
    <w:p>
      <w:pPr>
        <w:pStyle w:val="FirstParagraph"/>
        <w:widowControl/>
        <w:spacing w:after="200"/>
        <w:ind w:left="792" w:right="792"/>
        <w:jc w:val="center"/>
      </w:pPr>
      <w:r>
        <w:rPr>
          <w:b/>
          <w:bCs/>
          <w:color w:val="555555"/>
          <w:sz w:val="18"/>
        </w:rPr>
        <w:t xml:space="preserve">Strategic status:</w:t>
      </w:r>
      <w:r>
        <w:rPr>
          <w:color w:val="555555"/>
          <w:sz w:val="18"/>
        </w:rPr>
        <w:t xml:space="preserve"> </w:t>
      </w:r>
      <w:r>
        <w:rPr>
          <w:color w:val="555555"/>
          <w:sz w:val="18"/>
        </w:rPr>
        <w:t xml:space="preserve">Post-D2 integration review</w:t>
      </w:r>
      <w:r>
        <w:rPr>
          <w:color w:val="555555"/>
          <w:sz w:val="18"/>
        </w:rPr>
        <w:br/>
      </w:r>
      <w:r>
        <w:rPr>
          <w:b/>
          <w:bCs/>
          <w:color w:val="555555"/>
          <w:sz w:val="18"/>
        </w:rPr>
        <w:t xml:space="preserve">Date:</w:t>
      </w:r>
      <w:r>
        <w:rPr>
          <w:color w:val="555555"/>
          <w:sz w:val="18"/>
        </w:rPr>
        <w:t xml:space="preserve"> </w:t>
      </w:r>
      <w:r>
        <w:rPr>
          <w:color w:val="555555"/>
          <w:sz w:val="18"/>
        </w:rPr>
        <w:t xml:space="preserve">2 August 2026</w:t>
      </w:r>
      <w:r>
        <w:rPr>
          <w:color w:val="555555"/>
          <w:sz w:val="18"/>
        </w:rPr>
        <w:br/>
      </w:r>
      <w:r>
        <w:rPr>
          <w:b/>
          <w:bCs/>
          <w:color w:val="555555"/>
          <w:sz w:val="18"/>
        </w:rPr>
        <w:t xml:space="preserve">Theory branch:</w:t>
      </w:r>
      <w:r>
        <w:rPr>
          <w:color w:val="555555"/>
          <w:sz w:val="18"/>
        </w:rPr>
        <w:t xml:space="preserve"> </w:t>
      </w:r>
      <w:r>
        <w:rPr>
          <w:rStyle w:val="VerbatimChar"/>
          <w:color w:val="555555"/>
          <w:sz w:val="18"/>
        </w:rPr>
        <w:t xml:space="preserve">tess-top-tier-theory</w:t>
      </w:r>
      <w:r>
        <w:rPr>
          <w:color w:val="555555"/>
          <w:sz w:val="18"/>
        </w:rPr>
        <w:br/>
      </w:r>
      <w:r>
        <w:rPr>
          <w:b/>
          <w:bCs/>
          <w:color w:val="555555"/>
          <w:sz w:val="18"/>
        </w:rPr>
        <w:t xml:space="preserve">Current theory head:</w:t>
      </w:r>
      <w:r>
        <w:rPr>
          <w:color w:val="555555"/>
          <w:sz w:val="18"/>
        </w:rPr>
        <w:t xml:space="preserve"> </w:t>
      </w:r>
      <w:r>
        <w:rPr>
          <w:rStyle w:val="VerbatimChar"/>
          <w:color w:val="555555"/>
          <w:sz w:val="18"/>
        </w:rPr>
        <w:t xml:space="preserve">38daf14</w:t>
      </w:r>
      <w:r>
        <w:rPr>
          <w:color w:val="555555"/>
          <w:sz w:val="18"/>
        </w:rPr>
        <w:t xml:space="preserve"> </w:t>
      </w:r>
      <w:r>
        <w:rPr>
          <w:color w:val="555555"/>
          <w:sz w:val="18"/>
        </w:rPr>
        <w:t xml:space="preserve">(</w:t>
      </w:r>
      <w:r>
        <w:rPr>
          <w:rStyle w:val="VerbatimChar"/>
          <w:color w:val="555555"/>
          <w:sz w:val="18"/>
        </w:rPr>
        <w:t xml:space="preserve">tess-theory-work-package-d2-v1-results-final-20260802</w:t>
      </w:r>
      <w:r>
        <w:rPr>
          <w:color w:val="555555"/>
          <w:sz w:val="18"/>
        </w:rPr>
        <w:t xml:space="preserve">)</w:t>
      </w:r>
      <w:r>
        <w:rPr>
          <w:color w:val="555555"/>
          <w:sz w:val="18"/>
        </w:rPr>
        <w:br/>
      </w:r>
      <w:r>
        <w:rPr>
          <w:b/>
          <w:bCs/>
          <w:color w:val="555555"/>
          <w:sz w:val="18"/>
        </w:rPr>
        <w:t xml:space="preserve">Fallback empirical branch:</w:t>
      </w:r>
      <w:r>
        <w:rPr>
          <w:color w:val="555555"/>
          <w:sz w:val="18"/>
        </w:rPr>
        <w:t xml:space="preserve"> </w:t>
      </w:r>
      <w:r>
        <w:rPr>
          <w:rStyle w:val="VerbatimChar"/>
          <w:color w:val="555555"/>
          <w:sz w:val="18"/>
        </w:rPr>
        <w:t xml:space="preserve">ess-study</w:t>
      </w:r>
      <w:r>
        <w:rPr>
          <w:color w:val="555555"/>
          <w:sz w:val="18"/>
        </w:rPr>
        <w:br/>
      </w:r>
      <w:r>
        <w:rPr>
          <w:b/>
          <w:bCs/>
          <w:color w:val="555555"/>
          <w:sz w:val="18"/>
        </w:rPr>
        <w:t xml:space="preserve">Purpose:</w:t>
      </w:r>
      <w:r>
        <w:rPr>
          <w:color w:val="555555"/>
          <w:sz w:val="18"/>
        </w:rPr>
        <w:t xml:space="preserve"> </w:t>
      </w:r>
      <w:r>
        <w:rPr>
          <w:color w:val="555555"/>
          <w:sz w:val="18"/>
        </w:rPr>
        <w:t xml:space="preserve">Decide the scientific identity, theorem spine, journal route, manuscript structure, and minimum remaining work before drafting a top-tier submission.</w:t>
      </w:r>
    </w:p>
    <w:p>
      <w:pPr>
        <w:spacing w:before="40" w:after="160"/>
        <w:ind w:left="648" w:right="648"/>
        <w:jc w:val="center"/>
        <w:widowControl/>
        <w:shd w:fill="FFF2CC"/>
      </w:pPr>
      <w:r>
        <w:rPr>
          <w:b/>
          <w:color w:val="7F6000"/>
          <w:sz w:val="21"/>
        </w:rPr>
        <w:t>Decision: one theory-first paper; Biometrika first; D4 before D3</w:t>
      </w:r>
      <w:r>
        <w:br w:type="page"/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executive-decision"/>
    <w:p>
      <w:pPr>
        <w:pStyle w:val="Heading1"/>
        <w:keepNext/>
        <w:keepLines/>
      </w:pPr>
      <w:r>
        <w:t xml:space="preserve">1. Executive decision</w:t>
      </w:r>
    </w:p>
    <w:bookmarkStart w:id="22" w:name="overall-judgment"/>
    <w:p>
      <w:pPr>
        <w:pStyle w:val="Heading2"/>
        <w:keepNext/>
        <w:keepLines/>
      </w:pPr>
      <w:r>
        <w:t xml:space="preserve">1.1 Overall judgment</w:t>
      </w:r>
    </w:p>
    <w:p>
      <w:pPr>
        <w:pStyle w:val="FirstParagraph"/>
        <w:widowControl/>
      </w:pPr>
      <w:r>
        <w:t xml:space="preserve">The project has crossed the threshold from a strong applied-methodology paper to a credible foundational statistics paper.</w:t>
      </w:r>
    </w:p>
    <w:p>
      <w:pPr>
        <w:pStyle w:val="BodyText"/>
        <w:widowControl/>
      </w:pPr>
      <w:r>
        <w:t xml:space="preserve">The reason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logarithmic TESS formula by itself. The viable foundational claim is:</w:t>
      </w:r>
    </w:p>
    <w:p>
      <w:pPr>
        <w:pStyle w:val="BlockText"/>
        <w:shd w:fill="EAF2F8"/>
        <w:widowControl/>
        <w:pBdr>
          <w:left w:val="single" w:sz="12" w:space="5" w:color="2F5597"/>
        </w:pBdr>
      </w:pPr>
      <w:r>
        <w:rPr>
          <w:b/>
          <w:bCs/>
        </w:rPr>
        <w:t xml:space="preserve">Fixed candidate laws and expected candidate-count budgets do not determine the inferential burden of an adaptive policy. The missing object is the threshold-indexed coupling between the policy’s branching rule and its counterfactual incremental rejection opportunities.</w:t>
      </w:r>
    </w:p>
    <w:p>
      <w:pPr>
        <w:pStyle w:val="FirstParagraph"/>
        <w:widowControl/>
      </w:pPr>
      <w:r>
        <w:t xml:space="preserve">Work Packages A and B supply the structural theory. Work Packages D1 and D2 supply regular two-bank inference. The locked confirmatory study supplies a nontrivial empirical phenomenon that the theory explains rather than merely illustrates.</w:t>
      </w:r>
    </w:p>
    <w:bookmarkEnd w:id="22"/>
    <w:bookmarkStart w:id="23" w:name="recommended-publication-strategy"/>
    <w:p>
      <w:pPr>
        <w:pStyle w:val="Heading2"/>
        <w:keepNext/>
        <w:keepLines/>
      </w:pPr>
      <w:r>
        <w:t xml:space="preserve">1.2 Recommended publication strategy</w:t>
      </w:r>
    </w:p>
    <w:p>
      <w:pPr>
        <w:pStyle w:val="Compact"/>
        <w:widowControl/>
        <w:numPr>
          <w:ilvl w:val="0"/>
          <w:numId w:val="1001"/>
        </w:numPr>
      </w:pPr>
      <w:r>
        <w:rPr>
          <w:b/>
          <w:bCs/>
        </w:rPr>
        <w:t xml:space="preserve">Prepare one theory-first manuscript.</w:t>
      </w:r>
      <w:r>
        <w:t xml:space="preserve"> </w:t>
      </w:r>
      <w:r>
        <w:t xml:space="preserve">It should supersede, not merely append to, the current empirical v2 draft.</w:t>
      </w:r>
    </w:p>
    <w:p>
      <w:pPr>
        <w:pStyle w:val="Compact"/>
        <w:widowControl/>
        <w:numPr>
          <w:ilvl w:val="0"/>
          <w:numId w:val="1001"/>
        </w:numPr>
      </w:pPr>
      <w:r>
        <w:rPr>
          <w:b/>
          <w:bCs/>
        </w:rPr>
        <w:t xml:space="preserve">Retain empirical v2 as a frozen fallback.</w:t>
      </w:r>
      <w:r>
        <w:t xml:space="preserve"> </w:t>
      </w:r>
      <w:r>
        <w:t xml:space="preserve">Do not submit the theory paper and the current empirical TESS paper as overlapping separate publications.</w:t>
      </w:r>
    </w:p>
    <w:p>
      <w:pPr>
        <w:pStyle w:val="Compact"/>
        <w:widowControl/>
        <w:numPr>
          <w:ilvl w:val="0"/>
          <w:numId w:val="1001"/>
        </w:numPr>
      </w:pPr>
      <w:r>
        <w:rPr>
          <w:b/>
          <w:bCs/>
        </w:rPr>
        <w:t xml:space="preserve">First target: Biometrika, regular paper</w:t>
      </w:r>
      <w:r>
        <w:t xml:space="preserve">, provided the main paper can remain under 20 pages and the theorem scope is tightened as specified below.</w:t>
      </w:r>
    </w:p>
    <w:p>
      <w:pPr>
        <w:pStyle w:val="Compact"/>
        <w:widowControl/>
        <w:numPr>
          <w:ilvl w:val="0"/>
          <w:numId w:val="1001"/>
        </w:numPr>
      </w:pPr>
      <w:r>
        <w:rPr>
          <w:b/>
          <w:bCs/>
        </w:rPr>
        <w:t xml:space="preserve">Second target: JRSS-B</w:t>
      </w:r>
      <w:r>
        <w:t xml:space="preserve">, if the paper needs more space for methodology, application scope, and the locked empirical illustration.</w:t>
      </w:r>
    </w:p>
    <w:p>
      <w:pPr>
        <w:pStyle w:val="Compact"/>
        <w:widowControl/>
        <w:numPr>
          <w:ilvl w:val="0"/>
          <w:numId w:val="1001"/>
        </w:numPr>
      </w:pPr>
      <w:r>
        <w:rPr>
          <w:b/>
          <w:bCs/>
        </w:rPr>
        <w:t xml:space="preserve">JASA Theory and Methods</w:t>
      </w:r>
      <w:r>
        <w:t xml:space="preserve"> </w:t>
      </w:r>
      <w:r>
        <w:t xml:space="preserve">becomes especially attractive if a uniform process theorem, software implementation, or a broader inference package is added.</w:t>
      </w:r>
    </w:p>
    <w:p>
      <w:pPr>
        <w:pStyle w:val="Compact"/>
        <w:widowControl/>
        <w:numPr>
          <w:ilvl w:val="0"/>
          <w:numId w:val="1001"/>
        </w:numPr>
      </w:pPr>
      <w:r>
        <w:rPr>
          <w:b/>
          <w:bCs/>
        </w:rPr>
        <w:t xml:space="preserve">Annals of Statistics is not the immediate target.</w:t>
      </w:r>
      <w:r>
        <w:t xml:space="preserve"> </w:t>
      </w:r>
      <w:r>
        <w:t xml:space="preserve">It becomes realistic only if a substantially more general process theory or policy-class result becomes the central contribution.</w:t>
      </w:r>
    </w:p>
    <w:bookmarkEnd w:id="23"/>
    <w:bookmarkStart w:id="24" w:name="next-theorem-decision"/>
    <w:p>
      <w:pPr>
        <w:pStyle w:val="Heading2"/>
        <w:keepNext/>
        <w:keepLines/>
      </w:pPr>
      <w:r>
        <w:t xml:space="preserve">1.3 Next theorem decision</w:t>
      </w:r>
    </w:p>
    <w:p>
      <w:pPr>
        <w:pStyle w:val="FirstParagraph"/>
        <w:widowControl/>
      </w:pPr>
      <w:r>
        <w:rPr>
          <w:b/>
          <w:bCs/>
        </w:rPr>
        <w:t xml:space="preserve">Develop D4, the paired budget-matched policy-contrast theorem, before D3.</w:t>
      </w:r>
    </w:p>
    <w:p>
      <w:pPr>
        <w:pStyle w:val="BodyText"/>
        <w:widowControl/>
      </w:pPr>
      <w:r>
        <w:t xml:space="preserve">D4 directly connects the sharp allocation theory to the locked promising-minus-matched-random estimand. It is the smallest missing theorem that closes the conceptual and inferential loop of the paper.</w:t>
      </w:r>
    </w:p>
    <w:p>
      <w:pPr>
        <w:pStyle w:val="BodyText"/>
        <w:widowControl/>
      </w:pPr>
      <w:r>
        <w:t xml:space="preserve">D3, a uniform TESS-process theorem and simultaneous bands, remains valuable but should be attempted only after a complete manuscript draft shows that it is necessary for the target journal.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scientific-identity-of-the-paper"/>
    <w:p>
      <w:pPr>
        <w:pStyle w:val="Heading1"/>
        <w:keepNext/>
        <w:keepLines/>
      </w:pPr>
      <w:r>
        <w:t xml:space="preserve">2. Scientific identity of the paper</w:t>
      </w:r>
    </w:p>
    <w:bookmarkStart w:id="29" w:name="recommended-title"/>
    <w:p>
      <w:pPr>
        <w:pStyle w:val="Heading2"/>
        <w:keepNext/>
        <w:keepLines/>
      </w:pPr>
      <w:r>
        <w:t xml:space="preserve">2.1 Recommended title</w:t>
      </w:r>
    </w:p>
    <w:bookmarkStart w:id="26" w:name="preferred"/>
    <w:p>
      <w:pPr>
        <w:pStyle w:val="Heading3"/>
        <w:keepNext/>
        <w:keepLines/>
      </w:pPr>
      <w:r>
        <w:t xml:space="preserve">Preferred</w:t>
      </w:r>
    </w:p>
    <w:p>
      <w:pPr>
        <w:pStyle w:val="FirstParagraph"/>
        <w:widowControl/>
      </w:pPr>
      <w:r>
        <w:rPr>
          <w:b/>
          <w:bCs/>
        </w:rPr>
        <w:t xml:space="preserve">Inferential Search Size of Adaptive Statistical Policies</w:t>
      </w:r>
    </w:p>
    <w:bookmarkEnd w:id="26"/>
    <w:bookmarkStart w:id="27" w:name="strong-alternative"/>
    <w:p>
      <w:pPr>
        <w:pStyle w:val="Heading3"/>
        <w:keepNext/>
        <w:keepLines/>
      </w:pPr>
      <w:r>
        <w:t xml:space="preserve">Strong alternative</w:t>
      </w:r>
    </w:p>
    <w:p>
      <w:pPr>
        <w:pStyle w:val="FirstParagraph"/>
        <w:widowControl/>
      </w:pPr>
      <w:r>
        <w:rPr>
          <w:b/>
          <w:bCs/>
        </w:rPr>
        <w:t xml:space="preserve">Search Size Is a Property of the Adaptive Policy</w:t>
      </w:r>
    </w:p>
    <w:bookmarkEnd w:id="27"/>
    <w:bookmarkStart w:id="28" w:name="more-descriptive-alternative"/>
    <w:p>
      <w:pPr>
        <w:pStyle w:val="Heading3"/>
        <w:keepNext/>
        <w:keepLines/>
      </w:pPr>
      <w:r>
        <w:t xml:space="preserve">More descriptive alternative</w:t>
      </w:r>
    </w:p>
    <w:p>
      <w:pPr>
        <w:pStyle w:val="FirstParagraph"/>
        <w:widowControl/>
      </w:pPr>
      <w:r>
        <w:rPr>
          <w:b/>
          <w:bCs/>
        </w:rPr>
        <w:t xml:space="preserve">Policy-Level Search Size under Adaptive Statistical Branching</w:t>
      </w:r>
    </w:p>
    <w:p>
      <w:pPr>
        <w:pStyle w:val="BodyText"/>
        <w:widowControl/>
      </w:pPr>
      <w:r>
        <w:t xml:space="preserve">Avoid putting</w:t>
      </w:r>
      <w:r>
        <w:t xml:space="preserve"> </w:t>
      </w:r>
      <w:r>
        <w:t xml:space="preserve">“</w:t>
      </w:r>
      <w:r>
        <w:t xml:space="preserve">TESS</w:t>
      </w:r>
      <w:r>
        <w:t xml:space="preserve">”</w:t>
      </w:r>
      <w:r>
        <w:t xml:space="preserve"> </w:t>
      </w:r>
      <w:r>
        <w:t xml:space="preserve">in the title. The acronym is useful inside the paper, but the foundational object is policy-level search size, not a branded formula.</w:t>
      </w:r>
    </w:p>
    <w:bookmarkEnd w:id="28"/>
    <w:bookmarkEnd w:id="29"/>
    <w:bookmarkStart w:id="30" w:name="one-sentence-paper-claim"/>
    <w:p>
      <w:pPr>
        <w:pStyle w:val="Heading2"/>
        <w:keepNext/>
        <w:keepLines/>
      </w:pPr>
      <w:r>
        <w:t xml:space="preserve">2.2 One-sentence paper claim</w:t>
      </w:r>
    </w:p>
    <w:p>
      <w:pPr>
        <w:pStyle w:val="BlockText"/>
        <w:shd w:fill="EAF2F8"/>
        <w:widowControl/>
        <w:pBdr>
          <w:left w:val="single" w:sz="12" w:space="5" w:color="2F5597"/>
        </w:pBdr>
      </w:pPr>
      <w:r>
        <w:t xml:space="preserve">Two adaptive policies can share the complete fixed candidate law, marginal inclusion probabilities, candidate-count distribution, and expected candidate cost, yet have different global-null rejection curves; policy-level search size is determined by how activation is coupled to threshold-specific incremental rejection.</w:t>
      </w:r>
    </w:p>
    <w:bookmarkEnd w:id="30"/>
    <w:bookmarkStart w:id="31" w:name="abstract-level-contribution-statement"/>
    <w:p>
      <w:pPr>
        <w:pStyle w:val="Heading2"/>
        <w:keepNext/>
        <w:keepLines/>
      </w:pPr>
      <w:r>
        <w:t xml:space="preserve">2.3 Abstract-level contribution statement</w:t>
      </w:r>
    </w:p>
    <w:p>
      <w:pPr>
        <w:pStyle w:val="FirstParagraph"/>
        <w:widowControl/>
      </w:pPr>
      <w:r>
        <w:t xml:space="preserve">The final abstract should communicate four layers, in this order:</w:t>
      </w:r>
    </w:p>
    <w:p>
      <w:pPr>
        <w:pStyle w:val="Compact"/>
        <w:widowControl/>
        <w:numPr>
          <w:ilvl w:val="0"/>
          <w:numId w:val="1002"/>
        </w:numPr>
      </w:pPr>
      <w:r>
        <w:rPr>
          <w:b/>
          <w:bCs/>
        </w:rPr>
        <w:t xml:space="preserve">Non-identifiability:</w:t>
      </w:r>
      <w:r>
        <w:t xml:space="preserve"> </w:t>
      </w:r>
      <w:r>
        <w:t xml:space="preserve">fixed-family dependence and budget summaries are insufficient.</w:t>
      </w:r>
    </w:p>
    <w:p>
      <w:pPr>
        <w:pStyle w:val="Compact"/>
        <w:widowControl/>
        <w:numPr>
          <w:ilvl w:val="0"/>
          <w:numId w:val="1002"/>
        </w:numPr>
      </w:pPr>
      <w:r>
        <w:rPr>
          <w:b/>
          <w:bCs/>
        </w:rPr>
        <w:t xml:space="preserve">Sharp policy calculus:</w:t>
      </w:r>
      <w:r>
        <w:t xml:space="preserve"> </w:t>
      </w:r>
      <w:r>
        <w:t xml:space="preserve">the policy rejection law is generated by the coupling between activation and conditional incremental rejection; sharp same-budget envelopes follow.</w:t>
      </w:r>
    </w:p>
    <w:p>
      <w:pPr>
        <w:pStyle w:val="Compact"/>
        <w:widowControl/>
        <w:numPr>
          <w:ilvl w:val="0"/>
          <w:numId w:val="1002"/>
        </w:numPr>
      </w:pPr>
      <w:r>
        <w:rPr>
          <w:b/>
          <w:bCs/>
        </w:rPr>
        <w:t xml:space="preserve">Threshold structure:</w:t>
      </w:r>
      <w:r>
        <w:t xml:space="preserve"> </w:t>
      </w:r>
      <w:r>
        <w:t xml:space="preserve">a common activation ordering is uniformly optimal only under rank coherence; otherwise policy curves can reverse.</w:t>
      </w:r>
    </w:p>
    <w:p>
      <w:pPr>
        <w:pStyle w:val="Compact"/>
        <w:widowControl/>
        <w:numPr>
          <w:ilvl w:val="0"/>
          <w:numId w:val="1002"/>
        </w:numPr>
      </w:pPr>
      <w:r>
        <w:rPr>
          <w:b/>
          <w:bCs/>
        </w:rPr>
        <w:t xml:space="preserve">Inference and evidence:</w:t>
      </w:r>
      <w:r>
        <w:t xml:space="preserve"> </w:t>
      </w:r>
      <w:r>
        <w:t xml:space="preserve">reference- and evaluation-bank uncertainty admit a two-bank expansion and bootstrap; a locked machine-learning experiment demonstrates the phenomenon.</w:t>
      </w:r>
    </w:p>
    <w:bookmarkEnd w:id="31"/>
    <w:bookmarkStart w:id="32" w:name="what-the-paper-is-not"/>
    <w:p>
      <w:pPr>
        <w:pStyle w:val="Heading2"/>
        <w:keepNext/>
        <w:keepLines/>
      </w:pPr>
      <w:r>
        <w:t xml:space="preserve">2.4 What the paper is not</w:t>
      </w:r>
    </w:p>
    <w:p>
      <w:pPr>
        <w:pStyle w:val="Compact"/>
        <w:widowControl/>
        <w:numPr>
          <w:ilvl w:val="0"/>
          <w:numId w:val="1003"/>
        </w:numPr>
      </w:pPr>
      <w:r>
        <w:t xml:space="preserve">not the first effective-number-of-tests formula;</w:t>
      </w:r>
    </w:p>
    <w:p>
      <w:pPr>
        <w:pStyle w:val="Compact"/>
        <w:widowControl/>
        <w:numPr>
          <w:ilvl w:val="0"/>
          <w:numId w:val="1003"/>
        </w:numPr>
      </w:pPr>
      <w:r>
        <w:t xml:space="preserve">not a new extremal coefficient;</w:t>
      </w:r>
    </w:p>
    <w:p>
      <w:pPr>
        <w:pStyle w:val="Compact"/>
        <w:widowControl/>
        <w:numPr>
          <w:ilvl w:val="0"/>
          <w:numId w:val="1003"/>
        </w:numPr>
      </w:pPr>
      <w:r>
        <w:t xml:space="preserve">not a universal multiplicity correction;</w:t>
      </w:r>
    </w:p>
    <w:p>
      <w:pPr>
        <w:pStyle w:val="Compact"/>
        <w:widowControl/>
        <w:numPr>
          <w:ilvl w:val="0"/>
          <w:numId w:val="1003"/>
        </w:numPr>
      </w:pPr>
      <w:r>
        <w:t xml:space="preserve">not a claim that every adaptive procedure is harmful;</w:t>
      </w:r>
    </w:p>
    <w:p>
      <w:pPr>
        <w:pStyle w:val="Compact"/>
        <w:widowControl/>
        <w:numPr>
          <w:ilvl w:val="0"/>
          <w:numId w:val="1003"/>
        </w:numPr>
      </w:pPr>
      <w:r>
        <w:t xml:space="preserve">not a replacement for exact pipeline-aware max-statistic inference;</w:t>
      </w:r>
    </w:p>
    <w:p>
      <w:pPr>
        <w:pStyle w:val="Compact"/>
        <w:widowControl/>
        <w:numPr>
          <w:ilvl w:val="0"/>
          <w:numId w:val="1003"/>
        </w:numPr>
      </w:pPr>
      <w:r>
        <w:t xml:space="preserve">not primarily a clinical prediction paper;</w:t>
      </w:r>
    </w:p>
    <w:p>
      <w:pPr>
        <w:pStyle w:val="Compact"/>
        <w:widowControl/>
        <w:numPr>
          <w:ilvl w:val="0"/>
          <w:numId w:val="1003"/>
        </w:numPr>
      </w:pPr>
      <w:r>
        <w:t xml:space="preserve">not a paper whose novelty rests on a covariance identity alone.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source-and-evidence-hierarchy"/>
    <w:p>
      <w:pPr>
        <w:pStyle w:val="Heading1"/>
        <w:keepNext/>
        <w:keepLines/>
      </w:pPr>
      <w:r>
        <w:t xml:space="preserve">3. Source and evidence hierarchy</w:t>
      </w:r>
    </w:p>
    <w:bookmarkStart w:id="34" w:name="frozen-theoretical-sources"/>
    <w:p>
      <w:pPr>
        <w:pStyle w:val="Heading2"/>
        <w:keepNext/>
        <w:keepLines/>
      </w:pPr>
      <w:r>
        <w:t xml:space="preserve">3.1 Frozen theoretical sources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Aptos" w:hAnsi="Aptos" w:eastAsia="Yu Gothic"/>
                <w:b/>
                <w:color w:val="17365D"/>
                <w:sz w:val="15"/>
              </w:rPr>
              <w:t xml:space="preserve">Component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Aptos" w:hAnsi="Aptos" w:eastAsia="Yu Gothic"/>
                <w:b/>
                <w:color w:val="17365D"/>
                <w:sz w:val="15"/>
              </w:rPr>
              <w:t xml:space="preserve">Frozen source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Aptos" w:hAnsi="Aptos" w:eastAsia="Yu Gothic"/>
                <w:b/>
                <w:color w:val="17365D"/>
                <w:sz w:val="15"/>
              </w:rPr>
              <w:t xml:space="preserve">Status in final paper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Axiomatic characterization and fixed-family copula bridge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Theory memo v1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Short supporting proposition/remark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Sharp policy representation and envelope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Work Package A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Central theorem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Identifiability and fixed-budget impossibility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Work Package A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Central corollaries/theorem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Cost-weighted allocation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Work Package A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Supplement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Threshold-rank coherence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Work Package B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Main theorem after proof audit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Full-curve stochastic dominance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Work Package B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Supplement or corollary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Arbitrary policy-curve crossings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Work Package B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Main counterexample after scope repair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Known-trigger two-bank inference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D1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Supplementary stepping stone; REVIEW retained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Estimated-trigger two-bank inference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D2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Main inference theorem; PASS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Conditional DKW bands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Theory memo v1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Supplementary rigorous baseline</w:t>
            </w:r>
          </w:p>
        </w:tc>
      </w:tr>
    </w:tbl>
    <w:bookmarkEnd w:id="34"/>
    <w:bookmarkStart w:id="35" w:name="frozen-empirical-sources"/>
    <w:p>
      <w:pPr>
        <w:pStyle w:val="Heading2"/>
        <w:keepNext/>
        <w:keepLines/>
      </w:pPr>
      <w:r>
        <w:t xml:space="preserve">3.2 Frozen empirical sources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Aptos" w:hAnsi="Aptos" w:eastAsia="Yu Gothic"/>
                <w:b/>
                <w:color w:val="17365D"/>
                <w:sz w:val="15"/>
              </w:rPr>
              <w:t xml:space="preserve">Evidence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Aptos" w:hAnsi="Aptos" w:eastAsia="Yu Gothic"/>
                <w:b/>
                <w:color w:val="17365D"/>
                <w:sz w:val="15"/>
              </w:rPr>
              <w:t xml:space="preserve">Role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Fresh-seed locked confirmatory study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Main empirical illustration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Promising vs budget-matched random primary contrast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Main result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Rescue policy, high-dependency library, alpha curves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Secondary empirical structure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Reference-bank uncertainty sensitivity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Supports the need for two-bank inference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SUPPORT2-anchored permutation experiment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Supplementary structural validation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Reconstruction, tie, failed-fit, archive, and hash audits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Reproducibility supplement</w:t>
            </w:r>
          </w:p>
        </w:tc>
      </w:tr>
    </w:tbl>
    <w:bookmarkEnd w:id="35"/>
    <w:bookmarkStart w:id="36" w:name="evidence-hierarchy-in-the-final-paper"/>
    <w:p>
      <w:pPr>
        <w:pStyle w:val="Heading2"/>
        <w:keepNext/>
        <w:keepLines/>
      </w:pPr>
      <w:r>
        <w:t xml:space="preserve">3.3 Evidence hierarchy in the final paper</w:t>
      </w:r>
    </w:p>
    <w:p>
      <w:pPr>
        <w:pStyle w:val="Compact"/>
        <w:widowControl/>
        <w:numPr>
          <w:ilvl w:val="0"/>
          <w:numId w:val="1004"/>
        </w:numPr>
      </w:pPr>
      <w:r>
        <w:t xml:space="preserve">General theory and impossibility results.</w:t>
      </w:r>
    </w:p>
    <w:p>
      <w:pPr>
        <w:pStyle w:val="Compact"/>
        <w:widowControl/>
        <w:numPr>
          <w:ilvl w:val="0"/>
          <w:numId w:val="1004"/>
        </w:numPr>
      </w:pPr>
      <w:r>
        <w:t xml:space="preserve">Regular two-bank estimation and bootstrap theory.</w:t>
      </w:r>
    </w:p>
    <w:p>
      <w:pPr>
        <w:pStyle w:val="Compact"/>
        <w:widowControl/>
        <w:numPr>
          <w:ilvl w:val="0"/>
          <w:numId w:val="1004"/>
        </w:numPr>
      </w:pPr>
      <w:r>
        <w:t xml:space="preserve">Locked confirmatory empirical illustration.</w:t>
      </w:r>
    </w:p>
    <w:p>
      <w:pPr>
        <w:pStyle w:val="Compact"/>
        <w:widowControl/>
        <w:numPr>
          <w:ilvl w:val="0"/>
          <w:numId w:val="1004"/>
        </w:numPr>
      </w:pPr>
      <w:r>
        <w:t xml:space="preserve">SUPPORT2-anchored and other supplementary checks.</w:t>
      </w:r>
    </w:p>
    <w:p>
      <w:pPr>
        <w:pStyle w:val="FirstParagraph"/>
        <w:widowControl/>
      </w:pPr>
      <w:r>
        <w:t xml:space="preserve">This is the reverse of the current empirical v2 narrative. The top-tier paper must be theory-first.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theorem-audit-and-maturity-map"/>
    <w:p>
      <w:pPr>
        <w:pStyle w:val="Heading1"/>
        <w:keepNext/>
        <w:keepLines/>
      </w:pPr>
      <w:r>
        <w:t xml:space="preserve">4. Theorem audit and maturity map</w:t>
      </w:r>
    </w:p>
    <w:bookmarkStart w:id="38" w:name="X53f54d81c22213fcfcf1501de3b5d4b1eed6902"/>
    <w:p>
      <w:pPr>
        <w:pStyle w:val="Heading2"/>
        <w:keepNext/>
        <w:keepLines/>
      </w:pPr>
      <w:r>
        <w:t xml:space="preserve">4.1 Green: ready for manuscript-level proof polishing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Aptos" w:hAnsi="Aptos" w:eastAsia="Yu Gothic"/>
                <w:b/>
                <w:color w:val="17365D"/>
                <w:sz w:val="15"/>
              </w:rPr>
              <w:t xml:space="preserve">Result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Aptos" w:hAnsi="Aptos" w:eastAsia="Yu Gothic"/>
                <w:b/>
                <w:color w:val="17365D"/>
                <w:sz w:val="15"/>
              </w:rPr>
              <w:t xml:space="preserve">Why it is ready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Aptos" w:hAnsi="Aptos" w:eastAsia="Yu Gothic"/>
                <w:b/>
                <w:color w:val="17365D"/>
                <w:sz w:val="15"/>
              </w:rPr>
              <w:t xml:space="preserve">Main/supplement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Independent-composition characterization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Correct, concise Cauchy-equation argument; novelty modest but role clear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Main, short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Fixed-family copula/extremal-coefficient representation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Correct bridge to prior art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Main remark or supplement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Policy representation</w:t>
            </w:r>
            <w:r>
              <w:rPr>
                <w:rFonts w:ascii="Aptos" w:hAnsi="Aptos" w:eastAsia="Yu Gothic"/>
                <w:sz w:val="14"/>
              </w:rPr>
              <w:t xml:space="preserve"> </w:t>
            </w:r>
            <w:r>
              <w:rPr>
                <w:rStyle w:val="VerbatimChar"/>
                <w:rFonts w:ascii="Aptos" w:hAnsi="Aptos" w:eastAsia="Yu Gothic"/>
                <w:sz w:val="14"/>
              </w:rPr>
              <w:t xml:space="preserve">pi_a = pi_0 + E(a m_alpha)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Fundamental and transparent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Main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Sharp same-rate envelope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Standard rearrangement applied to a new policy functional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Main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Identifiability iff</w:t>
            </w:r>
            <w:r>
              <w:rPr>
                <w:rFonts w:ascii="Aptos" w:hAnsi="Aptos" w:eastAsia="Yu Gothic"/>
                <w:sz w:val="14"/>
              </w:rPr>
              <w:t xml:space="preserve"> </w:t>
            </w:r>
            <w:r>
              <w:rPr>
                <w:rStyle w:val="VerbatimChar"/>
                <w:rFonts w:ascii="Aptos" w:hAnsi="Aptos" w:eastAsia="Yu Gothic"/>
                <w:sz w:val="14"/>
              </w:rPr>
              <w:t xml:space="preserve">m_alpha(S)</w:t>
            </w:r>
            <w:r>
              <w:rPr>
                <w:rFonts w:ascii="Aptos" w:hAnsi="Aptos" w:eastAsia="Yu Gothic"/>
                <w:sz w:val="14"/>
              </w:rPr>
              <w:t xml:space="preserve"> </w:t>
            </w:r>
            <w:r>
              <w:rPr>
                <w:rFonts w:ascii="Aptos" w:hAnsi="Aptos" w:eastAsia="Yu Gothic"/>
                <w:sz w:val="14"/>
              </w:rPr>
              <w:t xml:space="preserve">is constant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Sharp and central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Main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Fixed expected candidate count does not bound deep-tail search size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Striking impossibility result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Main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D2 two-bank linear expansion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Regular empirical-process/quantile theorem, numerically validated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Main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D2 complete-vector bootstrap validity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Direct practical consequence, numerically validated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Main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Exact finite-reference expectation in the independent benchmark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Explains D1 finite-B behavior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Supplement</w:t>
            </w:r>
          </w:p>
        </w:tc>
      </w:tr>
    </w:tbl>
    <w:bookmarkEnd w:id="38"/>
    <w:bookmarkStart w:id="39" w:name="Xec67060ef4147f437a11c03ba8a2ae89a4e3cd1"/>
    <w:p>
      <w:pPr>
        <w:pStyle w:val="Heading2"/>
        <w:keepNext/>
        <w:keepLines/>
      </w:pPr>
      <w:r>
        <w:t xml:space="preserve">4.2 Amber: retain, but complete a formal proof/scope audit before final drafting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Aptos" w:hAnsi="Aptos" w:eastAsia="Yu Gothic"/>
                <w:b/>
                <w:color w:val="17365D"/>
                <w:sz w:val="15"/>
              </w:rPr>
              <w:t xml:space="preserve">Result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Aptos" w:hAnsi="Aptos" w:eastAsia="Yu Gothic"/>
                <w:b/>
                <w:color w:val="17365D"/>
                <w:sz w:val="15"/>
              </w:rPr>
              <w:t xml:space="preserve">Issue to resolve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Aptos" w:hAnsi="Aptos" w:eastAsia="Yu Gothic"/>
                <w:b/>
                <w:color w:val="17365D"/>
                <w:sz w:val="15"/>
              </w:rPr>
              <w:t xml:space="preserve">Required action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Rank-coherence/common-rank theorem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Uncountable threshold index requires a common version, separability, or a finite/dense-index formulation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State on compact separable</w:t>
            </w:r>
            <w:r>
              <w:rPr>
                <w:rFonts w:ascii="Aptos" w:hAnsi="Aptos" w:eastAsia="Yu Gothic"/>
                <w:sz w:val="14"/>
              </w:rPr>
              <w:t xml:space="preserve"> </w:t>
            </w:r>
            <w:r>
              <w:rPr>
                <w:rStyle w:val="VerbatimChar"/>
                <w:rFonts w:ascii="Aptos" w:hAnsi="Aptos" w:eastAsia="Yu Gothic"/>
                <w:sz w:val="14"/>
              </w:rPr>
              <w:t xml:space="preserve">I</w:t>
            </w:r>
            <w:r>
              <w:rPr>
                <w:rFonts w:ascii="Aptos" w:hAnsi="Aptos" w:eastAsia="Yu Gothic"/>
                <w:sz w:val="14"/>
              </w:rPr>
              <w:t xml:space="preserve">, add measurability/version conditions, or first state for finite threshold sets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Arbitrary smooth curve-crossing theorem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Current construction is naturally a branch-output selection policy; it must not be silently described as nested candidate addition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Rephrase as general adaptive branch selection, or rebuild a nested-expansion construction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Multistage telescoping extension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Correct algebraically but peripheral and likely to invite scope expansion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Move to a remark/supplement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Weighted compromise objective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Useful but secondary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Supplement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Trigger-only variance diagnostic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Ratio is unstable when the theoretical denominator is near zero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Report absolute contribution, not ratio, in any final table</w:t>
            </w:r>
          </w:p>
        </w:tc>
      </w:tr>
    </w:tbl>
    <w:bookmarkEnd w:id="39"/>
    <w:bookmarkStart w:id="40" w:name="Xb5a25e0cda07a971a71b18f8ee6ce3a4607f31d"/>
    <w:p>
      <w:pPr>
        <w:pStyle w:val="Heading2"/>
        <w:keepNext/>
        <w:keepLines/>
      </w:pPr>
      <w:r>
        <w:t xml:space="preserve">4.3 Red: missing bridge results required before submission</w:t>
      </w:r>
    </w:p>
    <w:p>
      <w:pPr>
        <w:pStyle w:val="Compact"/>
        <w:widowControl/>
        <w:numPr>
          <w:ilvl w:val="0"/>
          <w:numId w:val="1005"/>
        </w:numPr>
      </w:pPr>
      <w:r>
        <w:rPr>
          <w:b/>
          <w:bCs/>
        </w:rPr>
        <w:t xml:space="preserve">D4 paired policy-contrast theorem.</w:t>
      </w:r>
    </w:p>
    <w:p>
      <w:pPr>
        <w:pStyle w:val="Compact"/>
        <w:widowControl/>
        <w:numPr>
          <w:ilvl w:val="0"/>
          <w:numId w:val="1005"/>
        </w:numPr>
      </w:pPr>
      <w:r>
        <w:rPr>
          <w:b/>
          <w:bCs/>
        </w:rPr>
        <w:t xml:space="preserve">Exact plus-one/order-statistic bridge.</w:t>
      </w:r>
    </w:p>
    <w:p>
      <w:pPr>
        <w:pStyle w:val="Compact"/>
        <w:widowControl/>
        <w:numPr>
          <w:ilvl w:val="0"/>
          <w:numId w:val="1005"/>
        </w:numPr>
      </w:pPr>
      <w:r>
        <w:rPr>
          <w:b/>
          <w:bCs/>
        </w:rPr>
        <w:t xml:space="preserve">Finite-candidate unique-winner extension or an explicit statement that the inference theorem is a regular surrogate model.</w:t>
      </w:r>
    </w:p>
    <w:p>
      <w:pPr>
        <w:pStyle w:val="Compact"/>
        <w:widowControl/>
        <w:numPr>
          <w:ilvl w:val="0"/>
          <w:numId w:val="1005"/>
        </w:numPr>
      </w:pPr>
      <w:r>
        <w:rPr>
          <w:b/>
          <w:bCs/>
        </w:rPr>
        <w:t xml:space="preserve">A final literature novelty audit specifically targeting adaptive subset evaluation and selected-family search-cost functionals.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5" w:name="recommended-theorem-spine"/>
    <w:p>
      <w:pPr>
        <w:pStyle w:val="Heading1"/>
        <w:keepNext/>
        <w:keepLines/>
      </w:pPr>
      <w:r>
        <w:t xml:space="preserve">5. Recommended theorem spine</w:t>
      </w:r>
    </w:p>
    <w:p>
      <w:pPr>
        <w:pStyle w:val="FirstParagraph"/>
        <w:widowControl/>
      </w:pPr>
      <w:r>
        <w:t xml:space="preserve">The main paper should contain a small number of named results. Supporting algebra and secondary extensions move to the supplement.</w:t>
      </w:r>
    </w:p>
    <w:bookmarkStart w:id="42" w:name="X39b2faf68cf2ce1c53cc097b37a9474d5cb72cc"/>
    <w:p>
      <w:pPr>
        <w:pStyle w:val="Heading2"/>
        <w:keepNext/>
        <w:keepLines/>
      </w:pPr>
      <w:r>
        <w:t xml:space="preserve">Proposition 1. Characterization of the search-size scale</w:t>
      </w:r>
    </w:p>
    <w:p>
      <w:pPr>
        <w:pStyle w:val="FirstParagraph"/>
        <w:widowControl/>
      </w:pPr>
      <w:r>
        <w:t xml:space="preserve">At fixed local threshold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, null-law invariance, continuity, independent-union additivity, and exact-single normalization uniquely give</w:t>
      </w:r>
    </w:p>
    <w:p>
      <w:pPr>
        <w:pStyle w:val="BodyText"/>
        <w:widowControl/>
        <w:spacing w:before="60" w:after="100"/>
        <w:jc w:val="center"/>
      </w:pPr>
      <w:r>
        <w:rPr>
          <w:rStyle w:val="VerbatimChar"/>
          <w:rFonts w:ascii="Cambria Math" w:hAnsi="Cambria Math"/>
          <w:sz w:val="19"/>
        </w:rPr>
        <w:t xml:space="preserve">S_A(alpha) = log{1 - pi_A(alpha)} / log(1 - alpha)</w:t>
      </w:r>
      <w:r>
        <w:rPr>
          <w:rFonts w:ascii="Cambria Math" w:hAnsi="Cambria Math"/>
          <w:sz w:val="19"/>
        </w:rPr>
        <w:t xml:space="preserve">.</w:t>
      </w:r>
    </w:p>
    <w:p>
      <w:pPr>
        <w:pStyle w:val="BodyText"/>
        <w:widowControl/>
      </w:pPr>
      <w:r>
        <w:rPr>
          <w:b/>
          <w:bCs/>
        </w:rPr>
        <w:t xml:space="preserve">Role:</w:t>
      </w:r>
      <w:r>
        <w:t xml:space="preserve"> </w:t>
      </w:r>
      <w:r>
        <w:t xml:space="preserve">justifies the scale.</w:t>
      </w:r>
      <w:r>
        <w:br/>
      </w:r>
      <w:r>
        <w:rPr>
          <w:b/>
          <w:bCs/>
        </w:rPr>
        <w:t xml:space="preserve">Novelty claim:</w:t>
      </w:r>
      <w:r>
        <w:t xml:space="preserve"> </w:t>
      </w:r>
      <w:r>
        <w:t xml:space="preserve">supporting, not central.</w:t>
      </w:r>
    </w:p>
    <w:bookmarkEnd w:id="42"/>
    <w:bookmarkStart w:id="43" w:name="remark-1.-fixed-family-limit"/>
    <w:p>
      <w:pPr>
        <w:pStyle w:val="Heading2"/>
        <w:keepNext/>
        <w:keepLines/>
      </w:pPr>
      <w:r>
        <w:t xml:space="preserve">Remark 1. Fixed-family limit</w:t>
      </w:r>
    </w:p>
    <w:p>
      <w:pPr>
        <w:pStyle w:val="FirstParagraph"/>
        <w:widowControl/>
      </w:pPr>
      <w:r>
        <w:t xml:space="preserve">For a fixed family of exact p-values, search size is the diagonal log-ratio of the survival copula; under extreme-value dependence it equals the extremal coefficient.</w:t>
      </w:r>
    </w:p>
    <w:p>
      <w:pPr>
        <w:pStyle w:val="BodyText"/>
        <w:widowControl/>
      </w:pPr>
      <w:r>
        <w:rPr>
          <w:b/>
          <w:bCs/>
        </w:rPr>
        <w:t xml:space="preserve">Role:</w:t>
      </w:r>
      <w:r>
        <w:t xml:space="preserve"> </w:t>
      </w:r>
      <w:r>
        <w:t xml:space="preserve">locates the new object relative to known effective-number theory.</w:t>
      </w:r>
      <w:r>
        <w:br/>
      </w:r>
      <w:r>
        <w:rPr>
          <w:b/>
          <w:bCs/>
        </w:rPr>
        <w:t xml:space="preserve">Placement:</w:t>
      </w:r>
      <w:r>
        <w:t xml:space="preserve"> </w:t>
      </w:r>
      <w:r>
        <w:t xml:space="preserve">no more than half a page in the main text.</w:t>
      </w:r>
    </w:p>
    <w:bookmarkEnd w:id="43"/>
    <w:bookmarkStart w:id="44" w:name="X0f0e8bbe9ea07c348025432a20a78ff95de68a5"/>
    <w:p>
      <w:pPr>
        <w:pStyle w:val="Heading2"/>
        <w:keepNext/>
        <w:keepLines/>
      </w:pPr>
      <w:r>
        <w:t xml:space="preserve">Theorem 1. Policy representation and sharp same-budget envelope</w:t>
      </w:r>
    </w:p>
    <w:p>
      <w:pPr>
        <w:pStyle w:val="FirstParagraph"/>
        <w:widowControl/>
      </w:pPr>
      <w:r>
        <w:t xml:space="preserve">For activation-time information</w:t>
      </w:r>
      <w:r>
        <w:t xml:space="preserve"> </w:t>
      </w:r>
      <w:r>
        <w:rPr>
          <w:rStyle w:val="VerbatimChar"/>
        </w:rPr>
        <w:t xml:space="preserve">S</w:t>
      </w:r>
      <w:r>
        <w:t xml:space="preserve">, activation kernel</w:t>
      </w:r>
      <w:r>
        <w:t xml:space="preserve"> </w:t>
      </w:r>
      <w:r>
        <w:rPr>
          <w:rStyle w:val="VerbatimChar"/>
        </w:rPr>
        <w:t xml:space="preserve">a(S)</w:t>
      </w:r>
      <w:r>
        <w:t xml:space="preserve">, and incremental rejection</w:t>
      </w:r>
      <w:r>
        <w:t xml:space="preserve"> </w:t>
      </w:r>
      <w:r>
        <w:rPr>
          <w:rStyle w:val="VerbatimChar"/>
        </w:rPr>
        <w:t xml:space="preserve">D_alpha</w:t>
      </w:r>
      <w:r>
        <w:t xml:space="preserve">, define</w:t>
      </w:r>
    </w:p>
    <w:p>
      <w:pPr>
        <w:pStyle w:val="BodyText"/>
        <w:widowControl/>
      </w:pPr>
      <w:r>
        <w:rPr>
          <w:rStyle w:val="VerbatimChar"/>
        </w:rPr>
        <w:t xml:space="preserve">m_alpha(S) = E(D_alpha | S)</w:t>
      </w:r>
      <w:r>
        <w:t xml:space="preserve">.</w:t>
      </w:r>
    </w:p>
    <w:p>
      <w:pPr>
        <w:pStyle w:val="BodyText"/>
        <w:widowControl/>
      </w:pPr>
      <w:r>
        <w:t xml:space="preserve">Then</w:t>
      </w:r>
    </w:p>
    <w:p>
      <w:pPr>
        <w:pStyle w:val="BodyText"/>
        <w:widowControl/>
        <w:spacing w:before="60" w:after="100"/>
        <w:jc w:val="center"/>
      </w:pPr>
      <w:r>
        <w:rPr>
          <w:rStyle w:val="VerbatimChar"/>
          <w:rFonts w:ascii="Cambria Math" w:hAnsi="Cambria Math"/>
          <w:sz w:val="19"/>
        </w:rPr>
        <w:t xml:space="preserve">pi_a(alpha) = pi_0(alpha) + E{a(S)m_alpha(S)}</w:t>
      </w:r>
      <w:r>
        <w:rPr>
          <w:rFonts w:ascii="Cambria Math" w:hAnsi="Cambria Math"/>
          <w:sz w:val="19"/>
        </w:rPr>
        <w:t xml:space="preserve">,</w:t>
      </w:r>
    </w:p>
    <w:p>
      <w:pPr>
        <w:pStyle w:val="BodyText"/>
        <w:widowControl/>
      </w:pPr>
      <w:r>
        <w:t xml:space="preserve">and at fixed activation rate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the attainable rejection probabilities are exactly the lower and upper integrated-quantile envelope of</w:t>
      </w:r>
      <w:r>
        <w:t xml:space="preserve"> </w:t>
      </w:r>
      <w:r>
        <w:rPr>
          <w:rStyle w:val="VerbatimChar"/>
        </w:rPr>
        <w:t xml:space="preserve">m_alpha(S)</w:t>
      </w:r>
      <w:r>
        <w:t xml:space="preserve">.</w:t>
      </w:r>
    </w:p>
    <w:p>
      <w:pPr>
        <w:pStyle w:val="BodyText"/>
        <w:widowControl/>
      </w:pPr>
      <w:r>
        <w:rPr>
          <w:b/>
          <w:bCs/>
        </w:rPr>
        <w:t xml:space="preserve">Role:</w:t>
      </w:r>
      <w:r>
        <w:t xml:space="preserve"> </w:t>
      </w:r>
      <w:r>
        <w:t xml:space="preserve">central representation theorem.</w:t>
      </w:r>
    </w:p>
    <w:bookmarkEnd w:id="44"/>
    <w:bookmarkStart w:id="45" w:name="Xc9fe2993d723bc2eb08afb28deffe125b1606f3"/>
    <w:p>
      <w:pPr>
        <w:pStyle w:val="Heading2"/>
        <w:keepNext/>
        <w:keepLines/>
      </w:pPr>
      <w:r>
        <w:t xml:space="preserve">Corollary 1. Exact policy identifiability criterion</w:t>
      </w:r>
    </w:p>
    <w:p>
      <w:pPr>
        <w:pStyle w:val="FirstParagraph"/>
        <w:widowControl/>
      </w:pPr>
      <w:r>
        <w:t xml:space="preserve">The fixed candidate law and activation rate identify policy rejection burden if and only if</w:t>
      </w:r>
      <w:r>
        <w:t xml:space="preserve"> </w:t>
      </w:r>
      <w:r>
        <w:rPr>
          <w:rStyle w:val="VerbatimChar"/>
        </w:rPr>
        <w:t xml:space="preserve">m_alpha(S)</w:t>
      </w:r>
      <w:r>
        <w:t xml:space="preserve"> </w:t>
      </w:r>
      <w:r>
        <w:t xml:space="preserve">is almost surely constant.</w:t>
      </w:r>
    </w:p>
    <w:p>
      <w:pPr>
        <w:pStyle w:val="BodyText"/>
        <w:widowControl/>
      </w:pPr>
      <w:r>
        <w:rPr>
          <w:b/>
          <w:bCs/>
        </w:rPr>
        <w:t xml:space="preserve">Role:</w:t>
      </w:r>
      <w:r>
        <w:t xml:space="preserve"> </w:t>
      </w:r>
      <w:r>
        <w:t xml:space="preserve">central conceptual claim.</w:t>
      </w:r>
    </w:p>
    <w:bookmarkEnd w:id="45"/>
    <w:bookmarkStart w:id="46" w:name="corollary-2.-budget-insufficiency"/>
    <w:p>
      <w:pPr>
        <w:pStyle w:val="Heading2"/>
        <w:keepNext/>
        <w:keepLines/>
      </w:pPr>
      <w:r>
        <w:t xml:space="preserve">Corollary 2. Budget insufficiency</w:t>
      </w:r>
    </w:p>
    <w:p>
      <w:pPr>
        <w:pStyle w:val="FirstParagraph"/>
        <w:widowControl/>
      </w:pPr>
      <w:r>
        <w:t xml:space="preserve">Expected candidate count alone does not upper-bound deep-tail policy search size. At a fixed expected candidate-count budget, the deep-tail search size may diverge as the optional family grows.</w:t>
      </w:r>
    </w:p>
    <w:p>
      <w:pPr>
        <w:pStyle w:val="BodyText"/>
        <w:widowControl/>
      </w:pPr>
      <w:r>
        <w:rPr>
          <w:b/>
          <w:bCs/>
        </w:rPr>
        <w:t xml:space="preserve">Role:</w:t>
      </w:r>
      <w:r>
        <w:t xml:space="preserve"> </w:t>
      </w:r>
      <w:r>
        <w:t xml:space="preserve">memorable impossibility result.</w:t>
      </w:r>
    </w:p>
    <w:bookmarkEnd w:id="46"/>
    <w:bookmarkStart w:id="47" w:name="X29dad6b8279fd0bed6d43ac0c17247412c7ae8f"/>
    <w:p>
      <w:pPr>
        <w:pStyle w:val="Heading2"/>
        <w:keepNext/>
        <w:keepLines/>
      </w:pPr>
      <w:r>
        <w:t xml:space="preserve">Theorem 2. Threshold coherence and simultaneous optimality</w:t>
      </w:r>
    </w:p>
    <w:p>
      <w:pPr>
        <w:pStyle w:val="FirstParagraph"/>
        <w:widowControl/>
      </w:pPr>
      <w:r>
        <w:t xml:space="preserve">Under a formally audited rank-coherence condition, a common rank variable orders</w:t>
      </w:r>
      <w:r>
        <w:t xml:space="preserve"> </w:t>
      </w:r>
      <w:r>
        <w:rPr>
          <w:rStyle w:val="VerbatimChar"/>
        </w:rPr>
        <w:t xml:space="preserve">m_alpha(S)</w:t>
      </w:r>
      <w:r>
        <w:t xml:space="preserve"> </w:t>
      </w:r>
      <w:r>
        <w:t xml:space="preserve">for all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in the declared interval; top-rank activation is simultaneously optimal throughout the interval.</w:t>
      </w:r>
    </w:p>
    <w:p>
      <w:pPr>
        <w:pStyle w:val="BodyText"/>
        <w:widowControl/>
      </w:pPr>
      <w:r>
        <w:rPr>
          <w:b/>
          <w:bCs/>
        </w:rPr>
        <w:t xml:space="preserve">Role:</w:t>
      </w:r>
      <w:r>
        <w:t xml:space="preserve"> </w:t>
      </w:r>
      <w:r>
        <w:t xml:space="preserve">explains when one scalar trigger can be uniformly meaningful.</w:t>
      </w:r>
    </w:p>
    <w:bookmarkEnd w:id="47"/>
    <w:bookmarkStart w:id="48" w:name="X248fa6d08422de16a7bd93bdbe623b5c15f2740"/>
    <w:p>
      <w:pPr>
        <w:pStyle w:val="Heading2"/>
        <w:keepNext/>
        <w:keepLines/>
      </w:pPr>
      <w:r>
        <w:t xml:space="preserve">Theorem 3. Threshold-dependent non-orderability</w:t>
      </w:r>
    </w:p>
    <w:p>
      <w:pPr>
        <w:pStyle w:val="FirstParagraph"/>
        <w:widowControl/>
      </w:pPr>
      <w:r>
        <w:t xml:space="preserve">Without rank coherence, policies with the same fixed branch law and the same budget can have crossing rejection and search-size curves. A smooth construction can place prescribed finite crossing points.</w:t>
      </w:r>
    </w:p>
    <w:p>
      <w:pPr>
        <w:pStyle w:val="BodyText"/>
        <w:widowControl/>
      </w:pPr>
      <w:r>
        <w:rPr>
          <w:b/>
          <w:bCs/>
        </w:rPr>
        <w:t xml:space="preserve">Role:</w:t>
      </w:r>
      <w:r>
        <w:t xml:space="preserve"> </w:t>
      </w:r>
      <w:r>
        <w:t xml:space="preserve">curve-level impossibility result.</w:t>
      </w:r>
      <w:r>
        <w:br/>
      </w:r>
      <w:r>
        <w:rPr>
          <w:b/>
          <w:bCs/>
        </w:rPr>
        <w:t xml:space="preserve">Scope warning:</w:t>
      </w:r>
      <w:r>
        <w:t xml:space="preserve"> </w:t>
      </w:r>
      <w:r>
        <w:t xml:space="preserve">describe it as a general branch-output policy unless a nested-expansion construction is supplied.</w:t>
      </w:r>
    </w:p>
    <w:bookmarkEnd w:id="48"/>
    <w:bookmarkStart w:id="49" w:name="Xb2d1a50e378b0940417ffd284bed8de2be0eff6"/>
    <w:p>
      <w:pPr>
        <w:pStyle w:val="Heading2"/>
        <w:keepNext/>
        <w:keepLines/>
      </w:pPr>
      <w:r>
        <w:t xml:space="preserve">Theorem 4. Estimated-trigger two-bank inference</w:t>
      </w:r>
    </w:p>
    <w:p>
      <w:pPr>
        <w:pStyle w:val="FirstParagraph"/>
        <w:widowControl/>
      </w:pPr>
      <w:r>
        <w:t xml:space="preserve">Under the regular one-candidate-per-branch model, jointly estimating base, optional, and trigger quantiles from a complete-vector reference bank gives</w:t>
      </w:r>
    </w:p>
    <w:p>
      <w:pPr>
        <w:pStyle w:val="BodyText"/>
        <w:widowControl/>
      </w:pPr>
      <w:r>
        <w:rPr>
          <w:rStyle w:val="VerbatimChar"/>
        </w:rPr>
        <w:t xml:space="preserve">pi_hat - pi = P_n phi_E + P_B phi_R + o_p(n^-1/2 + B^-1/2)</w:t>
      </w:r>
      <w:r>
        <w:t xml:space="preserve">,</w:t>
      </w:r>
    </w:p>
    <w:p>
      <w:pPr>
        <w:pStyle w:val="BodyText"/>
        <w:widowControl/>
      </w:pPr>
      <w:r>
        <w:t xml:space="preserve">with</w:t>
      </w:r>
    </w:p>
    <w:p>
      <w:pPr>
        <w:pStyle w:val="BodyText"/>
        <w:widowControl/>
      </w:pPr>
      <w:r>
        <w:rPr>
          <w:rStyle w:val="VerbatimChar"/>
        </w:rPr>
        <w:t xml:space="preserve">phi_R = a_0 W_0 + b_1 W_1 + d_U W_U</w:t>
      </w:r>
      <w:r>
        <w:t xml:space="preserve">,</w:t>
      </w:r>
    </w:p>
    <w:p>
      <w:pPr>
        <w:pStyle w:val="BodyText"/>
        <w:widowControl/>
      </w:pPr>
      <w:r>
        <w:t xml:space="preserve">and a valid independently resampled complete-replication two-bank bootstrap. The TESS result follows by the delta method.</w:t>
      </w:r>
    </w:p>
    <w:p>
      <w:pPr>
        <w:pStyle w:val="BodyText"/>
        <w:widowControl/>
      </w:pPr>
      <w:r>
        <w:rPr>
          <w:b/>
          <w:bCs/>
        </w:rPr>
        <w:t xml:space="preserve">Role:</w:t>
      </w:r>
      <w:r>
        <w:t xml:space="preserve"> </w:t>
      </w:r>
      <w:r>
        <w:t xml:space="preserve">main inference theorem.</w:t>
      </w:r>
    </w:p>
    <w:bookmarkEnd w:id="49"/>
    <w:bookmarkStart w:id="50" w:name="X9f3b0274744ab25e172f5fc54094b9b87305187"/>
    <w:p>
      <w:pPr>
        <w:pStyle w:val="Heading2"/>
        <w:keepNext/>
        <w:keepLines/>
      </w:pPr>
      <w:r>
        <w:t xml:space="preserve">Theorem 5. Paired budget-matched policy contrast - D4, to be completed</w:t>
      </w:r>
    </w:p>
    <w:p>
      <w:pPr>
        <w:pStyle w:val="FirstParagraph"/>
        <w:widowControl/>
      </w:pPr>
      <w:r>
        <w:t xml:space="preserve">This theorem should target the empirical mechanism directly.</w:t>
      </w:r>
    </w:p>
    <w:p>
      <w:pPr>
        <w:pStyle w:val="BodyText"/>
        <w:widowControl/>
      </w:pPr>
      <w:r>
        <w:t xml:space="preserve">Let</w:t>
      </w:r>
    </w:p>
    <w:p>
      <w:pPr>
        <w:pStyle w:val="Compact"/>
        <w:widowControl/>
        <w:numPr>
          <w:ilvl w:val="0"/>
          <w:numId w:val="1006"/>
        </w:numPr>
      </w:pPr>
      <w:r>
        <w:rPr>
          <w:rStyle w:val="VerbatimChar"/>
        </w:rPr>
        <w:t xml:space="preserve">e_0 = E(R_0)</w:t>
      </w:r>
      <w:r>
        <w:t xml:space="preserve">,</w:t>
      </w:r>
    </w:p>
    <w:p>
      <w:pPr>
        <w:pStyle w:val="Compact"/>
        <w:widowControl/>
        <w:numPr>
          <w:ilvl w:val="0"/>
          <w:numId w:val="1006"/>
        </w:numPr>
      </w:pPr>
      <w:r>
        <w:rPr>
          <w:rStyle w:val="VerbatimChar"/>
        </w:rPr>
        <w:t xml:space="preserve">r = E(A)</w:t>
      </w:r>
      <w:r>
        <w:t xml:space="preserve">,</w:t>
      </w:r>
    </w:p>
    <w:p>
      <w:pPr>
        <w:pStyle w:val="Compact"/>
        <w:widowControl/>
        <w:numPr>
          <w:ilvl w:val="0"/>
          <w:numId w:val="1006"/>
        </w:numPr>
      </w:pPr>
      <w:r>
        <w:rPr>
          <w:rStyle w:val="VerbatimChar"/>
        </w:rPr>
        <w:t xml:space="preserve">mu = E(D)</w:t>
      </w:r>
      <w:r>
        <w:t xml:space="preserve">,</w:t>
      </w:r>
    </w:p>
    <w:p>
      <w:pPr>
        <w:pStyle w:val="Compact"/>
        <w:widowControl/>
        <w:numPr>
          <w:ilvl w:val="0"/>
          <w:numId w:val="1006"/>
        </w:numPr>
      </w:pPr>
      <w:r>
        <w:rPr>
          <w:rStyle w:val="VerbatimChar"/>
        </w:rPr>
        <w:t xml:space="preserve">nu = E(AD)</w:t>
      </w:r>
      <w:r>
        <w:t xml:space="preserve">.</w:t>
      </w:r>
    </w:p>
    <w:p>
      <w:pPr>
        <w:pStyle w:val="FirstParagraph"/>
        <w:widowControl/>
      </w:pPr>
      <w:r>
        <w:t xml:space="preserve">Then</w:t>
      </w:r>
    </w:p>
    <w:p>
      <w:pPr>
        <w:pStyle w:val="Compact"/>
        <w:widowControl/>
        <w:numPr>
          <w:ilvl w:val="0"/>
          <w:numId w:val="1007"/>
        </w:numPr>
      </w:pPr>
      <w:r>
        <w:t xml:space="preserve">adaptive-policy rejection:</w:t>
      </w:r>
      <w:r>
        <w:t xml:space="preserve"> </w:t>
      </w:r>
      <w:r>
        <w:rPr>
          <w:rStyle w:val="VerbatimChar"/>
        </w:rPr>
        <w:t xml:space="preserve">pi_A = e_0 + nu</w:t>
      </w:r>
      <w:r>
        <w:t xml:space="preserve">,</w:t>
      </w:r>
    </w:p>
    <w:p>
      <w:pPr>
        <w:pStyle w:val="Compact"/>
        <w:widowControl/>
        <w:numPr>
          <w:ilvl w:val="0"/>
          <w:numId w:val="1007"/>
        </w:numPr>
      </w:pPr>
      <w:r>
        <w:t xml:space="preserve">budget-matched random rejection:</w:t>
      </w:r>
      <w:r>
        <w:t xml:space="preserve"> </w:t>
      </w:r>
      <w:r>
        <w:rPr>
          <w:rStyle w:val="VerbatimChar"/>
        </w:rPr>
        <w:t xml:space="preserve">pi_C = e_0 + r mu</w:t>
      </w:r>
      <w:r>
        <w:t xml:space="preserve">,</w:t>
      </w:r>
    </w:p>
    <w:p>
      <w:pPr>
        <w:pStyle w:val="Compact"/>
        <w:widowControl/>
        <w:numPr>
          <w:ilvl w:val="0"/>
          <w:numId w:val="1007"/>
        </w:numPr>
      </w:pPr>
      <w:r>
        <w:t xml:space="preserve">allocation premium:</w:t>
      </w:r>
      <w:r>
        <w:t xml:space="preserve"> </w:t>
      </w:r>
      <w:r>
        <w:rPr>
          <w:rStyle w:val="VerbatimChar"/>
        </w:rPr>
        <w:t xml:space="preserve">delta = nu - r mu = Cov(A,D)</w:t>
      </w:r>
      <w:r>
        <w:t xml:space="preserve">,</w:t>
      </w:r>
    </w:p>
    <w:p>
      <w:pPr>
        <w:pStyle w:val="Compact"/>
        <w:widowControl/>
        <w:numPr>
          <w:ilvl w:val="0"/>
          <w:numId w:val="1007"/>
        </w:numPr>
      </w:pPr>
      <w:r>
        <w:t xml:space="preserve">TESS contrast:</w:t>
      </w:r>
      <w:r>
        <w:t xml:space="preserve"> </w:t>
      </w:r>
      <w:r>
        <w:rPr>
          <w:rStyle w:val="VerbatimChar"/>
        </w:rPr>
        <w:t xml:space="preserve">Delta_S = g_alpha(pi_A) - g_alpha(pi_C)</w:t>
      </w:r>
      <w:r>
        <w:t xml:space="preserve">.</w:t>
      </w:r>
    </w:p>
    <w:p>
      <w:pPr>
        <w:pStyle w:val="FirstParagraph"/>
        <w:widowControl/>
      </w:pPr>
      <w:r>
        <w:t xml:space="preserve">The evaluation influence function has the explicit form</w:t>
      </w:r>
    </w:p>
    <w:p>
      <w:pPr>
        <w:pStyle w:val="BodyText"/>
        <w:widowControl/>
        <w:spacing w:before="60" w:after="100"/>
        <w:jc w:val="center"/>
      </w:pPr>
      <w:r>
        <w:rPr>
          <w:rStyle w:val="VerbatimChar"/>
          <w:rFonts w:ascii="Cambria Math" w:hAnsi="Cambria Math"/>
          <w:sz w:val="19"/>
        </w:rPr>
        <w:t xml:space="preserve">phi_E^Delta = g'(pi_A){R_0 + AD - pi_A}</w:t>
      </w:r>
    </w:p>
    <w:p>
      <w:pPr>
        <w:pStyle w:val="BodyText"/>
        <w:widowControl/>
      </w:pPr>
      <w:r>
        <w:rPr>
          <w:rStyle w:val="VerbatimChar"/>
        </w:rPr>
        <w:t xml:space="preserve">- g'(pi_C){(R_0-e_0) + mu(A-r) + r(D-mu)}</w:t>
      </w:r>
      <w:r>
        <w:t xml:space="preserve">.</w:t>
      </w:r>
    </w:p>
    <w:p>
      <w:pPr>
        <w:pStyle w:val="BodyText"/>
        <w:widowControl/>
      </w:pPr>
      <w:r>
        <w:t xml:space="preserve">The reference contribution is the gradient of</w:t>
      </w:r>
      <w:r>
        <w:t xml:space="preserve"> </w:t>
      </w:r>
      <w:r>
        <w:rPr>
          <w:rStyle w:val="VerbatimChar"/>
        </w:rPr>
        <w:t xml:space="preserve">Delta_S</w:t>
      </w:r>
      <w:r>
        <w:t xml:space="preserve"> </w:t>
      </w:r>
      <w:r>
        <w:t xml:space="preserve">with respect to the reference-calibrated policy parameters multiplied by their joint reference influence function. A paired complete-replication two-bank bootstrap should consistently estimate the contrast law.</w:t>
      </w:r>
    </w:p>
    <w:p>
      <w:pPr>
        <w:pStyle w:val="BodyText"/>
        <w:widowControl/>
      </w:pPr>
      <w:r>
        <w:rPr>
          <w:b/>
          <w:bCs/>
        </w:rPr>
        <w:t xml:space="preserve">Role:</w:t>
      </w:r>
      <w:r>
        <w:t xml:space="preserve"> </w:t>
      </w:r>
      <w:r>
        <w:t xml:space="preserve">closes the loop between Work Package A, D2, and the locked primary estimand.</w:t>
      </w:r>
    </w:p>
    <w:p>
      <w:r>
        <w:pict>
          <v:rect style="width:0;height:1.5pt" o:hralign="center" o:hrstd="t" o:hr="t"/>
        </w:pict>
      </w:r>
    </w:p>
    <w:bookmarkEnd w:id="50"/>
    <w:bookmarkStart w:id="54" w:name="theorem-dependency-map"/>
    <w:p>
      <w:pPr>
        <w:pStyle w:val="Heading2"/>
        <w:keepNext/>
        <w:keepLines/>
      </w:pPr>
      <w:r>
        <w:t xml:space="preserve">Theorem dependency map</w:t>
      </w:r>
    </w:p>
    <w:p>
      <w:pPr>
        <w:pStyle w:val="CaptionedFigure"/>
      </w:pPr>
      <w:r>
        <w:drawing>
          <wp:inline>
            <wp:extent cx="5227320" cy="2199449"/>
            <wp:effectExtent b="0" l="0" r="0" t="0"/>
            <wp:docPr descr="Dependency map linking the policy search-size characterization, sharp policy envelope, threshold-coherence results, two-bank inference, planned paired-contrast theorem, and the locked empirical illustration." title="Theorem and evidence dependency map" id="52" name="Picture"/>
            <a:graphic>
              <a:graphicData uri="http://schemas.openxmlformats.org/drawingml/2006/picture">
                <pic:pic>
                  <pic:nvPicPr>
                    <pic:cNvPr descr="THEOREM_DEPENDENCY_MAP_V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2199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</w:pPr>
      <w:r>
        <w:t xml:space="preserve">Theorem and evidence dependency map</w:t>
      </w:r>
    </w:p>
    <w:p>
      <w:pPr>
        <w:pStyle w:val="BodyText"/>
        <w:widowControl/>
      </w:pPr>
      <w:r>
        <w:t xml:space="preserve">The red node is the single recommended new theorem before full manuscript drafting.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why-d4-should-precede-d3"/>
    <w:p>
      <w:pPr>
        <w:pStyle w:val="Heading1"/>
        <w:keepNext/>
        <w:keepLines/>
      </w:pPr>
      <w:r>
        <w:t xml:space="preserve">6. Why D4 should precede D3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Aptos" w:hAnsi="Aptos" w:eastAsia="Yu Gothic"/>
                <w:b/>
                <w:color w:val="17365D"/>
                <w:sz w:val="15"/>
              </w:rPr>
              <w:t xml:space="preserve">Criterion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Aptos" w:hAnsi="Aptos" w:eastAsia="Yu Gothic"/>
                <w:b/>
                <w:color w:val="17365D"/>
                <w:sz w:val="15"/>
              </w:rPr>
              <w:t xml:space="preserve">D4: paired policy contrast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Aptos" w:hAnsi="Aptos" w:eastAsia="Yu Gothic"/>
                <w:b/>
                <w:color w:val="17365D"/>
                <w:sz w:val="15"/>
              </w:rPr>
              <w:t xml:space="preserve">D3: uniform process/bands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Direct match to locked primary estimand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Excellent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Indirect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Connects structural and inferential theory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Excellent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Moderate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Likely technical difficulty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Moderate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High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Required for Biometrika viability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Strongly desirable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No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Required for JRSS-B viability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Desirable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Helpful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Required for JASA-level inference package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Desirable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Strongly desirable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Risk of delaying manuscript indefinitely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Lower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Higher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Manuscript page cost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Low-moderate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High</w:t>
            </w:r>
          </w:p>
        </w:tc>
      </w:tr>
    </w:tbl>
    <w:p>
      <w:pPr>
        <w:pStyle w:val="BodyText"/>
        <w:widowControl/>
      </w:pPr>
      <w:r>
        <w:rPr>
          <w:b/>
          <w:bCs/>
        </w:rPr>
        <w:t xml:space="preserve">Decision:</w:t>
      </w:r>
      <w:r>
        <w:t xml:space="preserve"> </w:t>
      </w:r>
      <w:r>
        <w:t xml:space="preserve">develop and validate D4. Draft the complete paper. Reassess D3 only after the draft exists.</w:t>
      </w:r>
    </w:p>
    <w:p>
      <w:pPr>
        <w:pStyle w:val="BodyText"/>
        <w:widowControl/>
      </w:pPr>
      <w:r>
        <w:t xml:space="preserve">D3 should be added only if one of the following becomes true:</w:t>
      </w:r>
    </w:p>
    <w:p>
      <w:pPr>
        <w:pStyle w:val="Compact"/>
        <w:widowControl/>
        <w:numPr>
          <w:ilvl w:val="0"/>
          <w:numId w:val="1008"/>
        </w:numPr>
      </w:pPr>
      <w:r>
        <w:t xml:space="preserve">editors/reviewers are likely to view fixed-threshold inference as incomplete;</w:t>
      </w:r>
    </w:p>
    <w:p>
      <w:pPr>
        <w:pStyle w:val="Compact"/>
        <w:widowControl/>
        <w:numPr>
          <w:ilvl w:val="0"/>
          <w:numId w:val="1008"/>
        </w:numPr>
      </w:pPr>
      <w:r>
        <w:t xml:space="preserve">the paper is targeted to JASA with inference as a coequal contribution;</w:t>
      </w:r>
    </w:p>
    <w:p>
      <w:pPr>
        <w:pStyle w:val="Compact"/>
        <w:widowControl/>
        <w:numPr>
          <w:ilvl w:val="0"/>
          <w:numId w:val="1008"/>
        </w:numPr>
      </w:pPr>
      <w:r>
        <w:t xml:space="preserve">a concise process theorem follows with little additional notation;</w:t>
      </w:r>
    </w:p>
    <w:p>
      <w:pPr>
        <w:pStyle w:val="Compact"/>
        <w:widowControl/>
        <w:numPr>
          <w:ilvl w:val="0"/>
          <w:numId w:val="1008"/>
        </w:numPr>
      </w:pPr>
      <w:r>
        <w:t xml:space="preserve">simultaneous curve bands materially improve the empirical analysis.</w:t>
      </w:r>
    </w:p>
    <w:p>
      <w:r>
        <w:pict>
          <v:rect style="width:0;height:1.5pt" o:hralign="center" o:hrstd="t" o:hr="t"/>
        </w:pict>
      </w:r>
    </w:p>
    <w:bookmarkEnd w:id="56"/>
    <w:bookmarkStart w:id="67" w:name="Xd407cfee1ce228e3397fbbebbccd356720e23d4"/>
    <w:p>
      <w:pPr>
        <w:pStyle w:val="Heading1"/>
        <w:keepNext/>
        <w:keepLines/>
      </w:pPr>
      <w:r>
        <w:t xml:space="preserve">7. Main-paper architecture for a Biometrika-first submission</w:t>
      </w:r>
    </w:p>
    <w:bookmarkStart w:id="57" w:name="target-length"/>
    <w:p>
      <w:pPr>
        <w:pStyle w:val="Heading2"/>
        <w:keepNext/>
        <w:keepLines/>
      </w:pPr>
      <w:r>
        <w:t xml:space="preserve">7.1 Target length</w:t>
      </w:r>
    </w:p>
    <w:p>
      <w:pPr>
        <w:pStyle w:val="FirstParagraph"/>
        <w:widowControl/>
      </w:pPr>
      <w:r>
        <w:t xml:space="preserve">Biometrika regular papers are normally fewer than 20 pages. The proposed main text should target</w:t>
      </w:r>
      <w:r>
        <w:t xml:space="preserve"> </w:t>
      </w:r>
      <w:r>
        <w:rPr>
          <w:b/>
          <w:bCs/>
        </w:rPr>
        <w:t xml:space="preserve">17-19 typeset pages including references, figures, and tables</w:t>
      </w:r>
      <w:r>
        <w:t xml:space="preserve">, with full proofs and validation details in a separate supplement.</w:t>
      </w:r>
    </w:p>
    <w:bookmarkEnd w:id="57"/>
    <w:bookmarkStart w:id="58" w:name="section-plan-and-page-budget"/>
    <w:p>
      <w:pPr>
        <w:pStyle w:val="Heading2"/>
        <w:keepNext/>
        <w:keepLines/>
      </w:pPr>
      <w:r>
        <w:t xml:space="preserve">7.2 Section plan and page budget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Aptos" w:hAnsi="Aptos" w:eastAsia="Yu Gothic"/>
                <w:b/>
                <w:color w:val="17365D"/>
                <w:sz w:val="15"/>
              </w:rPr>
              <w:t xml:space="preserve">Section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Aptos" w:hAnsi="Aptos" w:eastAsia="Yu Gothic"/>
                <w:b/>
                <w:color w:val="17365D"/>
                <w:sz w:val="15"/>
              </w:rPr>
              <w:t xml:space="preserve">Purpose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Aptos" w:hAnsi="Aptos" w:eastAsia="Yu Gothic"/>
                <w:b/>
                <w:color w:val="17365D"/>
                <w:sz w:val="15"/>
              </w:rPr>
              <w:t xml:space="preserve">Target pages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Abstract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Non-identifiability, sharp calculus, two-bank inference, locked illustration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Yu Gothic"/>
                <w:sz w:val="14"/>
              </w:rPr>
              <w:t xml:space="preserve">0.4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1. Introduction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State the missing policy layer; distinguish fixed-family work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Yu Gothic"/>
                <w:sz w:val="14"/>
              </w:rPr>
              <w:t xml:space="preserve">1.6-1.9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2. Search-size functional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Definition, characterization, fixed-family bridge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Yu Gothic"/>
                <w:sz w:val="14"/>
              </w:rPr>
              <w:t xml:space="preserve">1.2-1.5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3. Adaptive policy calculus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Representation, envelope, identifiability, budget impossibility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Yu Gothic"/>
                <w:sz w:val="14"/>
              </w:rPr>
              <w:t xml:space="preserve">3.0-3.4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4. Threshold ordering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Coherence, common trigger, crossing counterexample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Yu Gothic"/>
                <w:sz w:val="14"/>
              </w:rPr>
              <w:t xml:space="preserve">2.2-2.6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5. Two-bank inference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D2 and D4 statements, interpretation, bootstrap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Yu Gothic"/>
                <w:sz w:val="14"/>
              </w:rPr>
              <w:t xml:space="preserve">2.6-3.0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6. Locked illustration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One compact confirmatory example; no full methods dump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Yu Gothic"/>
                <w:sz w:val="14"/>
              </w:rPr>
              <w:t xml:space="preserve">2.0-2.4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7. Discussion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Meaning, scope, error-control distinction, limitations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Yu Gothic"/>
                <w:sz w:val="14"/>
              </w:rPr>
              <w:t xml:space="preserve">1.2-1.5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References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Core references only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Yu Gothic"/>
                <w:sz w:val="14"/>
              </w:rPr>
              <w:t xml:space="preserve">2.0-2.5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b/>
                <w:bCs/>
                <w:sz w:val="14"/>
              </w:rPr>
              <w:t xml:space="preserve">Total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</w:pP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right"/>
            </w:pPr>
            <w:r>
              <w:rPr>
                <w:rFonts w:ascii="Aptos" w:hAnsi="Aptos" w:eastAsia="Yu Gothic"/>
                <w:b/>
                <w:bCs/>
                <w:sz w:val="14"/>
              </w:rPr>
              <w:t xml:space="preserve">15.8-18.8</w:t>
            </w:r>
          </w:p>
        </w:tc>
      </w:tr>
    </w:tbl>
    <w:bookmarkEnd w:id="58"/>
    <w:bookmarkStart w:id="66" w:name="detailed-section-outline"/>
    <w:p>
      <w:pPr>
        <w:pStyle w:val="Heading2"/>
        <w:keepNext/>
        <w:keepLines/>
      </w:pPr>
      <w:r>
        <w:t xml:space="preserve">7.3 Detailed section outline</w:t>
      </w:r>
    </w:p>
    <w:bookmarkStart w:id="59" w:name="introduction"/>
    <w:p>
      <w:pPr>
        <w:pStyle w:val="Heading3"/>
        <w:keepNext/>
        <w:keepLines/>
      </w:pPr>
      <w:r>
        <w:t xml:space="preserve">1. Introduction</w:t>
      </w:r>
    </w:p>
    <w:p>
      <w:pPr>
        <w:pStyle w:val="FirstParagraph"/>
        <w:widowControl/>
      </w:pPr>
      <w:r>
        <w:t xml:space="preserve">Paragraph 1: adaptive statistical development creates state-dependent candidate sets.</w:t>
      </w:r>
      <w:r>
        <w:br/>
      </w:r>
      <w:r>
        <w:t xml:space="preserve">Paragraph 2: fixed-family effective-number, data-snooping, post-selection, and adaptive-testing literatures do not identify the burden of a declared branching policy.</w:t>
      </w:r>
      <w:r>
        <w:br/>
      </w:r>
      <w:r>
        <w:t xml:space="preserve">Paragraph 3: same budget does not imply same rejection law.</w:t>
      </w:r>
      <w:r>
        <w:br/>
      </w:r>
      <w:r>
        <w:t xml:space="preserve">Paragraph 4: contributions, stated without introducing every theorem.</w:t>
      </w:r>
      <w:r>
        <w:br/>
      </w:r>
      <w:r>
        <w:t xml:space="preserve">Paragraph 5: locked empirical illustration and paper map.</w:t>
      </w:r>
    </w:p>
    <w:bookmarkEnd w:id="59"/>
    <w:bookmarkStart w:id="60" w:name="policy-level-search-size"/>
    <w:p>
      <w:pPr>
        <w:pStyle w:val="Heading3"/>
        <w:keepNext/>
        <w:keepLines/>
      </w:pPr>
      <w:r>
        <w:t xml:space="preserve">2. Policy-level search size</w:t>
      </w:r>
    </w:p>
    <w:p>
      <w:pPr>
        <w:pStyle w:val="FirstParagraph"/>
        <w:widowControl/>
      </w:pPr>
      <w:r>
        <w:t xml:space="preserve">2.1 Policy rejection curve and exact/super-uniform distinction.</w:t>
      </w:r>
      <w:r>
        <w:br/>
      </w:r>
      <w:r>
        <w:t xml:space="preserve">2.2 Independent-composition characterization.</w:t>
      </w:r>
      <w:r>
        <w:br/>
      </w:r>
      <w:r>
        <w:t xml:space="preserve">2.3 Fixed-family copula/extremal-coefficient bridge and explicit prior-art boundary.</w:t>
      </w:r>
    </w:p>
    <w:bookmarkEnd w:id="60"/>
    <w:bookmarkStart w:id="61" w:name="adaptive-policy-calculus"/>
    <w:p>
      <w:pPr>
        <w:pStyle w:val="Heading3"/>
        <w:keepNext/>
        <w:keepLines/>
      </w:pPr>
      <w:r>
        <w:t xml:space="preserve">3. Adaptive policy calculus</w:t>
      </w:r>
    </w:p>
    <w:p>
      <w:pPr>
        <w:pStyle w:val="FirstParagraph"/>
        <w:widowControl/>
      </w:pPr>
      <w:r>
        <w:t xml:space="preserve">3.1 Counterfactual base/full rejection and activation information.</w:t>
      </w:r>
      <w:r>
        <w:br/>
      </w:r>
      <w:r>
        <w:t xml:space="preserve">3.2 Representation theorem.</w:t>
      </w:r>
      <w:r>
        <w:br/>
      </w:r>
      <w:r>
        <w:t xml:space="preserve">3.3 Sharp same-rate envelope.</w:t>
      </w:r>
      <w:r>
        <w:br/>
      </w:r>
      <w:r>
        <w:t xml:space="preserve">3.4 Identifiability criterion.</w:t>
      </w:r>
      <w:r>
        <w:br/>
      </w:r>
      <w:r>
        <w:t xml:space="preserve">3.5 Fixed expected-budget impossibility result.</w:t>
      </w:r>
      <w:r>
        <w:br/>
      </w:r>
      <w:r>
        <w:t xml:space="preserve">A one-paragraph cost-weighted remark may point to the supplement.</w:t>
      </w:r>
    </w:p>
    <w:bookmarkEnd w:id="61"/>
    <w:bookmarkStart w:id="62" w:name="threshold-coherence-and-reversal"/>
    <w:p>
      <w:pPr>
        <w:pStyle w:val="Heading3"/>
        <w:keepNext/>
        <w:keepLines/>
      </w:pPr>
      <w:r>
        <w:t xml:space="preserve">4. Threshold coherence and reversal</w:t>
      </w:r>
    </w:p>
    <w:p>
      <w:pPr>
        <w:pStyle w:val="FirstParagraph"/>
        <w:widowControl/>
      </w:pPr>
      <w:r>
        <w:t xml:space="preserve">4.1 Rank coherence and common-index simultaneous optimality.</w:t>
      </w:r>
      <w:r>
        <w:br/>
      </w:r>
      <w:r>
        <w:t xml:space="preserve">4.2 Why a score optimal at alpha = 0.05 need not be optimal elsewhere.</w:t>
      </w:r>
      <w:r>
        <w:br/>
      </w:r>
      <w:r>
        <w:t xml:space="preserve">4.3 One decisive curve-crossing construction.</w:t>
      </w:r>
      <w:r>
        <w:br/>
      </w:r>
      <w:r>
        <w:t xml:space="preserve">Move FOSD, weighted compromise, multiple-crossing algebra, and regret to the supplement.</w:t>
      </w:r>
    </w:p>
    <w:bookmarkEnd w:id="62"/>
    <w:bookmarkStart w:id="63" w:name="two-bank-estimation-and-policy-contrasts"/>
    <w:p>
      <w:pPr>
        <w:pStyle w:val="Heading3"/>
        <w:keepNext/>
        <w:keepLines/>
      </w:pPr>
      <w:r>
        <w:t xml:space="preserve">5. Two-bank estimation and policy contrasts</w:t>
      </w:r>
    </w:p>
    <w:p>
      <w:pPr>
        <w:pStyle w:val="FirstParagraph"/>
        <w:widowControl/>
      </w:pPr>
      <w:r>
        <w:t xml:space="preserve">5.1 Population, conditional finite-reference, and unconditional two-bank targets.</w:t>
      </w:r>
      <w:r>
        <w:br/>
      </w:r>
      <w:r>
        <w:t xml:space="preserve">5.2 D2 estimated-trigger linear expansion.</w:t>
      </w:r>
      <w:r>
        <w:br/>
      </w:r>
      <w:r>
        <w:t xml:space="preserve">5.3 Complete-vector bootstrap.</w:t>
      </w:r>
      <w:r>
        <w:br/>
      </w:r>
      <w:r>
        <w:t xml:space="preserve">5.4 D4 paired matched-budget contrast.</w:t>
      </w:r>
      <w:r>
        <w:br/>
      </w:r>
      <w:r>
        <w:t xml:space="preserve">5.5 Finite-reference bias and exact plus-one bridge, summarized briefly.</w:t>
      </w:r>
    </w:p>
    <w:bookmarkEnd w:id="63"/>
    <w:bookmarkStart w:id="64" w:name="locked-machine-learning-illustration"/>
    <w:p>
      <w:pPr>
        <w:pStyle w:val="Heading3"/>
        <w:keepNext/>
        <w:keepLines/>
      </w:pPr>
      <w:r>
        <w:t xml:space="preserve">6. Locked machine-learning illustration</w:t>
      </w:r>
    </w:p>
    <w:p>
      <w:pPr>
        <w:pStyle w:val="FirstParagraph"/>
        <w:widowControl/>
      </w:pPr>
      <w:r>
        <w:t xml:space="preserve">6.1 Design in one compact paragraph.</w:t>
      </w:r>
      <w:r>
        <w:br/>
      </w:r>
      <w:r>
        <w:t xml:space="preserve">6.2 Primary promising-minus-random result.</w:t>
      </w:r>
      <w:r>
        <w:br/>
      </w:r>
      <w:r>
        <w:t xml:space="preserve">6.3 Rescue reversal and high- versus mixed-dependency comparison.</w:t>
      </w:r>
      <w:r>
        <w:br/>
      </w:r>
      <w:r>
        <w:t xml:space="preserve">6.4 Mechanism: signed gain/loss decomposition and threshold coherence diagnostic.</w:t>
      </w:r>
      <w:r>
        <w:br/>
      </w:r>
      <w:r>
        <w:t xml:space="preserve">6.5 Two-bank sensitivity.</w:t>
      </w:r>
      <w:r>
        <w:br/>
      </w:r>
      <w:r>
        <w:t xml:space="preserve">SUPPORT2 moves to the supplement, with one sentence in the main text.</w:t>
      </w:r>
    </w:p>
    <w:bookmarkEnd w:id="64"/>
    <w:bookmarkStart w:id="65" w:name="discussion"/>
    <w:p>
      <w:pPr>
        <w:pStyle w:val="Heading3"/>
        <w:keepNext/>
        <w:keepLines/>
      </w:pPr>
      <w:r>
        <w:t xml:space="preserve">7. Discussion</w:t>
      </w:r>
    </w:p>
    <w:p>
      <w:pPr>
        <w:pStyle w:val="Compact"/>
        <w:widowControl/>
        <w:numPr>
          <w:ilvl w:val="0"/>
          <w:numId w:val="1009"/>
        </w:numPr>
      </w:pPr>
      <w:r>
        <w:t xml:space="preserve">policy multiplicity is a coupling property;</w:t>
      </w:r>
    </w:p>
    <w:p>
      <w:pPr>
        <w:pStyle w:val="Compact"/>
        <w:widowControl/>
        <w:numPr>
          <w:ilvl w:val="0"/>
          <w:numId w:val="1009"/>
        </w:numPr>
      </w:pPr>
      <w:r>
        <w:t xml:space="preserve">expected search budget is not an upper bound;</w:t>
      </w:r>
    </w:p>
    <w:p>
      <w:pPr>
        <w:pStyle w:val="Compact"/>
        <w:widowControl/>
        <w:numPr>
          <w:ilvl w:val="0"/>
          <w:numId w:val="1009"/>
        </w:numPr>
      </w:pPr>
      <w:r>
        <w:t xml:space="preserve">threshold ordering is not automatic;</w:t>
      </w:r>
    </w:p>
    <w:p>
      <w:pPr>
        <w:pStyle w:val="Compact"/>
        <w:widowControl/>
        <w:numPr>
          <w:ilvl w:val="0"/>
          <w:numId w:val="1009"/>
        </w:numPr>
      </w:pPr>
      <w:r>
        <w:t xml:space="preserve">TESS is diagnostic, while exact pipeline-aware inference controls error;</w:t>
      </w:r>
    </w:p>
    <w:p>
      <w:pPr>
        <w:pStyle w:val="Compact"/>
        <w:widowControl/>
        <w:numPr>
          <w:ilvl w:val="0"/>
          <w:numId w:val="1009"/>
        </w:numPr>
      </w:pPr>
      <w:r>
        <w:t xml:space="preserve">regular inference theorem versus exact winner-selection pipeline;</w:t>
      </w:r>
    </w:p>
    <w:p>
      <w:pPr>
        <w:pStyle w:val="Compact"/>
        <w:widowControl/>
        <w:numPr>
          <w:ilvl w:val="0"/>
          <w:numId w:val="1009"/>
        </w:numPr>
      </w:pPr>
      <w:r>
        <w:t xml:space="preserve">implications for reporting adaptive development policies;</w:t>
      </w:r>
    </w:p>
    <w:p>
      <w:pPr>
        <w:pStyle w:val="Compact"/>
        <w:widowControl/>
        <w:numPr>
          <w:ilvl w:val="0"/>
          <w:numId w:val="1009"/>
        </w:numPr>
      </w:pPr>
      <w:r>
        <w:t xml:space="preserve">limitations and extensions.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4" w:name="main-figures-and-tables"/>
    <w:p>
      <w:pPr>
        <w:pStyle w:val="Heading1"/>
        <w:keepNext/>
        <w:keepLines/>
      </w:pPr>
      <w:r>
        <w:t xml:space="preserve">8. Main figures and tables</w:t>
      </w:r>
    </w:p>
    <w:bookmarkStart w:id="68" w:name="figure-1.-the-missing-policy-layer"/>
    <w:p>
      <w:pPr>
        <w:pStyle w:val="Heading2"/>
        <w:keepNext/>
        <w:keepLines/>
      </w:pPr>
      <w:r>
        <w:t xml:space="preserve">Figure 1. The missing policy layer</w:t>
      </w:r>
    </w:p>
    <w:p>
      <w:pPr>
        <w:pStyle w:val="FirstParagraph"/>
        <w:widowControl/>
      </w:pPr>
      <w:r>
        <w:t xml:space="preserve">A new conceptual figure, replacing the current workflow-only Figure 1.</w:t>
      </w:r>
    </w:p>
    <w:p>
      <w:pPr>
        <w:pStyle w:val="BodyText"/>
        <w:widowControl/>
      </w:pPr>
      <w:r>
        <w:t xml:space="preserve">Three columns:</w:t>
      </w:r>
    </w:p>
    <w:p>
      <w:pPr>
        <w:pStyle w:val="Compact"/>
        <w:widowControl/>
        <w:numPr>
          <w:ilvl w:val="0"/>
          <w:numId w:val="1010"/>
        </w:numPr>
      </w:pPr>
      <w:r>
        <w:rPr>
          <w:b/>
          <w:bCs/>
        </w:rPr>
        <w:t xml:space="preserve">Fixed candidate law:</w:t>
      </w:r>
      <w:r>
        <w:t xml:space="preserve"> </w:t>
      </w:r>
      <w:r>
        <w:t xml:space="preserve">candidate scores/p-values and dependence.</w:t>
      </w:r>
    </w:p>
    <w:p>
      <w:pPr>
        <w:pStyle w:val="Compact"/>
        <w:widowControl/>
        <w:numPr>
          <w:ilvl w:val="0"/>
          <w:numId w:val="1010"/>
        </w:numPr>
      </w:pPr>
      <w:r>
        <w:rPr>
          <w:b/>
          <w:bCs/>
        </w:rPr>
        <w:t xml:space="preserve">Adaptive policy layer:</w:t>
      </w:r>
      <w:r>
        <w:t xml:space="preserve"> </w:t>
      </w:r>
      <w:r>
        <w:t xml:space="preserve">activation information and kernel</w:t>
      </w:r>
      <w:r>
        <w:t xml:space="preserve"> </w:t>
      </w:r>
      <w:r>
        <w:rPr>
          <w:rStyle w:val="VerbatimChar"/>
        </w:rPr>
        <w:t xml:space="preserve">a(S)</w:t>
      </w:r>
      <w:r>
        <w:t xml:space="preserve">.</w:t>
      </w:r>
    </w:p>
    <w:p>
      <w:pPr>
        <w:pStyle w:val="Compact"/>
        <w:widowControl/>
        <w:numPr>
          <w:ilvl w:val="0"/>
          <w:numId w:val="1010"/>
        </w:numPr>
      </w:pPr>
      <w:r>
        <w:rPr>
          <w:b/>
          <w:bCs/>
        </w:rPr>
        <w:t xml:space="preserve">Policy rejection law:</w:t>
      </w:r>
      <w:r>
        <w:t xml:space="preserve"> </w:t>
      </w:r>
      <w:r>
        <w:rPr>
          <w:rStyle w:val="VerbatimChar"/>
        </w:rPr>
        <w:t xml:space="preserve">pi_a = pi_0 + E(a m_alpha)</w:t>
      </w:r>
      <w:r>
        <w:t xml:space="preserve"> </w:t>
      </w:r>
      <w:r>
        <w:t xml:space="preserve">and search-size curve.</w:t>
      </w:r>
    </w:p>
    <w:p>
      <w:pPr>
        <w:pStyle w:val="FirstParagraph"/>
        <w:widowControl/>
      </w:pPr>
      <w:r>
        <w:t xml:space="preserve">The figure should visually show that candidate law + budget is insufficient without the coupling.</w:t>
      </w:r>
    </w:p>
    <w:bookmarkEnd w:id="68"/>
    <w:bookmarkStart w:id="69" w:name="Xbb25b1c0a13ab0bb75f951415efa4e3d0a7076c"/>
    <w:p>
      <w:pPr>
        <w:pStyle w:val="Heading2"/>
        <w:keepNext/>
        <w:keepLines/>
      </w:pPr>
      <w:r>
        <w:t xml:space="preserve">Figure 2. Sharp same-budget envelope and budget impossibility</w:t>
      </w:r>
    </w:p>
    <w:p>
      <w:pPr>
        <w:pStyle w:val="FirstParagraph"/>
        <w:widowControl/>
      </w:pPr>
      <w:r>
        <w:t xml:space="preserve">Panel A: lower/random/upper attainable rejection or TESS at fixed activation rate.</w:t>
      </w:r>
      <w:r>
        <w:br/>
      </w:r>
      <w:r>
        <w:t xml:space="preserve">Panel B: fixed expected candidate count with deep-tail search size increasing with optional-family size.</w:t>
      </w:r>
    </w:p>
    <w:bookmarkEnd w:id="69"/>
    <w:bookmarkStart w:id="70" w:name="figure-3.-coherence-versus-reversal"/>
    <w:p>
      <w:pPr>
        <w:pStyle w:val="Heading2"/>
        <w:keepNext/>
        <w:keepLines/>
      </w:pPr>
      <w:r>
        <w:t xml:space="preserve">Figure 3. Coherence versus reversal</w:t>
      </w:r>
    </w:p>
    <w:p>
      <w:pPr>
        <w:pStyle w:val="FirstParagraph"/>
        <w:widowControl/>
      </w:pPr>
      <w:r>
        <w:t xml:space="preserve">Panel A: common-index ordering (top &gt; random &gt; bottom) over the full curve.</w:t>
      </w:r>
      <w:r>
        <w:br/>
      </w:r>
      <w:r>
        <w:t xml:space="preserve">Panel B: same-law, same-budget policies whose curves cross at a prescribed threshold.</w:t>
      </w:r>
    </w:p>
    <w:bookmarkEnd w:id="70"/>
    <w:bookmarkStart w:id="71" w:name="figure-4.-locked-empirical-illustration"/>
    <w:p>
      <w:pPr>
        <w:pStyle w:val="Heading2"/>
        <w:keepNext/>
        <w:keepLines/>
      </w:pPr>
      <w:r>
        <w:t xml:space="preserve">Figure 4. Locked empirical illustration</w:t>
      </w:r>
    </w:p>
    <w:p>
      <w:pPr>
        <w:pStyle w:val="FirstParagraph"/>
        <w:widowControl/>
      </w:pPr>
      <w:r>
        <w:t xml:space="preserve">A compact composite:</w:t>
      </w:r>
    </w:p>
    <w:p>
      <w:pPr>
        <w:pStyle w:val="Compact"/>
        <w:widowControl/>
        <w:numPr>
          <w:ilvl w:val="0"/>
          <w:numId w:val="1011"/>
        </w:numPr>
      </w:pPr>
      <w:r>
        <w:t xml:space="preserve">Panel A: promising and rescue TESS contrasts in high-dependency, mixed-realistic, and SUPPORT2 structures.</w:t>
      </w:r>
    </w:p>
    <w:p>
      <w:pPr>
        <w:pStyle w:val="Compact"/>
        <w:widowControl/>
        <w:numPr>
          <w:ilvl w:val="0"/>
          <w:numId w:val="1011"/>
        </w:numPr>
      </w:pPr>
      <w:r>
        <w:t xml:space="preserve">Panel B: signed mechanism contribution or</w:t>
      </w:r>
      <w:r>
        <w:t xml:space="preserve"> </w:t>
      </w:r>
      <w:r>
        <w:rPr>
          <w:rStyle w:val="VerbatimChar"/>
        </w:rPr>
        <w:t xml:space="preserve">Cov(A,D_alpha)</w:t>
      </w:r>
      <w:r>
        <w:t xml:space="preserve"> </w:t>
      </w:r>
      <w:r>
        <w:t xml:space="preserve">over alpha.</w:t>
      </w:r>
    </w:p>
    <w:p>
      <w:pPr>
        <w:pStyle w:val="FirstParagraph"/>
        <w:widowControl/>
      </w:pPr>
      <w:r>
        <w:t xml:space="preserve">Existing detailed fixed-search curves, score-decile plots, and SUPPORT2 curves move to the supplement.</w:t>
      </w:r>
    </w:p>
    <w:bookmarkEnd w:id="71"/>
    <w:bookmarkStart w:id="72" w:name="table-1.-theorem-map-and-assumptions"/>
    <w:p>
      <w:pPr>
        <w:pStyle w:val="Heading2"/>
        <w:keepNext/>
        <w:keepLines/>
      </w:pPr>
      <w:r>
        <w:t xml:space="preserve">Table 1. Theorem map and assumptions</w:t>
      </w:r>
    </w:p>
    <w:p>
      <w:pPr>
        <w:pStyle w:val="FirstParagraph"/>
        <w:widowControl/>
      </w:pPr>
      <w:r>
        <w:t xml:space="preserve">Columns: result, policy class, threshold scope, reference calibration, main assumptions, novelty role.</w:t>
      </w:r>
    </w:p>
    <w:bookmarkEnd w:id="72"/>
    <w:bookmarkStart w:id="73" w:name="table-2.-locked-empirical-results"/>
    <w:p>
      <w:pPr>
        <w:pStyle w:val="Heading2"/>
        <w:keepNext/>
        <w:keepLines/>
      </w:pPr>
      <w:r>
        <w:t xml:space="preserve">Table 2. Locked empirical results</w:t>
      </w:r>
    </w:p>
    <w:p>
      <w:pPr>
        <w:pStyle w:val="FirstParagraph"/>
        <w:widowControl/>
      </w:pPr>
      <w:r>
        <w:t xml:space="preserve">Only the central contrasts, covariance, activation rate, gain/loss capture, and two-bank sensitivity.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supplementary-architecture"/>
    <w:p>
      <w:pPr>
        <w:pStyle w:val="Heading1"/>
        <w:keepNext/>
        <w:keepLines/>
      </w:pPr>
      <w:r>
        <w:t xml:space="preserve">9. Supplementary architecture</w:t>
      </w:r>
    </w:p>
    <w:bookmarkStart w:id="75" w:name="supplement-a.-complete-proofs"/>
    <w:p>
      <w:pPr>
        <w:pStyle w:val="Heading2"/>
        <w:keepNext/>
        <w:keepLines/>
      </w:pPr>
      <w:r>
        <w:t xml:space="preserve">Supplement A. Complete proofs</w:t>
      </w:r>
    </w:p>
    <w:p>
      <w:pPr>
        <w:pStyle w:val="Compact"/>
        <w:widowControl/>
        <w:numPr>
          <w:ilvl w:val="0"/>
          <w:numId w:val="1012"/>
        </w:numPr>
      </w:pPr>
      <w:r>
        <w:t xml:space="preserve">axiomatic characterization;</w:t>
      </w:r>
    </w:p>
    <w:p>
      <w:pPr>
        <w:pStyle w:val="Compact"/>
        <w:widowControl/>
        <w:numPr>
          <w:ilvl w:val="0"/>
          <w:numId w:val="1012"/>
        </w:numPr>
      </w:pPr>
      <w:r>
        <w:t xml:space="preserve">sharp envelope and identifiability;</w:t>
      </w:r>
    </w:p>
    <w:p>
      <w:pPr>
        <w:pStyle w:val="Compact"/>
        <w:widowControl/>
        <w:numPr>
          <w:ilvl w:val="0"/>
          <w:numId w:val="1012"/>
        </w:numPr>
      </w:pPr>
      <w:r>
        <w:t xml:space="preserve">unbounded budget mismatch;</w:t>
      </w:r>
    </w:p>
    <w:p>
      <w:pPr>
        <w:pStyle w:val="Compact"/>
        <w:widowControl/>
        <w:numPr>
          <w:ilvl w:val="0"/>
          <w:numId w:val="1012"/>
        </w:numPr>
      </w:pPr>
      <w:r>
        <w:t xml:space="preserve">rank coherence and crossing results;</w:t>
      </w:r>
    </w:p>
    <w:p>
      <w:pPr>
        <w:pStyle w:val="Compact"/>
        <w:widowControl/>
        <w:numPr>
          <w:ilvl w:val="0"/>
          <w:numId w:val="1012"/>
        </w:numPr>
      </w:pPr>
      <w:r>
        <w:t xml:space="preserve">cost-weighted allocation and stochastic dominance;</w:t>
      </w:r>
    </w:p>
    <w:p>
      <w:pPr>
        <w:pStyle w:val="Compact"/>
        <w:widowControl/>
        <w:numPr>
          <w:ilvl w:val="0"/>
          <w:numId w:val="1012"/>
        </w:numPr>
      </w:pPr>
      <w:r>
        <w:t xml:space="preserve">D2 and D4 proof details.</w:t>
      </w:r>
    </w:p>
    <w:bookmarkEnd w:id="75"/>
    <w:bookmarkStart w:id="76" w:name="supplement-b.-inference-extensions"/>
    <w:p>
      <w:pPr>
        <w:pStyle w:val="Heading2"/>
        <w:keepNext/>
        <w:keepLines/>
      </w:pPr>
      <w:r>
        <w:t xml:space="preserve">Supplement B. Inference extensions</w:t>
      </w:r>
    </w:p>
    <w:p>
      <w:pPr>
        <w:pStyle w:val="Compact"/>
        <w:widowControl/>
        <w:numPr>
          <w:ilvl w:val="0"/>
          <w:numId w:val="1013"/>
        </w:numPr>
      </w:pPr>
      <w:r>
        <w:t xml:space="preserve">D1 known-trigger derivation and REVIEW adjudication;</w:t>
      </w:r>
    </w:p>
    <w:p>
      <w:pPr>
        <w:pStyle w:val="Compact"/>
        <w:widowControl/>
        <w:numPr>
          <w:ilvl w:val="0"/>
          <w:numId w:val="1013"/>
        </w:numPr>
      </w:pPr>
      <w:r>
        <w:t xml:space="preserve">D2 estimated-trigger derivation and PASS validation;</w:t>
      </w:r>
    </w:p>
    <w:p>
      <w:pPr>
        <w:pStyle w:val="Compact"/>
        <w:widowControl/>
        <w:numPr>
          <w:ilvl w:val="0"/>
          <w:numId w:val="1013"/>
        </w:numPr>
      </w:pPr>
      <w:r>
        <w:t xml:space="preserve">exact finite-B expectation;</w:t>
      </w:r>
    </w:p>
    <w:p>
      <w:pPr>
        <w:pStyle w:val="Compact"/>
        <w:widowControl/>
        <w:numPr>
          <w:ilvl w:val="0"/>
          <w:numId w:val="1013"/>
        </w:numPr>
      </w:pPr>
      <w:r>
        <w:t xml:space="preserve">conditional DKW bands;</w:t>
      </w:r>
    </w:p>
    <w:p>
      <w:pPr>
        <w:pStyle w:val="Compact"/>
        <w:widowControl/>
        <w:numPr>
          <w:ilvl w:val="0"/>
          <w:numId w:val="1013"/>
        </w:numPr>
      </w:pPr>
      <w:r>
        <w:t xml:space="preserve">plus-one/order-statistic bridge;</w:t>
      </w:r>
    </w:p>
    <w:p>
      <w:pPr>
        <w:pStyle w:val="Compact"/>
        <w:widowControl/>
        <w:numPr>
          <w:ilvl w:val="0"/>
          <w:numId w:val="1013"/>
        </w:numPr>
      </w:pPr>
      <w:r>
        <w:t xml:space="preserve">finite-candidate unique-winner extension;</w:t>
      </w:r>
    </w:p>
    <w:p>
      <w:pPr>
        <w:pStyle w:val="Compact"/>
        <w:widowControl/>
        <w:numPr>
          <w:ilvl w:val="0"/>
          <w:numId w:val="1013"/>
        </w:numPr>
      </w:pPr>
      <w:r>
        <w:t xml:space="preserve">optional D3 process theorem if completed.</w:t>
      </w:r>
    </w:p>
    <w:bookmarkEnd w:id="76"/>
    <w:bookmarkStart w:id="77" w:name="supplement-c.-numerical-validation"/>
    <w:p>
      <w:pPr>
        <w:pStyle w:val="Heading2"/>
        <w:keepNext/>
        <w:keepLines/>
      </w:pPr>
      <w:r>
        <w:t xml:space="preserve">Supplement C. Numerical validation</w:t>
      </w:r>
    </w:p>
    <w:p>
      <w:pPr>
        <w:pStyle w:val="Compact"/>
        <w:widowControl/>
        <w:numPr>
          <w:ilvl w:val="0"/>
          <w:numId w:val="1014"/>
        </w:numPr>
      </w:pPr>
      <w:r>
        <w:t xml:space="preserve">D1 and D2 locked protocols;</w:t>
      </w:r>
    </w:p>
    <w:p>
      <w:pPr>
        <w:pStyle w:val="Compact"/>
        <w:widowControl/>
        <w:numPr>
          <w:ilvl w:val="0"/>
          <w:numId w:val="1014"/>
        </w:numPr>
      </w:pPr>
      <w:r>
        <w:t xml:space="preserve">DGP definitions;</w:t>
      </w:r>
    </w:p>
    <w:p>
      <w:pPr>
        <w:pStyle w:val="Compact"/>
        <w:widowControl/>
        <w:numPr>
          <w:ilvl w:val="0"/>
          <w:numId w:val="1014"/>
        </w:numPr>
      </w:pPr>
      <w:r>
        <w:t xml:space="preserve">all cell summaries and diagnostics;</w:t>
      </w:r>
    </w:p>
    <w:p>
      <w:pPr>
        <w:pStyle w:val="Compact"/>
        <w:widowControl/>
        <w:numPr>
          <w:ilvl w:val="0"/>
          <w:numId w:val="1014"/>
        </w:numPr>
      </w:pPr>
      <w:r>
        <w:t xml:space="preserve">explanation of basic interval undercoverage;</w:t>
      </w:r>
    </w:p>
    <w:p>
      <w:pPr>
        <w:pStyle w:val="Compact"/>
        <w:widowControl/>
        <w:numPr>
          <w:ilvl w:val="0"/>
          <w:numId w:val="1014"/>
        </w:numPr>
      </w:pPr>
      <w:r>
        <w:t xml:space="preserve">trigger-only near-zero-denominator diagnostic.</w:t>
      </w:r>
    </w:p>
    <w:bookmarkEnd w:id="77"/>
    <w:bookmarkStart w:id="78" w:name="supplement-d.-locked-empirical-study"/>
    <w:p>
      <w:pPr>
        <w:pStyle w:val="Heading2"/>
        <w:keepNext/>
        <w:keepLines/>
      </w:pPr>
      <w:r>
        <w:t xml:space="preserve">Supplement D. Locked empirical study</w:t>
      </w:r>
    </w:p>
    <w:p>
      <w:pPr>
        <w:pStyle w:val="Compact"/>
        <w:widowControl/>
        <w:numPr>
          <w:ilvl w:val="0"/>
          <w:numId w:val="1015"/>
        </w:numPr>
      </w:pPr>
      <w:r>
        <w:t xml:space="preserve">full simulation engine and candidate manifests;</w:t>
      </w:r>
    </w:p>
    <w:p>
      <w:pPr>
        <w:pStyle w:val="Compact"/>
        <w:widowControl/>
        <w:numPr>
          <w:ilvl w:val="0"/>
          <w:numId w:val="1015"/>
        </w:numPr>
      </w:pPr>
      <w:r>
        <w:t xml:space="preserve">all policy definitions and tie rules;</w:t>
      </w:r>
    </w:p>
    <w:p>
      <w:pPr>
        <w:pStyle w:val="Compact"/>
        <w:widowControl/>
        <w:numPr>
          <w:ilvl w:val="0"/>
          <w:numId w:val="1015"/>
        </w:numPr>
      </w:pPr>
      <w:r>
        <w:t xml:space="preserve">confirmatory and SUPPORT2 protocols;</w:t>
      </w:r>
    </w:p>
    <w:p>
      <w:pPr>
        <w:pStyle w:val="Compact"/>
        <w:widowControl/>
        <w:numPr>
          <w:ilvl w:val="0"/>
          <w:numId w:val="1015"/>
        </w:numPr>
      </w:pPr>
      <w:r>
        <w:t xml:space="preserve">complete results tables;</w:t>
      </w:r>
    </w:p>
    <w:p>
      <w:pPr>
        <w:pStyle w:val="Compact"/>
        <w:widowControl/>
        <w:numPr>
          <w:ilvl w:val="0"/>
          <w:numId w:val="1015"/>
        </w:numPr>
      </w:pPr>
      <w:r>
        <w:t xml:space="preserve">reconstruction and failed-fit audits;</w:t>
      </w:r>
    </w:p>
    <w:p>
      <w:pPr>
        <w:pStyle w:val="Compact"/>
        <w:widowControl/>
        <w:numPr>
          <w:ilvl w:val="0"/>
          <w:numId w:val="1015"/>
        </w:numPr>
      </w:pPr>
      <w:r>
        <w:t xml:space="preserve">figure set currently in the empirical manuscript;</w:t>
      </w:r>
    </w:p>
    <w:p>
      <w:pPr>
        <w:pStyle w:val="Compact"/>
        <w:widowControl/>
        <w:numPr>
          <w:ilvl w:val="0"/>
          <w:numId w:val="1015"/>
        </w:numPr>
      </w:pPr>
      <w:r>
        <w:t xml:space="preserve">raw archive and Git provenance.</w:t>
      </w:r>
    </w:p>
    <w:bookmarkEnd w:id="78"/>
    <w:bookmarkStart w:id="79" w:name="supplement-e.-reproducibility"/>
    <w:p>
      <w:pPr>
        <w:pStyle w:val="Heading2"/>
        <w:keepNext/>
        <w:keepLines/>
      </w:pPr>
      <w:r>
        <w:t xml:space="preserve">Supplement E. Reproducibility</w:t>
      </w:r>
    </w:p>
    <w:p>
      <w:pPr>
        <w:pStyle w:val="Compact"/>
        <w:widowControl/>
        <w:numPr>
          <w:ilvl w:val="0"/>
          <w:numId w:val="1016"/>
        </w:numPr>
      </w:pPr>
      <w:r>
        <w:t xml:space="preserve">software versions;</w:t>
      </w:r>
    </w:p>
    <w:p>
      <w:pPr>
        <w:pStyle w:val="Compact"/>
        <w:widowControl/>
        <w:numPr>
          <w:ilvl w:val="0"/>
          <w:numId w:val="1016"/>
        </w:numPr>
      </w:pPr>
      <w:r>
        <w:t xml:space="preserve">repository and DOI;</w:t>
      </w:r>
    </w:p>
    <w:p>
      <w:pPr>
        <w:pStyle w:val="Compact"/>
        <w:widowControl/>
        <w:numPr>
          <w:ilvl w:val="0"/>
          <w:numId w:val="1016"/>
        </w:numPr>
      </w:pPr>
      <w:r>
        <w:t xml:space="preserve">configuration SHA-256 values;</w:t>
      </w:r>
    </w:p>
    <w:p>
      <w:pPr>
        <w:pStyle w:val="Compact"/>
        <w:widowControl/>
        <w:numPr>
          <w:ilvl w:val="0"/>
          <w:numId w:val="1016"/>
        </w:numPr>
      </w:pPr>
      <w:r>
        <w:t xml:space="preserve">tags and commits;</w:t>
      </w:r>
    </w:p>
    <w:p>
      <w:pPr>
        <w:pStyle w:val="Compact"/>
        <w:widowControl/>
        <w:numPr>
          <w:ilvl w:val="0"/>
          <w:numId w:val="1016"/>
        </w:numPr>
      </w:pPr>
      <w:r>
        <w:t xml:space="preserve">AI assistance disclosure;</w:t>
      </w:r>
    </w:p>
    <w:p>
      <w:pPr>
        <w:pStyle w:val="Compact"/>
        <w:widowControl/>
        <w:numPr>
          <w:ilvl w:val="0"/>
          <w:numId w:val="1016"/>
        </w:numPr>
      </w:pPr>
      <w:r>
        <w:t xml:space="preserve">data and code availability.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6" w:name="Xe1d13bab557192bfd08ee87f331db8d5c113b51"/>
    <w:p>
      <w:pPr>
        <w:pStyle w:val="Heading1"/>
        <w:keepNext/>
        <w:keepLines/>
      </w:pPr>
      <w:r>
        <w:t xml:space="preserve">10. Mandatory bridge work before drafting the final manuscript</w:t>
      </w:r>
    </w:p>
    <w:bookmarkStart w:id="81" w:name="d4-paired-contrast"/>
    <w:p>
      <w:pPr>
        <w:pStyle w:val="Heading2"/>
        <w:keepNext/>
        <w:keepLines/>
      </w:pPr>
      <w:r>
        <w:t xml:space="preserve">10.1 D4 paired contrast</w:t>
      </w:r>
    </w:p>
    <w:p>
      <w:pPr>
        <w:pStyle w:val="FirstParagraph"/>
        <w:widowControl/>
      </w:pPr>
      <w:r>
        <w:t xml:space="preserve">Complete theory, code, locked numerical protocol, scientific validation, and results freeze.</w:t>
      </w:r>
    </w:p>
    <w:bookmarkEnd w:id="81"/>
    <w:bookmarkStart w:id="82" w:name="exact-plus-oneorder-statistic-lemma"/>
    <w:p>
      <w:pPr>
        <w:pStyle w:val="Heading2"/>
        <w:keepNext/>
        <w:keepLines/>
      </w:pPr>
      <w:r>
        <w:t xml:space="preserve">10.2 Exact plus-one/order-statistic lemma</w:t>
      </w:r>
    </w:p>
    <w:p>
      <w:pPr>
        <w:pStyle w:val="FirstParagraph"/>
        <w:widowControl/>
      </w:pPr>
      <w:r>
        <w:t xml:space="preserve">Derive the exact event equivalence for</w:t>
      </w:r>
    </w:p>
    <w:p>
      <w:pPr>
        <w:pStyle w:val="BodyText"/>
        <w:widowControl/>
      </w:pPr>
      <w:r>
        <w:rPr>
          <w:rStyle w:val="VerbatimChar"/>
        </w:rPr>
        <w:t xml:space="preserve">p_hat_j(x) = {1 + sum I(T_bj &gt;= x)}/(B+1)</w:t>
      </w:r>
    </w:p>
    <w:p>
      <w:pPr>
        <w:pStyle w:val="BodyText"/>
        <w:widowControl/>
      </w:pPr>
      <w:r>
        <w:t xml:space="preserve">under the strict rule</w:t>
      </w:r>
      <w:r>
        <w:t xml:space="preserve"> </w:t>
      </w:r>
      <w:r>
        <w:rPr>
          <w:rStyle w:val="VerbatimChar"/>
        </w:rPr>
        <w:t xml:space="preserve">p_hat_j(x) &lt; alpha</w:t>
      </w:r>
      <w:r>
        <w:t xml:space="preserve">, including:</w:t>
      </w:r>
    </w:p>
    <w:p>
      <w:pPr>
        <w:pStyle w:val="Compact"/>
        <w:widowControl/>
        <w:numPr>
          <w:ilvl w:val="0"/>
          <w:numId w:val="1017"/>
        </w:numPr>
      </w:pPr>
      <w:r>
        <w:t xml:space="preserve">the integer rounding convention;</w:t>
      </w:r>
    </w:p>
    <w:p>
      <w:pPr>
        <w:pStyle w:val="Compact"/>
        <w:widowControl/>
        <w:numPr>
          <w:ilvl w:val="0"/>
          <w:numId w:val="1017"/>
        </w:numPr>
      </w:pPr>
      <w:r>
        <w:t xml:space="preserve">continuous-score no-tie form;</w:t>
      </w:r>
    </w:p>
    <w:p>
      <w:pPr>
        <w:pStyle w:val="Compact"/>
        <w:widowControl/>
        <w:numPr>
          <w:ilvl w:val="0"/>
          <w:numId w:val="1017"/>
        </w:numPr>
      </w:pPr>
      <w:r>
        <w:t xml:space="preserve">relation to an empirical upper quantile;</w:t>
      </w:r>
    </w:p>
    <w:p>
      <w:pPr>
        <w:pStyle w:val="Compact"/>
        <w:widowControl/>
        <w:numPr>
          <w:ilvl w:val="0"/>
          <w:numId w:val="1017"/>
        </w:numPr>
      </w:pPr>
      <w:r>
        <w:t xml:space="preserve">the first-order equivalence regime;</w:t>
      </w:r>
    </w:p>
    <w:p>
      <w:pPr>
        <w:pStyle w:val="Compact"/>
        <w:widowControl/>
        <w:numPr>
          <w:ilvl w:val="0"/>
          <w:numId w:val="1017"/>
        </w:numPr>
      </w:pPr>
      <w:r>
        <w:t xml:space="preserve">the grid/deep-tail regime in which discreteness remains first-order.</w:t>
      </w:r>
    </w:p>
    <w:p>
      <w:pPr>
        <w:pStyle w:val="FirstParagraph"/>
        <w:widowControl/>
      </w:pPr>
      <w:r>
        <w:t xml:space="preserve">This bridge is necessary because the empirical application uses plus-one p-values, whereas D2 uses regular empirical quantiles.</w:t>
      </w:r>
    </w:p>
    <w:bookmarkEnd w:id="82"/>
    <w:bookmarkStart w:id="83" w:name="X77bd8b78cc2f82b1b31ed0b53daf4cbeede38ce"/>
    <w:p>
      <w:pPr>
        <w:pStyle w:val="Heading2"/>
        <w:keepNext/>
        <w:keepLines/>
      </w:pPr>
      <w:r>
        <w:t xml:space="preserve">10.3 Scope repair for the curve-crossing construction</w:t>
      </w:r>
    </w:p>
    <w:p>
      <w:pPr>
        <w:pStyle w:val="FirstParagraph"/>
        <w:widowControl/>
      </w:pPr>
      <w:r>
        <w:t xml:space="preserve">Choose one of two honest routes:</w:t>
      </w:r>
    </w:p>
    <w:p>
      <w:pPr>
        <w:pStyle w:val="Compact"/>
        <w:widowControl/>
        <w:numPr>
          <w:ilvl w:val="0"/>
          <w:numId w:val="1018"/>
        </w:numPr>
      </w:pPr>
      <w:r>
        <w:rPr>
          <w:b/>
          <w:bCs/>
        </w:rPr>
        <w:t xml:space="preserve">General branch-policy route:</w:t>
      </w:r>
      <w:r>
        <w:t xml:space="preserve"> </w:t>
      </w:r>
      <w:r>
        <w:t xml:space="preserve">state the theorem for a policy that selects between branch outputs; make clear that it proves non-orderability for general adaptive policies, not specifically nested candidate addition.</w:t>
      </w:r>
    </w:p>
    <w:p>
      <w:pPr>
        <w:pStyle w:val="Compact"/>
        <w:widowControl/>
        <w:numPr>
          <w:ilvl w:val="0"/>
          <w:numId w:val="1018"/>
        </w:numPr>
      </w:pPr>
      <w:r>
        <w:rPr>
          <w:b/>
          <w:bCs/>
        </w:rPr>
        <w:t xml:space="preserve">Nested-expansion route:</w:t>
      </w:r>
      <w:r>
        <w:t xml:space="preserve"> </w:t>
      </w:r>
      <w:r>
        <w:t xml:space="preserve">construct the same crossing phenomenon with base/full counterfactual outputs arising from a nested candidate family.</w:t>
      </w:r>
    </w:p>
    <w:p>
      <w:pPr>
        <w:pStyle w:val="FirstParagraph"/>
        <w:widowControl/>
      </w:pPr>
      <w:r>
        <w:t xml:space="preserve">Do not leave the scope implicit.</w:t>
      </w:r>
    </w:p>
    <w:bookmarkEnd w:id="83"/>
    <w:bookmarkStart w:id="84" w:name="proof-audit-of-rank-coherence"/>
    <w:p>
      <w:pPr>
        <w:pStyle w:val="Heading2"/>
        <w:keepNext/>
        <w:keepLines/>
      </w:pPr>
      <w:r>
        <w:t xml:space="preserve">10.4 Proof audit of rank coherence</w:t>
      </w:r>
    </w:p>
    <w:p>
      <w:pPr>
        <w:pStyle w:val="Compact"/>
        <w:widowControl/>
        <w:numPr>
          <w:ilvl w:val="0"/>
          <w:numId w:val="1019"/>
        </w:numPr>
      </w:pPr>
      <w:r>
        <w:t xml:space="preserve">specify whether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is finite, countable dense, or compact with separable versions;</w:t>
      </w:r>
    </w:p>
    <w:p>
      <w:pPr>
        <w:pStyle w:val="Compact"/>
        <w:widowControl/>
        <w:numPr>
          <w:ilvl w:val="0"/>
          <w:numId w:val="1019"/>
        </w:numPr>
      </w:pPr>
      <w:r>
        <w:t xml:space="preserve">identify a common probability-one set;</w:t>
      </w:r>
    </w:p>
    <w:p>
      <w:pPr>
        <w:pStyle w:val="Compact"/>
        <w:widowControl/>
        <w:numPr>
          <w:ilvl w:val="0"/>
          <w:numId w:val="1019"/>
        </w:numPr>
      </w:pPr>
      <w:r>
        <w:t xml:space="preserve">handle atoms through explicit boundary randomization;</w:t>
      </w:r>
    </w:p>
    <w:p>
      <w:pPr>
        <w:pStyle w:val="Compact"/>
        <w:widowControl/>
        <w:numPr>
          <w:ilvl w:val="0"/>
          <w:numId w:val="1019"/>
        </w:numPr>
      </w:pPr>
      <w:r>
        <w:t xml:space="preserve">separate equivalence for all activation rates from statements at one rate.</w:t>
      </w:r>
    </w:p>
    <w:bookmarkEnd w:id="84"/>
    <w:bookmarkStart w:id="85" w:name="frozen-output-empirical-extraction"/>
    <w:p>
      <w:pPr>
        <w:pStyle w:val="Heading2"/>
        <w:keepNext/>
        <w:keepLines/>
      </w:pPr>
      <w:r>
        <w:t xml:space="preserve">10.5 Frozen-output empirical extraction</w:t>
      </w:r>
    </w:p>
    <w:p>
      <w:pPr>
        <w:pStyle w:val="FirstParagraph"/>
        <w:widowControl/>
      </w:pPr>
      <w:r>
        <w:t xml:space="preserve">No model refitting is required. Extract and report:</w:t>
      </w:r>
    </w:p>
    <w:p>
      <w:pPr>
        <w:pStyle w:val="Compact"/>
        <w:widowControl/>
        <w:numPr>
          <w:ilvl w:val="0"/>
          <w:numId w:val="1020"/>
        </w:numPr>
      </w:pPr>
      <w:r>
        <w:t xml:space="preserve">loss counts</w:t>
      </w:r>
      <w:r>
        <w:t xml:space="preserve"> </w:t>
      </w:r>
      <w:r>
        <w:rPr>
          <w:rStyle w:val="VerbatimChar"/>
        </w:rPr>
        <w:t xml:space="preserve">D_alpha = -1</w:t>
      </w:r>
      <w:r>
        <w:t xml:space="preserve">;</w:t>
      </w:r>
    </w:p>
    <w:p>
      <w:pPr>
        <w:pStyle w:val="Compact"/>
        <w:widowControl/>
        <w:numPr>
          <w:ilvl w:val="0"/>
          <w:numId w:val="1020"/>
        </w:numPr>
      </w:pPr>
      <w:r>
        <w:t xml:space="preserve">loss-capture fractions;</w:t>
      </w:r>
    </w:p>
    <w:p>
      <w:pPr>
        <w:pStyle w:val="Compact"/>
        <w:widowControl/>
        <w:numPr>
          <w:ilvl w:val="0"/>
          <w:numId w:val="1020"/>
        </w:numPr>
      </w:pPr>
      <w:r>
        <w:t xml:space="preserve">positive and negative covariance contributions;</w:t>
      </w:r>
    </w:p>
    <w:p>
      <w:pPr>
        <w:pStyle w:val="Compact"/>
        <w:widowControl/>
        <w:numPr>
          <w:ilvl w:val="0"/>
          <w:numId w:val="1020"/>
        </w:numPr>
      </w:pPr>
      <w:r>
        <w:t xml:space="preserve">exact mixed-minus-high interaction and CI;</w:t>
      </w:r>
    </w:p>
    <w:p>
      <w:pPr>
        <w:pStyle w:val="Compact"/>
        <w:widowControl/>
        <w:numPr>
          <w:ilvl w:val="0"/>
          <w:numId w:val="1020"/>
        </w:numPr>
      </w:pPr>
      <w:r>
        <w:t xml:space="preserve">exact SUPPORT2 rescue CI;</w:t>
      </w:r>
    </w:p>
    <w:p>
      <w:pPr>
        <w:pStyle w:val="Compact"/>
        <w:widowControl/>
        <w:numPr>
          <w:ilvl w:val="0"/>
          <w:numId w:val="1020"/>
        </w:numPr>
      </w:pPr>
      <w:r>
        <w:t xml:space="preserve">estimated</w:t>
      </w:r>
      <w:r>
        <w:t xml:space="preserve"> </w:t>
      </w:r>
      <w:r>
        <w:rPr>
          <w:rStyle w:val="VerbatimChar"/>
        </w:rPr>
        <w:t xml:space="preserve">m_alpha(S)</w:t>
      </w:r>
      <w:r>
        <w:t xml:space="preserve"> </w:t>
      </w:r>
      <w:r>
        <w:t xml:space="preserve">on a common score-bin grid;</w:t>
      </w:r>
    </w:p>
    <w:p>
      <w:pPr>
        <w:pStyle w:val="Compact"/>
        <w:widowControl/>
        <w:numPr>
          <w:ilvl w:val="0"/>
          <w:numId w:val="1020"/>
        </w:numPr>
      </w:pPr>
      <w:r>
        <w:t xml:space="preserve">rank correlations of the estimated fields across alpha;</w:t>
      </w:r>
    </w:p>
    <w:p>
      <w:pPr>
        <w:pStyle w:val="Compact"/>
        <w:widowControl/>
        <w:numPr>
          <w:ilvl w:val="0"/>
          <w:numId w:val="1020"/>
        </w:numPr>
      </w:pPr>
      <w:r>
        <w:t xml:space="preserve">FOSD diagnostics for promising/random/rescue activation scores;</w:t>
      </w:r>
    </w:p>
    <w:p>
      <w:pPr>
        <w:pStyle w:val="Compact"/>
        <w:widowControl/>
        <w:numPr>
          <w:ilvl w:val="0"/>
          <w:numId w:val="1020"/>
        </w:numPr>
      </w:pPr>
      <w:r>
        <w:t xml:space="preserve">observed curve crossings and simultaneous regret relative to the empirical pointwise envelope.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X1bdbaca960f97bfb4f34c28eb97fd8c5298bb34"/>
    <w:p>
      <w:pPr>
        <w:pStyle w:val="Heading1"/>
        <w:keepNext/>
        <w:keepLines/>
      </w:pPr>
      <w:r>
        <w:t xml:space="preserve">11. Overlap and publication-integrity guardrails</w:t>
      </w:r>
    </w:p>
    <w:bookmarkStart w:id="87" w:name="Xffe54d3c2e2d5e08c38f411dcbaf0bca0471572"/>
    <w:p>
      <w:pPr>
        <w:pStyle w:val="Heading2"/>
        <w:keepNext/>
        <w:keepLines/>
      </w:pPr>
      <w:r>
        <w:t xml:space="preserve">11.1 Relationship to the companion pipeline-aware inference paper</w:t>
      </w:r>
    </w:p>
    <w:p>
      <w:pPr>
        <w:pStyle w:val="FirstParagraph"/>
        <w:widowControl/>
      </w:pPr>
      <w:r>
        <w:t xml:space="preserve">The distinction must be explicit in the introduction, discussion, cover letter, and repository README.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Aptos" w:hAnsi="Aptos" w:eastAsia="Yu Gothic"/>
                <w:b/>
                <w:color w:val="17365D"/>
                <w:sz w:val="15"/>
              </w:rPr>
              <w:t xml:space="preserve">Companion pipeline-aware inference paper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Aptos" w:hAnsi="Aptos" w:eastAsia="Yu Gothic"/>
                <w:b/>
                <w:color w:val="17365D"/>
                <w:sz w:val="15"/>
              </w:rPr>
              <w:t xml:space="preserve">Policy search-size paper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Provides valid search-adjusted max-statistic inference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Describes and estimates the naive policy-level global-null rejection burden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Primary object is an adjusted p-value/test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Primary object is a rejection-law functional and its search-size standardization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Re-executes the complete pipeline under the null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Studies how policy structure and calibration determine the burden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Goal is error control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Goal is measurement, structural understanding, and policy comparison</w:t>
            </w:r>
          </w:p>
        </w:tc>
      </w:tr>
    </w:tbl>
    <w:bookmarkEnd w:id="87"/>
    <w:bookmarkStart w:id="88" w:name="relationship-to-empirical-v2"/>
    <w:p>
      <w:pPr>
        <w:pStyle w:val="Heading2"/>
        <w:keepNext/>
        <w:keepLines/>
      </w:pPr>
      <w:r>
        <w:t xml:space="preserve">11.2 Relationship to empirical v2</w:t>
      </w:r>
    </w:p>
    <w:p>
      <w:pPr>
        <w:pStyle w:val="FirstParagraph"/>
        <w:widowControl/>
      </w:pPr>
      <w:r>
        <w:t xml:space="preserve">The top-tier manuscript should absorb the key empirical evidence. The current empirical v2 remains a fallback, not a simultaneously submitted separate manuscript.</w:t>
      </w:r>
    </w:p>
    <w:p>
      <w:pPr>
        <w:pStyle w:val="BodyText"/>
        <w:widowControl/>
      </w:pPr>
      <w:r>
        <w:t xml:space="preserve">If the top-tier paper is abandoned, return to empirical v2. If the top-tier paper is submitted, do not submit empirical v2 unless it is later redesigned around a substantively distinct clinical/application question with nonoverlapping claims and figures.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X45f5c580db51cd31104f294c92a25bd262ca5ca"/>
    <w:p>
      <w:pPr>
        <w:pStyle w:val="Heading1"/>
        <w:keepNext/>
        <w:keepLines/>
      </w:pPr>
      <w:r>
        <w:t xml:space="preserve">12. Literature positioning and wording guardrails</w:t>
      </w:r>
    </w:p>
    <w:bookmarkStart w:id="90" w:name="main-prior-art-clusters"/>
    <w:p>
      <w:pPr>
        <w:pStyle w:val="Heading2"/>
        <w:keepNext/>
        <w:keepLines/>
      </w:pPr>
      <w:r>
        <w:t xml:space="preserve">12.1 Main prior-art clusters</w:t>
      </w:r>
    </w:p>
    <w:p>
      <w:pPr>
        <w:pStyle w:val="Compact"/>
        <w:widowControl/>
        <w:numPr>
          <w:ilvl w:val="0"/>
          <w:numId w:val="1021"/>
        </w:numPr>
      </w:pPr>
      <w:r>
        <w:t xml:space="preserve">fixed-family effective numbers and Sidak/copula calibration;</w:t>
      </w:r>
    </w:p>
    <w:p>
      <w:pPr>
        <w:pStyle w:val="Compact"/>
        <w:widowControl/>
        <w:numPr>
          <w:ilvl w:val="0"/>
          <w:numId w:val="1021"/>
        </w:numPr>
      </w:pPr>
      <w:r>
        <w:t xml:space="preserve">extremal coefficients and level-dependent tail dependence;</w:t>
      </w:r>
    </w:p>
    <w:p>
      <w:pPr>
        <w:pStyle w:val="Compact"/>
        <w:widowControl/>
        <w:numPr>
          <w:ilvl w:val="0"/>
          <w:numId w:val="1021"/>
        </w:numPr>
      </w:pPr>
      <w:r>
        <w:t xml:space="preserve">data snooping and best-model bootstrap tests;</w:t>
      </w:r>
    </w:p>
    <w:p>
      <w:pPr>
        <w:pStyle w:val="Compact"/>
        <w:widowControl/>
        <w:numPr>
          <w:ilvl w:val="0"/>
          <w:numId w:val="1021"/>
        </w:numPr>
      </w:pPr>
      <w:r>
        <w:t xml:space="preserve">search degrees of freedom;</w:t>
      </w:r>
    </w:p>
    <w:p>
      <w:pPr>
        <w:pStyle w:val="Compact"/>
        <w:widowControl/>
        <w:numPr>
          <w:ilvl w:val="0"/>
          <w:numId w:val="1021"/>
        </w:numPr>
      </w:pPr>
      <w:r>
        <w:t xml:space="preserve">post-selection inference;</w:t>
      </w:r>
    </w:p>
    <w:p>
      <w:pPr>
        <w:pStyle w:val="Compact"/>
        <w:widowControl/>
        <w:numPr>
          <w:ilvl w:val="0"/>
          <w:numId w:val="1021"/>
        </w:numPr>
      </w:pPr>
      <w:r>
        <w:t xml:space="preserve">adaptive data analysis;</w:t>
      </w:r>
    </w:p>
    <w:p>
      <w:pPr>
        <w:pStyle w:val="Compact"/>
        <w:widowControl/>
        <w:numPr>
          <w:ilvl w:val="0"/>
          <w:numId w:val="1021"/>
        </w:numPr>
      </w:pPr>
      <w:r>
        <w:t xml:space="preserve">interactive, online, and learn-then-test procedures;</w:t>
      </w:r>
    </w:p>
    <w:p>
      <w:pPr>
        <w:pStyle w:val="Compact"/>
        <w:widowControl/>
        <w:numPr>
          <w:ilvl w:val="0"/>
          <w:numId w:val="1021"/>
        </w:numPr>
      </w:pPr>
      <w:r>
        <w:t xml:space="preserve">selected-family and hierarchical multiple testing;</w:t>
      </w:r>
    </w:p>
    <w:p>
      <w:pPr>
        <w:pStyle w:val="Compact"/>
        <w:widowControl/>
        <w:numPr>
          <w:ilvl w:val="0"/>
          <w:numId w:val="1021"/>
        </w:numPr>
      </w:pPr>
      <w:r>
        <w:t xml:space="preserve">empirical-process and two-sample bootstrap theory.</w:t>
      </w:r>
    </w:p>
    <w:bookmarkEnd w:id="90"/>
    <w:bookmarkStart w:id="91" w:name="safe-novelty-language"/>
    <w:p>
      <w:pPr>
        <w:pStyle w:val="Heading2"/>
        <w:keepNext/>
        <w:keepLines/>
      </w:pPr>
      <w:r>
        <w:t xml:space="preserve">12.2 Safe novelty language</w:t>
      </w:r>
    </w:p>
    <w:p>
      <w:pPr>
        <w:pStyle w:val="FirstParagraph"/>
        <w:widowControl/>
      </w:pPr>
      <w:r>
        <w:t xml:space="preserve">Use:</w:t>
      </w:r>
    </w:p>
    <w:p>
      <w:pPr>
        <w:pStyle w:val="Compact"/>
        <w:widowControl/>
        <w:numPr>
          <w:ilvl w:val="0"/>
          <w:numId w:val="1022"/>
        </w:numPr>
      </w:pPr>
      <w:r>
        <w:t xml:space="preserve">“</w:t>
      </w:r>
      <w:r>
        <w:t xml:space="preserve">policy-level rejection functional</w:t>
      </w:r>
      <w:r>
        <w:t xml:space="preserve">”</w:t>
      </w:r>
      <w:r>
        <w:t xml:space="preserve">;</w:t>
      </w:r>
    </w:p>
    <w:p>
      <w:pPr>
        <w:pStyle w:val="Compact"/>
        <w:widowControl/>
        <w:numPr>
          <w:ilvl w:val="0"/>
          <w:numId w:val="1022"/>
        </w:numPr>
      </w:pPr>
      <w:r>
        <w:t xml:space="preserve">“</w:t>
      </w:r>
      <w:r>
        <w:t xml:space="preserve">sharp same-budget envelope</w:t>
      </w:r>
      <w:r>
        <w:t xml:space="preserve">”</w:t>
      </w:r>
      <w:r>
        <w:t xml:space="preserve">;</w:t>
      </w:r>
    </w:p>
    <w:p>
      <w:pPr>
        <w:pStyle w:val="Compact"/>
        <w:widowControl/>
        <w:numPr>
          <w:ilvl w:val="0"/>
          <w:numId w:val="1022"/>
        </w:numPr>
      </w:pPr>
      <w:r>
        <w:t xml:space="preserve">“</w:t>
      </w:r>
      <w:r>
        <w:t xml:space="preserve">policy non-identifiability from fixed-family and budget summaries</w:t>
      </w:r>
      <w:r>
        <w:t xml:space="preserve">”</w:t>
      </w:r>
      <w:r>
        <w:t xml:space="preserve">;</w:t>
      </w:r>
    </w:p>
    <w:p>
      <w:pPr>
        <w:pStyle w:val="Compact"/>
        <w:widowControl/>
        <w:numPr>
          <w:ilvl w:val="0"/>
          <w:numId w:val="1022"/>
        </w:numPr>
      </w:pPr>
      <w:r>
        <w:t xml:space="preserve">“</w:t>
      </w:r>
      <w:r>
        <w:t xml:space="preserve">threshold-rank coherence</w:t>
      </w:r>
      <w:r>
        <w:t xml:space="preserve">”</w:t>
      </w:r>
      <w:r>
        <w:t xml:space="preserve">;</w:t>
      </w:r>
    </w:p>
    <w:p>
      <w:pPr>
        <w:pStyle w:val="Compact"/>
        <w:widowControl/>
        <w:numPr>
          <w:ilvl w:val="0"/>
          <w:numId w:val="1022"/>
        </w:numPr>
      </w:pPr>
      <w:r>
        <w:t xml:space="preserve">“</w:t>
      </w:r>
      <w:r>
        <w:t xml:space="preserve">complete-replication two-bank inference</w:t>
      </w:r>
      <w:r>
        <w:t xml:space="preserve">”</w:t>
      </w:r>
      <w:r>
        <w:t xml:space="preserve">;</w:t>
      </w:r>
    </w:p>
    <w:p>
      <w:pPr>
        <w:pStyle w:val="Compact"/>
        <w:widowControl/>
        <w:numPr>
          <w:ilvl w:val="0"/>
          <w:numId w:val="1022"/>
        </w:numPr>
      </w:pPr>
      <w:r>
        <w:t xml:space="preserve">“</w:t>
      </w:r>
      <w:r>
        <w:t xml:space="preserve">locked empirical illustration.</w:t>
      </w:r>
      <w:r>
        <w:t xml:space="preserve">”</w:t>
      </w:r>
    </w:p>
    <w:p>
      <w:pPr>
        <w:pStyle w:val="FirstParagraph"/>
        <w:widowControl/>
      </w:pPr>
      <w:r>
        <w:t xml:space="preserve">Avoid:</w:t>
      </w:r>
    </w:p>
    <w:p>
      <w:pPr>
        <w:pStyle w:val="Compact"/>
        <w:widowControl/>
        <w:numPr>
          <w:ilvl w:val="0"/>
          <w:numId w:val="1023"/>
        </w:numPr>
      </w:pPr>
      <w:r>
        <w:t xml:space="preserve">“</w:t>
      </w:r>
      <w:r>
        <w:t xml:space="preserve">the first effective number of tests</w:t>
      </w:r>
      <w:r>
        <w:t xml:space="preserve">”</w:t>
      </w:r>
      <w:r>
        <w:t xml:space="preserve">;</w:t>
      </w:r>
    </w:p>
    <w:p>
      <w:pPr>
        <w:pStyle w:val="Compact"/>
        <w:widowControl/>
        <w:numPr>
          <w:ilvl w:val="0"/>
          <w:numId w:val="1023"/>
        </w:numPr>
      </w:pPr>
      <w:r>
        <w:t xml:space="preserve">“</w:t>
      </w:r>
      <w:r>
        <w:t xml:space="preserve">a new extremal coefficient</w:t>
      </w:r>
      <w:r>
        <w:t xml:space="preserve">”</w:t>
      </w:r>
      <w:r>
        <w:t xml:space="preserve">;</w:t>
      </w:r>
    </w:p>
    <w:p>
      <w:pPr>
        <w:pStyle w:val="Compact"/>
        <w:widowControl/>
        <w:numPr>
          <w:ilvl w:val="0"/>
          <w:numId w:val="1023"/>
        </w:numPr>
      </w:pPr>
      <w:r>
        <w:t xml:space="preserve">“</w:t>
      </w:r>
      <w:r>
        <w:t xml:space="preserve">the first treatment of adaptive multiplicity</w:t>
      </w:r>
      <w:r>
        <w:t xml:space="preserve">”</w:t>
      </w:r>
      <w:r>
        <w:t xml:space="preserve">;</w:t>
      </w:r>
    </w:p>
    <w:p>
      <w:pPr>
        <w:pStyle w:val="Compact"/>
        <w:widowControl/>
        <w:numPr>
          <w:ilvl w:val="0"/>
          <w:numId w:val="1023"/>
        </w:numPr>
      </w:pPr>
      <w:r>
        <w:t xml:space="preserve">“</w:t>
      </w:r>
      <w:r>
        <w:t xml:space="preserve">universal search complexity</w:t>
      </w:r>
      <w:r>
        <w:t xml:space="preserve">”</w:t>
      </w:r>
      <w:r>
        <w:t xml:space="preserve">;</w:t>
      </w:r>
    </w:p>
    <w:p>
      <w:pPr>
        <w:pStyle w:val="Compact"/>
        <w:widowControl/>
        <w:numPr>
          <w:ilvl w:val="0"/>
          <w:numId w:val="1023"/>
        </w:numPr>
      </w:pPr>
      <w:r>
        <w:t xml:space="preserve">“</w:t>
      </w:r>
      <w:r>
        <w:t xml:space="preserve">TESS corrects multiplicity</w:t>
      </w:r>
      <w:r>
        <w:t xml:space="preserve">”</w:t>
      </w:r>
      <w:r>
        <w:t xml:space="preserve">;</w:t>
      </w:r>
    </w:p>
    <w:p>
      <w:pPr>
        <w:pStyle w:val="Compact"/>
        <w:widowControl/>
        <w:numPr>
          <w:ilvl w:val="0"/>
          <w:numId w:val="1023"/>
        </w:numPr>
      </w:pPr>
      <w:r>
        <w:t xml:space="preserve">“</w:t>
      </w:r>
      <w:r>
        <w:t xml:space="preserve">D2 proves validity for the exact 20-candidate pipeline.</w:t>
      </w:r>
      <w:r>
        <w:t xml:space="preserve">”</w:t>
      </w:r>
    </w:p>
    <w:bookmarkEnd w:id="91"/>
    <w:bookmarkStart w:id="92" w:name="recommended-narrow-novelty-paragraph"/>
    <w:p>
      <w:pPr>
        <w:pStyle w:val="Heading2"/>
        <w:keepNext/>
        <w:keepLines/>
      </w:pPr>
      <w:r>
        <w:t xml:space="preserve">12.3 Recommended narrow novelty paragraph</w:t>
      </w:r>
    </w:p>
    <w:p>
      <w:pPr>
        <w:pStyle w:val="BlockText"/>
        <w:shd w:fill="EAF2F8"/>
        <w:widowControl/>
        <w:pBdr>
          <w:left w:val="single" w:sz="12" w:space="5" w:color="2F5597"/>
        </w:pBdr>
      </w:pPr>
      <w:r>
        <w:t xml:space="preserve">Fixed-family effective-number and extremal-coefficient methods describe the tail geometry of a declared family of statistics. They do not identify the rejection law of a policy whose evaluated family depends on intermediate data. We characterize the missing policy layer through conditional incremental rejection, derive sharp same-budget envelopes and identifiability conditions, show that identical fixed candidate laws and budgets permit different or crossing policy rejection curves, and develop two-bank inference when the policy calibration is estimated from an independent reference sample.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reviewer-risk-register"/>
    <w:p>
      <w:pPr>
        <w:pStyle w:val="Heading1"/>
        <w:keepNext/>
        <w:keepLines/>
      </w:pPr>
      <w:r>
        <w:t xml:space="preserve">13. Reviewer-risk register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Aptos" w:hAnsi="Aptos" w:eastAsia="Yu Gothic"/>
                <w:b/>
                <w:color w:val="17365D"/>
                <w:sz w:val="15"/>
              </w:rPr>
              <w:t xml:space="preserve">Risk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Aptos" w:hAnsi="Aptos" w:eastAsia="Yu Gothic"/>
                <w:b/>
                <w:color w:val="17365D"/>
                <w:sz w:val="15"/>
              </w:rPr>
              <w:t xml:space="preserve">Severity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Aptos" w:hAnsi="Aptos" w:eastAsia="Yu Gothic"/>
                <w:b/>
                <w:color w:val="17365D"/>
                <w:sz w:val="15"/>
              </w:rPr>
              <w:t xml:space="preserve">Response before submission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“</w:t>
            </w:r>
            <w:r>
              <w:rPr>
                <w:rFonts w:ascii="Aptos" w:hAnsi="Aptos" w:eastAsia="Yu Gothic"/>
                <w:sz w:val="14"/>
              </w:rPr>
              <w:t xml:space="preserve">TESS is just a Sidak inversion</w:t>
            </w:r>
            <w:r>
              <w:rPr>
                <w:rFonts w:ascii="Aptos" w:hAnsi="Aptos" w:eastAsia="Yu Gothic"/>
                <w:sz w:val="14"/>
              </w:rPr>
              <w:t xml:space="preserve">”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High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Make it a short characterized scale; center novelty on policy non-identifiability and envelopes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Curve-crossing theorem scope does not match nested expansion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High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Repair scope or construction before drafting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D2 is only a simplified two-candidate regular model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High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Add plus-one bridge, D4, and explicit limitation; never overclaim exact-pipeline validity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Too many theorems for one concise paper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High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Use the main theorem spine above; move cost/FOSD/D1/full validation to supplement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Empirical and theory papers appear duplicative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High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Submit one unified top-tier paper; freeze empirical v2 as fallback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Rank-coherence proof over uncountable alpha is informal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Medium-high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Add separability/version conditions or finite-grid theorem first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Expected-budget impossibility appears adversarial only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Medium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Pair theorem with locked heterogeneous-library phenomenon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D2 validation PASS depends on selecting B &gt;= 3000 as main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Medium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Explain this was prospectively informed by frozen D1 and locked before D2 run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Single-author proof reliability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Medium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Obtain independent mathematical review before submission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Manuscript exceeds Biometrika length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Medium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Enforce page budget; place proofs and SUPPORT2 in supplement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Novelty search misses adjacent adaptive-subset literature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Medium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Perform a focused systematic novelty audit and citation chaining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Start w:id="99" w:name="journal-route"/>
    <w:p>
      <w:pPr>
        <w:pStyle w:val="Heading1"/>
        <w:keepNext/>
        <w:keepLines/>
      </w:pPr>
      <w:r>
        <w:t xml:space="preserve">14. Journal route</w:t>
      </w:r>
    </w:p>
    <w:bookmarkStart w:id="95" w:name="X6e67176929bc2645cf73fbb645f475e907f7b3e"/>
    <w:p>
      <w:pPr>
        <w:pStyle w:val="Heading2"/>
        <w:keepNext/>
        <w:keepLines/>
      </w:pPr>
      <w:r>
        <w:t xml:space="preserve">14.1 Biometrika - recommended first submission</w:t>
      </w:r>
    </w:p>
    <w:p>
      <w:pPr>
        <w:pStyle w:val="FirstParagraph"/>
        <w:widowControl/>
      </w:pPr>
      <w:r>
        <w:t xml:space="preserve">Best fit if the paper is concise and organized around:</w:t>
      </w:r>
    </w:p>
    <w:p>
      <w:pPr>
        <w:pStyle w:val="Compact"/>
        <w:widowControl/>
        <w:numPr>
          <w:ilvl w:val="0"/>
          <w:numId w:val="1024"/>
        </w:numPr>
      </w:pPr>
      <w:r>
        <w:t xml:space="preserve">a foundational policy-level object;</w:t>
      </w:r>
    </w:p>
    <w:p>
      <w:pPr>
        <w:pStyle w:val="Compact"/>
        <w:widowControl/>
        <w:numPr>
          <w:ilvl w:val="0"/>
          <w:numId w:val="1024"/>
        </w:numPr>
      </w:pPr>
      <w:r>
        <w:t xml:space="preserve">sharp non-identifiability/envelope results;</w:t>
      </w:r>
    </w:p>
    <w:p>
      <w:pPr>
        <w:pStyle w:val="Compact"/>
        <w:widowControl/>
        <w:numPr>
          <w:ilvl w:val="0"/>
          <w:numId w:val="1024"/>
        </w:numPr>
      </w:pPr>
      <w:r>
        <w:t xml:space="preserve">unforeseen behavior under equal budgets;</w:t>
      </w:r>
    </w:p>
    <w:p>
      <w:pPr>
        <w:pStyle w:val="Compact"/>
        <w:widowControl/>
        <w:numPr>
          <w:ilvl w:val="0"/>
          <w:numId w:val="1024"/>
        </w:numPr>
      </w:pPr>
      <w:r>
        <w:t xml:space="preserve">one compact inference theorem;</w:t>
      </w:r>
    </w:p>
    <w:p>
      <w:pPr>
        <w:pStyle w:val="Compact"/>
        <w:widowControl/>
        <w:numPr>
          <w:ilvl w:val="0"/>
          <w:numId w:val="1024"/>
        </w:numPr>
      </w:pPr>
      <w:r>
        <w:t xml:space="preserve">one convincing locked illustration.</w:t>
      </w:r>
    </w:p>
    <w:p>
      <w:pPr>
        <w:pStyle w:val="FirstParagraph"/>
        <w:widowControl/>
      </w:pPr>
      <w:r>
        <w:rPr>
          <w:b/>
          <w:bCs/>
        </w:rPr>
        <w:t xml:space="preserve">Minimum before submission:</w:t>
      </w:r>
      <w:r>
        <w:t xml:space="preserve"> </w:t>
      </w:r>
      <w:r>
        <w:t xml:space="preserve">D4, plus-one bridge, scope repair, proof audit, and concise manuscript under 20 pages.</w:t>
      </w:r>
    </w:p>
    <w:bookmarkEnd w:id="95"/>
    <w:bookmarkStart w:id="96" w:name="jrss-b---recommended-second-route"/>
    <w:p>
      <w:pPr>
        <w:pStyle w:val="Heading2"/>
        <w:keepNext/>
        <w:keepLines/>
      </w:pPr>
      <w:r>
        <w:t xml:space="preserve">14.2 JRSS-B - recommended second route</w:t>
      </w:r>
    </w:p>
    <w:p>
      <w:pPr>
        <w:pStyle w:val="FirstParagraph"/>
        <w:widowControl/>
      </w:pPr>
      <w:r>
        <w:t xml:space="preserve">Best fit if:</w:t>
      </w:r>
    </w:p>
    <w:p>
      <w:pPr>
        <w:pStyle w:val="Compact"/>
        <w:widowControl/>
        <w:numPr>
          <w:ilvl w:val="0"/>
          <w:numId w:val="1025"/>
        </w:numPr>
      </w:pPr>
      <w:r>
        <w:t xml:space="preserve">the methodology and scope of application need more explanation;</w:t>
      </w:r>
    </w:p>
    <w:p>
      <w:pPr>
        <w:pStyle w:val="Compact"/>
        <w:widowControl/>
        <w:numPr>
          <w:ilvl w:val="0"/>
          <w:numId w:val="1025"/>
        </w:numPr>
      </w:pPr>
      <w:r>
        <w:t xml:space="preserve">the locked empirical illustration remains substantial;</w:t>
      </w:r>
    </w:p>
    <w:p>
      <w:pPr>
        <w:pStyle w:val="Compact"/>
        <w:widowControl/>
        <w:numPr>
          <w:ilvl w:val="0"/>
          <w:numId w:val="1025"/>
        </w:numPr>
      </w:pPr>
      <w:r>
        <w:t xml:space="preserve">D3 or broader computational implementation is included;</w:t>
      </w:r>
    </w:p>
    <w:p>
      <w:pPr>
        <w:pStyle w:val="Compact"/>
        <w:widowControl/>
        <w:numPr>
          <w:ilvl w:val="0"/>
          <w:numId w:val="1025"/>
        </w:numPr>
      </w:pPr>
      <w:r>
        <w:t xml:space="preserve">the manuscript cannot honestly be compressed to Biometrika length.</w:t>
      </w:r>
    </w:p>
    <w:p>
      <w:pPr>
        <w:pStyle w:val="FirstParagraph"/>
        <w:widowControl/>
      </w:pPr>
      <w:r>
        <w:t xml:space="preserve">A regular contributed paper is appropriate; it need not be a Discussion Paper.</w:t>
      </w:r>
    </w:p>
    <w:bookmarkEnd w:id="96"/>
    <w:bookmarkStart w:id="97" w:name="jasa-theory-and-methods"/>
    <w:p>
      <w:pPr>
        <w:pStyle w:val="Heading2"/>
        <w:keepNext/>
        <w:keepLines/>
      </w:pPr>
      <w:r>
        <w:t xml:space="preserve">14.3 JASA Theory and Methods</w:t>
      </w:r>
    </w:p>
    <w:p>
      <w:pPr>
        <w:pStyle w:val="FirstParagraph"/>
        <w:widowControl/>
      </w:pPr>
      <w:r>
        <w:t xml:space="preserve">Best fit if:</w:t>
      </w:r>
    </w:p>
    <w:p>
      <w:pPr>
        <w:pStyle w:val="Compact"/>
        <w:widowControl/>
        <w:numPr>
          <w:ilvl w:val="0"/>
          <w:numId w:val="1026"/>
        </w:numPr>
      </w:pPr>
      <w:r>
        <w:t xml:space="preserve">D3 supplies a uniform process and simultaneous bands;</w:t>
      </w:r>
    </w:p>
    <w:p>
      <w:pPr>
        <w:pStyle w:val="Compact"/>
        <w:widowControl/>
        <w:numPr>
          <w:ilvl w:val="0"/>
          <w:numId w:val="1026"/>
        </w:numPr>
      </w:pPr>
      <w:r>
        <w:t xml:space="preserve">D4 is complete;</w:t>
      </w:r>
    </w:p>
    <w:p>
      <w:pPr>
        <w:pStyle w:val="Compact"/>
        <w:widowControl/>
        <w:numPr>
          <w:ilvl w:val="0"/>
          <w:numId w:val="1026"/>
        </w:numPr>
      </w:pPr>
      <w:r>
        <w:t xml:space="preserve">software and a reusable policy-diagnostic workflow are part of the contribution;</w:t>
      </w:r>
    </w:p>
    <w:p>
      <w:pPr>
        <w:pStyle w:val="Compact"/>
        <w:widowControl/>
        <w:numPr>
          <w:ilvl w:val="0"/>
          <w:numId w:val="1026"/>
        </w:numPr>
      </w:pPr>
      <w:r>
        <w:t xml:space="preserve">the paper is broader and more comprehensive than a concise Biometrika paper.</w:t>
      </w:r>
    </w:p>
    <w:bookmarkEnd w:id="97"/>
    <w:bookmarkStart w:id="98" w:name="annals-of-statistics"/>
    <w:p>
      <w:pPr>
        <w:pStyle w:val="Heading2"/>
        <w:keepNext/>
        <w:keepLines/>
      </w:pPr>
      <w:r>
        <w:t xml:space="preserve">14.4 Annals of Statistics</w:t>
      </w:r>
    </w:p>
    <w:p>
      <w:pPr>
        <w:pStyle w:val="FirstParagraph"/>
        <w:widowControl/>
      </w:pPr>
      <w:r>
        <w:t xml:space="preserve">Reconsider only if:</w:t>
      </w:r>
    </w:p>
    <w:p>
      <w:pPr>
        <w:pStyle w:val="Compact"/>
        <w:widowControl/>
        <w:numPr>
          <w:ilvl w:val="0"/>
          <w:numId w:val="1027"/>
        </w:numPr>
      </w:pPr>
      <w:r>
        <w:t xml:space="preserve">inference is extended to a substantially more general policy class;</w:t>
      </w:r>
    </w:p>
    <w:p>
      <w:pPr>
        <w:pStyle w:val="Compact"/>
        <w:widowControl/>
        <w:numPr>
          <w:ilvl w:val="0"/>
          <w:numId w:val="1027"/>
        </w:numPr>
      </w:pPr>
      <w:r>
        <w:t xml:space="preserve">process weak convergence and bootstrap validity are central rather than supplementary;</w:t>
      </w:r>
    </w:p>
    <w:p>
      <w:pPr>
        <w:pStyle w:val="Compact"/>
        <w:widowControl/>
        <w:numPr>
          <w:ilvl w:val="0"/>
          <w:numId w:val="1027"/>
        </w:numPr>
      </w:pPr>
      <w:r>
        <w:t xml:space="preserve">winner selection or nonsmooth policy maps are handled nontrivially;</w:t>
      </w:r>
    </w:p>
    <w:p>
      <w:pPr>
        <w:pStyle w:val="Compact"/>
        <w:widowControl/>
        <w:numPr>
          <w:ilvl w:val="0"/>
          <w:numId w:val="1027"/>
        </w:numPr>
      </w:pPr>
      <w:r>
        <w:t xml:space="preserve">the theoretical advance is likely to influence statistical methodology beyond this application.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drafting-sequence"/>
    <w:p>
      <w:pPr>
        <w:pStyle w:val="Heading1"/>
        <w:keepNext/>
        <w:keepLines/>
      </w:pPr>
      <w:r>
        <w:t xml:space="preserve">15. Drafting sequence</w:t>
      </w:r>
    </w:p>
    <w:p>
      <w:pPr>
        <w:pStyle w:val="Compact"/>
        <w:widowControl/>
        <w:numPr>
          <w:ilvl w:val="0"/>
          <w:numId w:val="1028"/>
        </w:numPr>
      </w:pPr>
      <w:r>
        <w:t xml:space="preserve">Freeze this architecture and decision log.</w:t>
      </w:r>
    </w:p>
    <w:p>
      <w:pPr>
        <w:pStyle w:val="Compact"/>
        <w:widowControl/>
        <w:numPr>
          <w:ilvl w:val="0"/>
          <w:numId w:val="1028"/>
        </w:numPr>
      </w:pPr>
      <w:r>
        <w:t xml:space="preserve">Complete a proof audit of the green/amber theorem inventory.</w:t>
      </w:r>
    </w:p>
    <w:p>
      <w:pPr>
        <w:pStyle w:val="Compact"/>
        <w:widowControl/>
        <w:numPr>
          <w:ilvl w:val="0"/>
          <w:numId w:val="1028"/>
        </w:numPr>
      </w:pPr>
      <w:r>
        <w:t xml:space="preserve">Develop D4 under a separately locked protocol.</w:t>
      </w:r>
    </w:p>
    <w:p>
      <w:pPr>
        <w:pStyle w:val="Compact"/>
        <w:widowControl/>
        <w:numPr>
          <w:ilvl w:val="0"/>
          <w:numId w:val="1028"/>
        </w:numPr>
      </w:pPr>
      <w:r>
        <w:t xml:space="preserve">Derive and test the plus-one bridge.</w:t>
      </w:r>
    </w:p>
    <w:p>
      <w:pPr>
        <w:pStyle w:val="Compact"/>
        <w:widowControl/>
        <w:numPr>
          <w:ilvl w:val="0"/>
          <w:numId w:val="1028"/>
        </w:numPr>
      </w:pPr>
      <w:r>
        <w:t xml:space="preserve">Perform frozen-output signed-mechanism and coherence diagnostics.</w:t>
      </w:r>
    </w:p>
    <w:p>
      <w:pPr>
        <w:pStyle w:val="Compact"/>
        <w:widowControl/>
        <w:numPr>
          <w:ilvl w:val="0"/>
          <w:numId w:val="1028"/>
        </w:numPr>
      </w:pPr>
      <w:r>
        <w:t xml:space="preserve">Write a unified notation sheet and theorem dependency map.</w:t>
      </w:r>
    </w:p>
    <w:p>
      <w:pPr>
        <w:pStyle w:val="Compact"/>
        <w:widowControl/>
        <w:numPr>
          <w:ilvl w:val="0"/>
          <w:numId w:val="1028"/>
        </w:numPr>
      </w:pPr>
      <w:r>
        <w:t xml:space="preserve">Draft Sections 2-5 first.</w:t>
      </w:r>
    </w:p>
    <w:p>
      <w:pPr>
        <w:pStyle w:val="Compact"/>
        <w:widowControl/>
        <w:numPr>
          <w:ilvl w:val="0"/>
          <w:numId w:val="1028"/>
        </w:numPr>
      </w:pPr>
      <w:r>
        <w:t xml:space="preserve">Draft the empirical illustration from frozen outputs.</w:t>
      </w:r>
    </w:p>
    <w:p>
      <w:pPr>
        <w:pStyle w:val="Compact"/>
        <w:widowControl/>
        <w:numPr>
          <w:ilvl w:val="0"/>
          <w:numId w:val="1028"/>
        </w:numPr>
      </w:pPr>
      <w:r>
        <w:t xml:space="preserve">Draft Introduction and Discussion with the literature audit beside them.</w:t>
      </w:r>
    </w:p>
    <w:p>
      <w:pPr>
        <w:pStyle w:val="Compact"/>
        <w:widowControl/>
        <w:numPr>
          <w:ilvl w:val="0"/>
          <w:numId w:val="1028"/>
        </w:numPr>
      </w:pPr>
      <w:r>
        <w:t xml:space="preserve">Produce a Biometrika-length main PDF and a complete supplement.</w:t>
      </w:r>
    </w:p>
    <w:p>
      <w:pPr>
        <w:pStyle w:val="Compact"/>
        <w:widowControl/>
        <w:numPr>
          <w:ilvl w:val="0"/>
          <w:numId w:val="1028"/>
        </w:numPr>
      </w:pPr>
      <w:r>
        <w:t xml:space="preserve">Decide whether D3 is necessary only after the first complete typeset draft.</w:t>
      </w:r>
    </w:p>
    <w:p>
      <w:pPr>
        <w:pStyle w:val="Compact"/>
        <w:widowControl/>
        <w:numPr>
          <w:ilvl w:val="0"/>
          <w:numId w:val="1028"/>
        </w:numPr>
      </w:pPr>
      <w:r>
        <w:t xml:space="preserve">Obtain external mathematical review, then conduct a final citation and overlap audit.</w:t>
      </w:r>
    </w:p>
    <w:p>
      <w:r>
        <w:pict>
          <v:rect style="width:0;height:1.5pt" o:hralign="center" o:hrstd="t" o:hr="t"/>
        </w:pict>
      </w:r>
    </w:p>
    <w:bookmarkEnd w:id="100"/>
    <w:bookmarkStart w:id="101" w:name="stop-rules"/>
    <w:p>
      <w:pPr>
        <w:pStyle w:val="Heading1"/>
        <w:keepNext/>
        <w:keepLines/>
      </w:pPr>
      <w:r>
        <w:t xml:space="preserve">16. Stop rules</w:t>
      </w:r>
    </w:p>
    <w:p>
      <w:pPr>
        <w:pStyle w:val="FirstParagraph"/>
        <w:widowControl/>
      </w:pPr>
      <w:r>
        <w:t xml:space="preserve">Do not continue adding theory indefinitely.</w:t>
      </w:r>
    </w:p>
    <w:p>
      <w:pPr>
        <w:pStyle w:val="BodyText"/>
        <w:widowControl/>
      </w:pPr>
      <w:r>
        <w:t xml:space="preserve">Proceed without D3 if:</w:t>
      </w:r>
    </w:p>
    <w:p>
      <w:pPr>
        <w:pStyle w:val="Compact"/>
        <w:widowControl/>
        <w:numPr>
          <w:ilvl w:val="0"/>
          <w:numId w:val="1029"/>
        </w:numPr>
      </w:pPr>
      <w:r>
        <w:t xml:space="preserve">D4 is complete;</w:t>
      </w:r>
    </w:p>
    <w:p>
      <w:pPr>
        <w:pStyle w:val="Compact"/>
        <w:widowControl/>
        <w:numPr>
          <w:ilvl w:val="0"/>
          <w:numId w:val="1029"/>
        </w:numPr>
      </w:pPr>
      <w:r>
        <w:t xml:space="preserve">the plus-one bridge is satisfactory;</w:t>
      </w:r>
    </w:p>
    <w:p>
      <w:pPr>
        <w:pStyle w:val="Compact"/>
        <w:widowControl/>
        <w:numPr>
          <w:ilvl w:val="0"/>
          <w:numId w:val="1029"/>
        </w:numPr>
      </w:pPr>
      <w:r>
        <w:t xml:space="preserve">the main theorem spine fits coherently under 20 pages;</w:t>
      </w:r>
    </w:p>
    <w:p>
      <w:pPr>
        <w:pStyle w:val="Compact"/>
        <w:widowControl/>
        <w:numPr>
          <w:ilvl w:val="0"/>
          <w:numId w:val="1029"/>
        </w:numPr>
      </w:pPr>
      <w:r>
        <w:t xml:space="preserve">the locked illustration demonstrates the coupling mechanism;</w:t>
      </w:r>
    </w:p>
    <w:p>
      <w:pPr>
        <w:pStyle w:val="Compact"/>
        <w:widowControl/>
        <w:numPr>
          <w:ilvl w:val="0"/>
          <w:numId w:val="1029"/>
        </w:numPr>
      </w:pPr>
      <w:r>
        <w:t xml:space="preserve">no major proof gap remains.</w:t>
      </w:r>
    </w:p>
    <w:p>
      <w:pPr>
        <w:pStyle w:val="FirstParagraph"/>
        <w:widowControl/>
      </w:pPr>
      <w:r>
        <w:t xml:space="preserve">Attempt D3 only if it materially improves the paper’s journal fit or closes an obvious inferential gap.</w:t>
      </w:r>
    </w:p>
    <w:p>
      <w:pPr>
        <w:pStyle w:val="BodyText"/>
        <w:widowControl/>
      </w:pPr>
      <w:r>
        <w:t xml:space="preserve">Return to empirical v2 if:</w:t>
      </w:r>
    </w:p>
    <w:p>
      <w:pPr>
        <w:pStyle w:val="Compact"/>
        <w:widowControl/>
        <w:numPr>
          <w:ilvl w:val="0"/>
          <w:numId w:val="1030"/>
        </w:numPr>
      </w:pPr>
      <w:r>
        <w:t xml:space="preserve">the B-theorem scope cannot be repaired cleanly;</w:t>
      </w:r>
    </w:p>
    <w:p>
      <w:pPr>
        <w:pStyle w:val="Compact"/>
        <w:widowControl/>
        <w:numPr>
          <w:ilvl w:val="0"/>
          <w:numId w:val="1030"/>
        </w:numPr>
      </w:pPr>
      <w:r>
        <w:t xml:space="preserve">D4 requires assumptions unrelated to the empirical policy;</w:t>
      </w:r>
    </w:p>
    <w:p>
      <w:pPr>
        <w:pStyle w:val="Compact"/>
        <w:widowControl/>
        <w:numPr>
          <w:ilvl w:val="0"/>
          <w:numId w:val="1030"/>
        </w:numPr>
      </w:pPr>
      <w:r>
        <w:t xml:space="preserve">the unified main paper cannot be made concise;</w:t>
      </w:r>
    </w:p>
    <w:p>
      <w:pPr>
        <w:pStyle w:val="Compact"/>
        <w:widowControl/>
        <w:numPr>
          <w:ilvl w:val="0"/>
          <w:numId w:val="1030"/>
        </w:numPr>
      </w:pPr>
      <w:r>
        <w:t xml:space="preserve">a focused literature audit finds that the central policy-envelope/non-identifiability result is already known in essentially the same form.</w:t>
      </w:r>
    </w:p>
    <w:p>
      <w:r>
        <w:pict>
          <v:rect style="width:0;height:1.5pt" o:hralign="center" o:hrstd="t" o:hr="t"/>
        </w:pict>
      </w:r>
    </w:p>
    <w:bookmarkEnd w:id="101"/>
    <w:bookmarkStart w:id="102" w:name="immediate-next-action"/>
    <w:p>
      <w:pPr>
        <w:pStyle w:val="Heading1"/>
        <w:keepNext/>
        <w:keepLines/>
      </w:pPr>
      <w:r>
        <w:t xml:space="preserve">17. Immediate next action</w:t>
      </w:r>
    </w:p>
    <w:p>
      <w:pPr>
        <w:pStyle w:val="FirstParagraph"/>
        <w:widowControl/>
      </w:pPr>
      <w:r>
        <w:t xml:space="preserve">The next work package should be:</w:t>
      </w:r>
    </w:p>
    <w:p>
      <w:pPr>
        <w:pStyle w:val="BlockText"/>
        <w:shd w:fill="EAF2F8"/>
        <w:widowControl/>
        <w:pBdr>
          <w:left w:val="single" w:sz="12" w:space="5" w:color="2F5597"/>
        </w:pBdr>
      </w:pPr>
      <w:r>
        <w:rPr>
          <w:b/>
          <w:bCs/>
        </w:rPr>
        <w:t xml:space="preserve">Work Package D4: paired two-bank inference for the budget-matched policy TESS contrast.</w:t>
      </w:r>
    </w:p>
    <w:p>
      <w:pPr>
        <w:pStyle w:val="FirstParagraph"/>
        <w:widowControl/>
      </w:pPr>
      <w:r>
        <w:t xml:space="preserve">Before any D4 scientific run:</w:t>
      </w:r>
    </w:p>
    <w:p>
      <w:pPr>
        <w:pStyle w:val="Compact"/>
        <w:widowControl/>
        <w:numPr>
          <w:ilvl w:val="0"/>
          <w:numId w:val="1031"/>
        </w:numPr>
      </w:pPr>
      <w:r>
        <w:t xml:space="preserve">write a D4 theory/protocol memo;</w:t>
      </w:r>
    </w:p>
    <w:p>
      <w:pPr>
        <w:pStyle w:val="Compact"/>
        <w:widowControl/>
        <w:numPr>
          <w:ilvl w:val="0"/>
          <w:numId w:val="1031"/>
        </w:numPr>
      </w:pPr>
      <w:r>
        <w:t xml:space="preserve">define the population target and its plug-in estimator exactly;</w:t>
      </w:r>
    </w:p>
    <w:p>
      <w:pPr>
        <w:pStyle w:val="Compact"/>
        <w:widowControl/>
        <w:numPr>
          <w:ilvl w:val="0"/>
          <w:numId w:val="1031"/>
        </w:numPr>
      </w:pPr>
      <w:r>
        <w:t xml:space="preserve">decide whether the matched activation rate is population-defined, reference-estimated, or evaluation-estimated;</w:t>
      </w:r>
    </w:p>
    <w:p>
      <w:pPr>
        <w:pStyle w:val="Compact"/>
        <w:widowControl/>
        <w:numPr>
          <w:ilvl w:val="0"/>
          <w:numId w:val="1031"/>
        </w:numPr>
      </w:pPr>
      <w:r>
        <w:t xml:space="preserve">derive the joint evaluation and reference influence functions;</w:t>
      </w:r>
    </w:p>
    <w:p>
      <w:pPr>
        <w:pStyle w:val="Compact"/>
        <w:widowControl/>
        <w:numPr>
          <w:ilvl w:val="0"/>
          <w:numId w:val="1031"/>
        </w:numPr>
      </w:pPr>
      <w:r>
        <w:t xml:space="preserve">establish complete-replication paired bootstrap validity;</w:t>
      </w:r>
    </w:p>
    <w:p>
      <w:pPr>
        <w:pStyle w:val="Compact"/>
        <w:widowControl/>
        <w:numPr>
          <w:ilvl w:val="0"/>
          <w:numId w:val="1031"/>
        </w:numPr>
      </w:pPr>
      <w:r>
        <w:t xml:space="preserve">run runtime-only preflight;</w:t>
      </w:r>
    </w:p>
    <w:p>
      <w:pPr>
        <w:pStyle w:val="Compact"/>
        <w:widowControl/>
        <w:numPr>
          <w:ilvl w:val="0"/>
          <w:numId w:val="1031"/>
        </w:numPr>
      </w:pPr>
      <w:r>
        <w:t xml:space="preserve">lock the numerical protocol;</w:t>
      </w:r>
    </w:p>
    <w:p>
      <w:pPr>
        <w:pStyle w:val="Compact"/>
        <w:widowControl/>
        <w:numPr>
          <w:ilvl w:val="0"/>
          <w:numId w:val="1031"/>
        </w:numPr>
      </w:pPr>
      <w:r>
        <w:t xml:space="preserve">validate once and freeze the results.</w:t>
      </w:r>
    </w:p>
    <w:p>
      <w:pPr>
        <w:pStyle w:val="FirstParagraph"/>
        <w:widowControl/>
      </w:pPr>
      <w:r>
        <w:t xml:space="preserve">No new large empirical model-fitting experiment is needed before D4.</w:t>
      </w:r>
    </w:p>
    <w:p>
      <w:r>
        <w:pict>
          <v:rect style="width:0;height:1.5pt" o:hralign="center" o:hrstd="t" o:hr="t"/>
        </w:pict>
      </w:r>
    </w:p>
    <w:bookmarkEnd w:id="102"/>
    <w:bookmarkStart w:id="103" w:name="architecture-decision-log"/>
    <w:p>
      <w:pPr>
        <w:pStyle w:val="Heading1"/>
        <w:keepNext/>
        <w:keepLines/>
      </w:pPr>
      <w:r>
        <w:t xml:space="preserve">18. Architecture decision log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Aptos" w:hAnsi="Aptos" w:eastAsia="Yu Gothic"/>
                <w:b/>
                <w:color w:val="17365D"/>
                <w:sz w:val="15"/>
              </w:rPr>
              <w:t xml:space="preserve">Decision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Aptos" w:hAnsi="Aptos" w:eastAsia="Yu Gothic"/>
                <w:b/>
                <w:color w:val="17365D"/>
                <w:sz w:val="15"/>
              </w:rPr>
              <w:t xml:space="preserve">Choice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rFonts w:ascii="Aptos" w:hAnsi="Aptos" w:eastAsia="Yu Gothic"/>
                <w:b/>
                <w:color w:val="17365D"/>
                <w:sz w:val="15"/>
              </w:rPr>
              <w:t xml:space="preserve">Rationale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Number of papers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One unified top-tier paper; empirical v2 frozen as fallback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Avoid overlap and keep theory tied to a real phenomenon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First journal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Biometrika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Best match to conceptual novelty, foundational structure, and concise anomalous behavior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Main next theorem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D4 paired contrast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Directly closes the empirical/theoretical loop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D3 timing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After first complete draft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Prevent open-ended theory expansion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Main empirical example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Locked mixed-realistic confirmatory study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Strongest prespecified evidence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SUPPORT2 placement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Supplement, brief main-text reference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Preserves realism without overwhelming theory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TESS formula role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Characterized standardization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Avoid false novelty claim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Copula/extremal coefficient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Prior-art bridge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Locates fixed-family special case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D1 status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REVIEW, retained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Honest record of finite-sample basic-interval limitations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D2 status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PASS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Meets D0 core success criterion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Winner/tie/plus-one claim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Not yet covered by D2</w:t>
            </w:r>
          </w:p>
        </w:tc>
        <w:tc>
          <w:tcPr>
            <w:vAlign w:val="center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Aptos" w:hAnsi="Aptos" w:eastAsia="Yu Gothic"/>
                <w:sz w:val="14"/>
              </w:rPr>
              <w:t xml:space="preserve">Requires explicit bridge and scope statement</w:t>
            </w:r>
          </w:p>
        </w:tc>
      </w:tr>
    </w:tbl>
    <w:bookmarkEnd w:id="103"/>
    <w:sectPr>
      <w:headerReference w:type="default" r:id="rId9"/>
      <w:footerReference w:type="default" r:id="rId10"/>
      <w:pgMar w:top="950" w:bottom="979" w:left="1037" w:right="1037" w:header="403" w:footer="40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F7F7F"/>
        <w:sz w:val="15"/>
      </w:rPr>
      <w:t>Policy-Level Search Size - strategic integration after D2 PASS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F7F7F"/>
        <w:sz w:val="15"/>
      </w:rPr>
      <w:t>Top-Tier Manuscript Architecture v1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69" w:lineRule="auto" w:after="80"/>
    </w:pPr>
    <w:rPr>
      <w:rFonts w:ascii="Aptos" w:hAnsi="Aptos" w:eastAsia="Yu Gothic"/>
      <w:sz w:val="19"/>
    </w:rPr>
  </w:style>
  <w:style w:styleId="BodyText" w:type="paragraph">
    <w:name w:val="Body Text"/>
    <w:basedOn w:val="Normal"/>
    <w:link w:val="BodyTextChar"/>
    <w:qFormat/>
    <w:pPr>
      <w:spacing w:after="80" w:before="180" w:line="269" w:lineRule="auto"/>
    </w:pPr>
    <w:rPr>
      <w:rFonts w:ascii="Aptos" w:hAnsi="Aptos" w:eastAsia="Yu Gothic"/>
      <w:sz w:val="19"/>
    </w:rPr>
  </w:style>
  <w:style w:customStyle="1" w:styleId="FirstParagraph" w:type="paragraph">
    <w:name w:val="First Paragraph"/>
    <w:basedOn w:val="BodyText"/>
    <w:next w:val="BodyText"/>
    <w:qFormat/>
    <w:pPr>
      <w:spacing w:line="269" w:lineRule="auto" w:after="80"/>
    </w:pPr>
    <w:rPr>
      <w:rFonts w:ascii="Aptos" w:hAnsi="Aptos" w:eastAsia="Yu Gothic"/>
      <w:sz w:val="19"/>
    </w:rPr>
  </w:style>
  <w:style w:customStyle="1" w:styleId="Compact" w:type="paragraph">
    <w:name w:val="Compact"/>
    <w:basedOn w:val="BodyText"/>
    <w:qFormat/>
    <w:pPr>
      <w:spacing w:after="80" w:before="36" w:line="269" w:lineRule="auto"/>
    </w:pPr>
    <w:rPr>
      <w:rFonts w:ascii="Aptos" w:hAnsi="Aptos" w:eastAsia="Yu Gothic"/>
      <w:sz w:val="19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00"/>
      <w:ind w:firstLine="0" w:left="403" w:right="259"/>
    </w:pPr>
    <w:rPr>
      <w:rFonts w:ascii="Aptos" w:hAnsi="Aptos"/>
      <w:i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51" Type="http://schemas.openxmlformats.org/officeDocument/2006/relationships/image" Target="media/rId51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Top-Tier Manuscript Architecture v1</dc:title>
  <dc:creator>Atsushi Senda</dc:creator>
  <cp:keywords>adaptive policies, search size, TESS, manuscript architecture, Biometrika</cp:keywords>
  <dcterms:created xsi:type="dcterms:W3CDTF">2026-08-02T12:35:42Z</dcterms:created>
  <dcterms:modified xsi:type="dcterms:W3CDTF">2026-08-02T12:35:42Z</dcterms:modified>
  <dc:subject>Policy-level search size theory integration and manuscript strategy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