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The Decision By 15,000+ Schools Tell Its Own Story!</w:t>
      </w:r>
    </w:p>
    <w:p>
      <w:pPr>
        <w:spacing w:before="0" w:after="0" w:line="240"/>
        <w:ind w:right="0" w:left="0" w:firstLine="0"/>
        <w:jc w:val="center"/>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Join the best and the most effective School Support Centre in Nigeria right now &amp; begin to experience unprecedented improvement in brand awareness; learning outcome; enrolment &amp; revenue; and a significant reduction in debt &amp; unexpected withdrawal of families and their children. </w:t>
      </w:r>
    </w:p>
    <w:p>
      <w:pPr>
        <w:spacing w:before="0" w:after="0" w:line="240"/>
        <w:ind w:right="0" w:left="0" w:firstLine="0"/>
        <w:jc w:val="center"/>
        <w:rPr>
          <w:rFonts w:ascii="MicrosoftSansSerif" w:hAnsi="MicrosoftSansSerif" w:cs="MicrosoftSansSerif" w:eastAsia="MicrosoftSansSerif"/>
          <w:color w:val="2E74B5"/>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Competition for market share amidst private school operators is on a daily increase, likewise the rate of failure amidst learners in external examinations.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slow growth in school business and the fallen standard of private school education in Nigeria calls for the use of more creative strategies and stringent measures.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Many research experts have attributed this sudden decadence to lack of</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requisite leadership and management skills to pilot the affair of the school; paucity of funds to deploy appropriate infrastructure and insufficient resources to get the job done; lack of qualified teachers and inadequate training of teachers; lack of sufficient participation of learners in the learning process.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other to ameliorate these challenges and help in salvaging this fast-worsening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 TreNova School Support Centre is offering bundle of solutions, services, products that seek to solve the challenges.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School Support Centre Membership works like a gym membership. For a fixed termly fee, you will have access to an extensive bundle of solutions, and also have access to tools, resources, and benefits that are relevant to your school growth challenges and opportunities.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Here is what you get with the bundle deal...</w:t>
      </w:r>
    </w:p>
    <w:p>
      <w:pPr>
        <w:spacing w:before="0" w:after="160" w:line="259"/>
        <w:ind w:right="0" w:left="7200" w:firstLine="0"/>
        <w:jc w:val="left"/>
        <w:rPr>
          <w:rFonts w:ascii="Calibri" w:hAnsi="Calibri" w:cs="Calibri" w:eastAsia="Calibri"/>
          <w:b/>
          <w:color w:val="auto"/>
          <w:spacing w:val="0"/>
          <w:position w:val="0"/>
          <w:sz w:val="34"/>
          <w:shd w:fill="auto" w:val="clear"/>
        </w:rPr>
      </w:pPr>
    </w:p>
    <w:p>
      <w:pPr>
        <w:spacing w:before="0" w:after="160" w:line="259"/>
        <w:ind w:right="0" w:left="7200" w:firstLine="0"/>
        <w:jc w:val="left"/>
        <w:rPr>
          <w:rFonts w:ascii="Calibri" w:hAnsi="Calibri" w:cs="Calibri" w:eastAsia="Calibri"/>
          <w:b/>
          <w:color w:val="auto"/>
          <w:spacing w:val="0"/>
          <w:position w:val="0"/>
          <w:sz w:val="34"/>
          <w:shd w:fill="auto" w:val="clear"/>
        </w:rPr>
      </w:pPr>
    </w:p>
    <w:p>
      <w:pPr>
        <w:spacing w:before="0" w:after="160" w:line="259"/>
        <w:ind w:right="0" w:left="7200" w:firstLine="0"/>
        <w:jc w:val="left"/>
        <w:rPr>
          <w:rFonts w:ascii="Calibri" w:hAnsi="Calibri" w:cs="Calibri" w:eastAsia="Calibri"/>
          <w:b/>
          <w:color w:val="auto"/>
          <w:spacing w:val="0"/>
          <w:position w:val="0"/>
          <w:sz w:val="34"/>
          <w:shd w:fill="auto" w:val="clear"/>
        </w:rPr>
      </w:pPr>
    </w:p>
    <w:p>
      <w:pPr>
        <w:spacing w:before="0" w:after="160" w:line="259"/>
        <w:ind w:right="0" w:left="7200" w:firstLine="0"/>
        <w:jc w:val="left"/>
        <w:rPr>
          <w:rFonts w:ascii="Calibri" w:hAnsi="Calibri" w:cs="Calibri" w:eastAsia="Calibri"/>
          <w:b/>
          <w:color w:val="auto"/>
          <w:spacing w:val="0"/>
          <w:position w:val="0"/>
          <w:sz w:val="34"/>
          <w:shd w:fill="auto" w:val="clear"/>
        </w:rPr>
      </w:pPr>
      <w:r>
        <w:object w:dxaOrig="403" w:dyaOrig="433">
          <v:rect xmlns:o="urn:schemas-microsoft-com:office:office" xmlns:v="urn:schemas-microsoft-com:vml" id="rectole0000000000" style="width:20.150000pt;height:2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75" w:dyaOrig="418">
          <v:rect xmlns:o="urn:schemas-microsoft-com:office:office" xmlns:v="urn:schemas-microsoft-com:vml" id="rectole0000000001" style="width:18.750000pt;height:2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34"/>
          <w:shd w:fill="auto" w:val="clear"/>
        </w:rPr>
        <w:tab/>
        <w:tab/>
        <w:tab/>
      </w:r>
    </w:p>
    <w:tbl>
      <w:tblPr/>
      <w:tblGrid>
        <w:gridCol w:w="5246"/>
        <w:gridCol w:w="2677"/>
        <w:gridCol w:w="2410"/>
      </w:tblGrid>
      <w:tr>
        <w:trPr>
          <w:trHeight w:val="1" w:hRule="atLeast"/>
          <w:jc w:val="left"/>
        </w:trPr>
        <w:tc>
          <w:tcPr>
            <w:tcW w:w="5246" w:type="dxa"/>
            <w:tcBorders>
              <w:top w:val="single" w:color="000000" w:sz="12"/>
              <w:left w:val="single" w:color="000000" w:sz="12"/>
              <w:bottom w:val="single" w:color="000000" w:sz="12"/>
              <w:right w:val="single" w:color="000000" w:sz="12"/>
            </w:tcBorders>
            <w:shd w:color="auto" w:fill="f2f2f2" w:val="clear"/>
            <w:tcMar>
              <w:left w:w="108" w:type="dxa"/>
              <w:right w:w="108" w:type="dxa"/>
            </w:tcMar>
            <w:vAlign w:val="top"/>
          </w:tcPr>
          <w:p>
            <w:pPr>
              <w:spacing w:before="0" w:after="0" w:line="240"/>
              <w:ind w:right="0" w:left="0" w:firstLine="0"/>
              <w:jc w:val="center"/>
              <w:rPr>
                <w:rFonts w:ascii="Arial Black" w:hAnsi="Arial Black" w:cs="Arial Black" w:eastAsia="Arial Black"/>
                <w:b/>
                <w:color w:val="44546A"/>
                <w:spacing w:val="0"/>
                <w:position w:val="0"/>
                <w:sz w:val="22"/>
                <w:shd w:fill="auto" w:val="clear"/>
              </w:rPr>
            </w:pPr>
          </w:p>
          <w:p>
            <w:pPr>
              <w:spacing w:before="0" w:after="0" w:line="240"/>
              <w:ind w:right="0" w:left="0" w:firstLine="0"/>
              <w:jc w:val="center"/>
              <w:rPr>
                <w:spacing w:val="0"/>
                <w:position w:val="0"/>
                <w:shd w:fill="auto" w:val="clear"/>
              </w:rPr>
            </w:pPr>
            <w:r>
              <w:rPr>
                <w:rFonts w:ascii="Arial Black" w:hAnsi="Arial Black" w:cs="Arial Black" w:eastAsia="Arial Black"/>
                <w:b/>
                <w:color w:val="44546A"/>
                <w:spacing w:val="0"/>
                <w:position w:val="0"/>
                <w:sz w:val="40"/>
                <w:shd w:fill="auto" w:val="clear"/>
              </w:rPr>
              <w:t xml:space="preserve">Features &amp; Benefits</w:t>
            </w:r>
          </w:p>
        </w:tc>
        <w:tc>
          <w:tcPr>
            <w:tcW w:w="2677" w:type="dxa"/>
            <w:tcBorders>
              <w:top w:val="single" w:color="000000" w:sz="12"/>
              <w:left w:val="single" w:color="000000" w:sz="12"/>
              <w:bottom w:val="single" w:color="000000" w:sz="12"/>
              <w:right w:val="single" w:color="000000" w:sz="12"/>
            </w:tcBorders>
            <w:shd w:color="auto" w:fill="f2f2f2" w:val="clear"/>
            <w:tcMar>
              <w:left w:w="108" w:type="dxa"/>
              <w:right w:w="108" w:type="dxa"/>
            </w:tcMar>
            <w:vAlign w:val="top"/>
          </w:tcPr>
          <w:p>
            <w:pPr>
              <w:spacing w:before="0" w:after="0" w:line="240"/>
              <w:ind w:right="0" w:left="0" w:firstLine="0"/>
              <w:jc w:val="center"/>
              <w:rPr>
                <w:rFonts w:ascii="Arial Black" w:hAnsi="Arial Black" w:cs="Arial Black" w:eastAsia="Arial Black"/>
                <w:b/>
                <w:color w:val="44546A"/>
                <w:spacing w:val="0"/>
                <w:position w:val="0"/>
                <w:sz w:val="22"/>
                <w:shd w:fill="auto" w:val="clear"/>
              </w:rPr>
            </w:pPr>
            <w:r>
              <w:rPr>
                <w:rFonts w:ascii="Arial Black" w:hAnsi="Arial Black" w:cs="Arial Black" w:eastAsia="Arial Black"/>
                <w:b/>
                <w:color w:val="44546A"/>
                <w:spacing w:val="0"/>
                <w:position w:val="0"/>
                <w:sz w:val="22"/>
                <w:shd w:fill="auto" w:val="clear"/>
              </w:rPr>
              <w:t xml:space="preserve">Essentials </w:t>
            </w:r>
          </w:p>
          <w:p>
            <w:pPr>
              <w:spacing w:before="0" w:after="0" w:line="240"/>
              <w:ind w:right="0" w:left="0" w:firstLine="0"/>
              <w:jc w:val="center"/>
              <w:rPr>
                <w:rFonts w:ascii="Arial Black" w:hAnsi="Arial Black" w:cs="Arial Black" w:eastAsia="Arial Black"/>
                <w:b/>
                <w:color w:val="FF0000"/>
                <w:spacing w:val="0"/>
                <w:position w:val="0"/>
                <w:sz w:val="20"/>
                <w:shd w:fill="auto" w:val="clear"/>
              </w:rPr>
            </w:pPr>
            <w:r>
              <w:rPr>
                <w:rFonts w:ascii="Arial Black" w:hAnsi="Arial Black" w:cs="Arial Black" w:eastAsia="Arial Black"/>
                <w:b/>
                <w:color w:val="FF0000"/>
                <w:spacing w:val="0"/>
                <w:position w:val="0"/>
                <w:sz w:val="20"/>
                <w:shd w:fill="auto" w:val="clear"/>
              </w:rPr>
              <w:t xml:space="preserve">Membership </w:t>
            </w:r>
          </w:p>
          <w:p>
            <w:pPr>
              <w:spacing w:before="0" w:after="0" w:line="240"/>
              <w:ind w:right="0" w:left="0" w:firstLine="0"/>
              <w:jc w:val="center"/>
              <w:rPr>
                <w:rFonts w:ascii="Arial Black" w:hAnsi="Arial Black" w:cs="Arial Black" w:eastAsia="Arial Black"/>
                <w:b/>
                <w:color w:val="FF0000"/>
                <w:spacing w:val="0"/>
                <w:position w:val="0"/>
                <w:sz w:val="22"/>
                <w:shd w:fill="auto" w:val="clear"/>
              </w:rPr>
            </w:pPr>
            <w:r>
              <w:rPr>
                <w:rFonts w:ascii="Arial Black" w:hAnsi="Arial Black" w:cs="Arial Black" w:eastAsia="Arial Black"/>
                <w:b/>
                <w:color w:val="FF0000"/>
                <w:spacing w:val="0"/>
                <w:position w:val="0"/>
                <w:sz w:val="22"/>
                <w:shd w:fill="auto" w:val="clear"/>
              </w:rPr>
              <w:t xml:space="preserve">Plan</w:t>
            </w:r>
          </w:p>
          <w:p>
            <w:pPr>
              <w:spacing w:before="0" w:after="0" w:line="240"/>
              <w:ind w:right="0" w:left="0" w:firstLine="0"/>
              <w:jc w:val="center"/>
              <w:rPr>
                <w:spacing w:val="0"/>
                <w:position w:val="0"/>
                <w:shd w:fill="auto" w:val="clear"/>
              </w:rPr>
            </w:pPr>
            <w:r>
              <w:rPr>
                <w:rFonts w:ascii="Arial Black" w:hAnsi="Arial Black" w:cs="Arial Black" w:eastAsia="Arial Black"/>
                <w:b/>
                <w:color w:val="auto"/>
                <w:spacing w:val="0"/>
                <w:position w:val="0"/>
                <w:sz w:val="22"/>
                <w:shd w:fill="auto" w:val="clear"/>
              </w:rPr>
              <w:t xml:space="preserve">N37,487.50 per month</w:t>
            </w:r>
          </w:p>
        </w:tc>
        <w:tc>
          <w:tcPr>
            <w:tcW w:w="2410" w:type="dxa"/>
            <w:tcBorders>
              <w:top w:val="single" w:color="000000" w:sz="12"/>
              <w:left w:val="single" w:color="000000" w:sz="12"/>
              <w:bottom w:val="single" w:color="000000" w:sz="12"/>
              <w:right w:val="single" w:color="000000" w:sz="12"/>
            </w:tcBorders>
            <w:shd w:color="auto" w:fill="f2f2f2" w:val="clear"/>
            <w:tcMar>
              <w:left w:w="108" w:type="dxa"/>
              <w:right w:w="108" w:type="dxa"/>
            </w:tcMar>
            <w:vAlign w:val="top"/>
          </w:tcPr>
          <w:p>
            <w:pPr>
              <w:spacing w:before="0" w:after="0" w:line="240"/>
              <w:ind w:right="0" w:left="0" w:firstLine="0"/>
              <w:jc w:val="center"/>
              <w:rPr>
                <w:rFonts w:ascii="Arial Black" w:hAnsi="Arial Black" w:cs="Arial Black" w:eastAsia="Arial Black"/>
                <w:b/>
                <w:color w:val="44546A"/>
                <w:spacing w:val="0"/>
                <w:position w:val="0"/>
                <w:sz w:val="22"/>
                <w:shd w:fill="auto" w:val="clear"/>
              </w:rPr>
            </w:pPr>
            <w:r>
              <w:rPr>
                <w:rFonts w:ascii="Arial Black" w:hAnsi="Arial Black" w:cs="Arial Black" w:eastAsia="Arial Black"/>
                <w:b/>
                <w:color w:val="44546A"/>
                <w:spacing w:val="0"/>
                <w:position w:val="0"/>
                <w:sz w:val="22"/>
                <w:shd w:fill="auto" w:val="clear"/>
              </w:rPr>
              <w:t xml:space="preserve">Standard </w:t>
            </w:r>
          </w:p>
          <w:p>
            <w:pPr>
              <w:spacing w:before="0" w:after="0" w:line="240"/>
              <w:ind w:right="0" w:left="0" w:firstLine="0"/>
              <w:jc w:val="center"/>
              <w:rPr>
                <w:rFonts w:ascii="Arial Black" w:hAnsi="Arial Black" w:cs="Arial Black" w:eastAsia="Arial Black"/>
                <w:b/>
                <w:color w:val="FF0000"/>
                <w:spacing w:val="0"/>
                <w:position w:val="0"/>
                <w:sz w:val="22"/>
                <w:shd w:fill="auto" w:val="clear"/>
              </w:rPr>
            </w:pPr>
            <w:r>
              <w:rPr>
                <w:rFonts w:ascii="Arial Black" w:hAnsi="Arial Black" w:cs="Arial Black" w:eastAsia="Arial Black"/>
                <w:b/>
                <w:color w:val="FF0000"/>
                <w:spacing w:val="0"/>
                <w:position w:val="0"/>
                <w:sz w:val="20"/>
                <w:shd w:fill="auto" w:val="clear"/>
              </w:rPr>
              <w:t xml:space="preserve">Membershi</w:t>
            </w:r>
            <w:r>
              <w:rPr>
                <w:rFonts w:ascii="Arial Black" w:hAnsi="Arial Black" w:cs="Arial Black" w:eastAsia="Arial Black"/>
                <w:b/>
                <w:color w:val="FF0000"/>
                <w:spacing w:val="0"/>
                <w:position w:val="0"/>
                <w:sz w:val="22"/>
                <w:shd w:fill="auto" w:val="clear"/>
              </w:rPr>
              <w:t xml:space="preserve">p </w:t>
            </w:r>
          </w:p>
          <w:p>
            <w:pPr>
              <w:spacing w:before="0" w:after="0" w:line="240"/>
              <w:ind w:right="0" w:left="0" w:firstLine="0"/>
              <w:jc w:val="center"/>
              <w:rPr>
                <w:rFonts w:ascii="Arial Black" w:hAnsi="Arial Black" w:cs="Arial Black" w:eastAsia="Arial Black"/>
                <w:b/>
                <w:color w:val="FF0000"/>
                <w:spacing w:val="0"/>
                <w:position w:val="0"/>
                <w:sz w:val="22"/>
                <w:shd w:fill="auto" w:val="clear"/>
              </w:rPr>
            </w:pPr>
            <w:r>
              <w:rPr>
                <w:rFonts w:ascii="Arial Black" w:hAnsi="Arial Black" w:cs="Arial Black" w:eastAsia="Arial Black"/>
                <w:b/>
                <w:color w:val="FF0000"/>
                <w:spacing w:val="0"/>
                <w:position w:val="0"/>
                <w:sz w:val="22"/>
                <w:shd w:fill="auto" w:val="clear"/>
              </w:rPr>
              <w:t xml:space="preserve">Plan</w:t>
            </w:r>
          </w:p>
          <w:p>
            <w:pPr>
              <w:spacing w:before="0" w:after="0" w:line="240"/>
              <w:ind w:right="0" w:left="0" w:firstLine="0"/>
              <w:jc w:val="center"/>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N62,487.50</w:t>
            </w:r>
          </w:p>
          <w:p>
            <w:pPr>
              <w:spacing w:before="0" w:after="0" w:line="240"/>
              <w:ind w:right="0" w:left="0" w:firstLine="0"/>
              <w:jc w:val="center"/>
              <w:rPr>
                <w:spacing w:val="0"/>
                <w:position w:val="0"/>
                <w:shd w:fill="auto" w:val="clear"/>
              </w:rPr>
            </w:pPr>
            <w:r>
              <w:rPr>
                <w:rFonts w:ascii="Arial Black" w:hAnsi="Arial Black" w:cs="Arial Black" w:eastAsia="Arial Black"/>
                <w:b/>
                <w:color w:val="auto"/>
                <w:spacing w:val="0"/>
                <w:position w:val="0"/>
                <w:sz w:val="22"/>
                <w:shd w:fill="auto" w:val="clear"/>
              </w:rPr>
              <w:t xml:space="preserve">per month</w:t>
            </w: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9"/>
                <w:shd w:fill="auto" w:val="clear"/>
              </w:rPr>
              <w:t xml:space="preserve">Access to </w:t>
            </w:r>
            <w:r>
              <w:rPr>
                <w:rFonts w:ascii="Times New Roman" w:hAnsi="Times New Roman" w:cs="Times New Roman" w:eastAsia="Times New Roman"/>
                <w:b/>
                <w:color w:val="auto"/>
                <w:spacing w:val="0"/>
                <w:position w:val="0"/>
                <w:sz w:val="29"/>
                <w:shd w:fill="auto" w:val="clear"/>
              </w:rPr>
              <w:t xml:space="preserve">Nova School Marketing Platform.</w:t>
            </w:r>
            <w:r>
              <w:rPr>
                <w:rFonts w:ascii="Times New Roman" w:hAnsi="Times New Roman" w:cs="Times New Roman" w:eastAsia="Times New Roman"/>
                <w:color w:val="auto"/>
                <w:spacing w:val="0"/>
                <w:position w:val="0"/>
                <w:sz w:val="29"/>
                <w:shd w:fill="auto" w:val="clear"/>
              </w:rPr>
              <w:t xml:space="preserve"> This is a powerful school marketing system designed to help you improve visibility, increase brand awareness, generate prospects and boost enrollment. It is also the only school marketing system in Nigeria that enables you to simultaneously unleash the power of referral marketing, digital marketing, bait marketing, and proof it marketing system as strategic weapons to enlist the entire community as your marketing and enrollment increase driving force. The platform provide opportunity to generate maximum prospects and build Artificial Intelligent powered 360-degree online video tour of your school.</w:t>
            </w:r>
          </w:p>
        </w:tc>
        <w:tc>
          <w:tcPr>
            <w:tcW w:w="2677"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-Profile Listing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-Searchable</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-Market place</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-Bait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-Referral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-Digital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-Proof it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-Prospect Generating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-Enrollment Increase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    -School Online Video Tour</w:t>
            </w:r>
          </w:p>
        </w:tc>
        <w:tc>
          <w:tcPr>
            <w:tcW w:w="24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Calibri" w:hAnsi="Calibri" w:cs="Calibri" w:eastAsia="Calibri"/>
                <w:b/>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  -Profile Listing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-Searchable</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-Market place</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-Bait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-Referral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-Digital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-Proof it Marketing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-Website Optimization </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-Ranking Factor         Improvement</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-Google My Profile Leads Score Improvement</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-Review Rating Improvement</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-Website Accessibility and Performance Improvement</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-Prospect Generating</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-Enrollment Increase</w:t>
            </w: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-School Online Video Tour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YouTube Marketing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-Ability to Integrate Payment Gateway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77"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4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9"/>
                <w:shd w:fill="auto" w:val="clear"/>
              </w:rPr>
              <w:t xml:space="preserve">FREE</w:t>
            </w:r>
            <w:r>
              <w:rPr>
                <w:rFonts w:ascii="Times New Roman" w:hAnsi="Times New Roman" w:cs="Times New Roman" w:eastAsia="Times New Roman"/>
                <w:color w:val="auto"/>
                <w:spacing w:val="0"/>
                <w:position w:val="0"/>
                <w:sz w:val="29"/>
                <w:shd w:fill="auto" w:val="clear"/>
              </w:rPr>
              <w:t xml:space="preserve"> Installation of </w:t>
            </w:r>
            <w:r>
              <w:rPr>
                <w:rFonts w:ascii="Times New Roman" w:hAnsi="Times New Roman" w:cs="Times New Roman" w:eastAsia="Times New Roman"/>
                <w:b/>
                <w:color w:val="auto"/>
                <w:spacing w:val="0"/>
                <w:position w:val="0"/>
                <w:sz w:val="29"/>
                <w:shd w:fill="auto" w:val="clear"/>
              </w:rPr>
              <w:t xml:space="preserve">E-Library</w:t>
            </w:r>
            <w:r>
              <w:rPr>
                <w:rFonts w:ascii="Times New Roman" w:hAnsi="Times New Roman" w:cs="Times New Roman" w:eastAsia="Times New Roman"/>
                <w:color w:val="auto"/>
                <w:spacing w:val="0"/>
                <w:position w:val="0"/>
                <w:sz w:val="29"/>
                <w:shd w:fill="auto" w:val="clear"/>
              </w:rPr>
              <w:t xml:space="preserve"> that contains about 450 reading books for ages 3-17 learners on your school computers and full customization to your school (ability to make it your own, add your logo, your name, your colour and even to add your own books and e-notes.</w:t>
            </w:r>
          </w:p>
        </w:tc>
        <w:tc>
          <w:tcPr>
            <w:tcW w:w="2677"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c>
          <w:tcPr>
            <w:tcW w:w="24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9"/>
                <w:shd w:fill="auto" w:val="clear"/>
              </w:rPr>
              <w:t xml:space="preserve">FREE</w:t>
            </w:r>
            <w:r>
              <w:rPr>
                <w:rFonts w:ascii="Times New Roman" w:hAnsi="Times New Roman" w:cs="Times New Roman" w:eastAsia="Times New Roman"/>
                <w:color w:val="auto"/>
                <w:spacing w:val="0"/>
                <w:position w:val="0"/>
                <w:sz w:val="29"/>
                <w:shd w:fill="auto" w:val="clear"/>
              </w:rPr>
              <w:t xml:space="preserve"> Access to join and signed-up your learners into the </w:t>
            </w:r>
            <w:r>
              <w:rPr>
                <w:rFonts w:ascii="Times New Roman" w:hAnsi="Times New Roman" w:cs="Times New Roman" w:eastAsia="Times New Roman"/>
                <w:b/>
                <w:color w:val="auto"/>
                <w:spacing w:val="0"/>
                <w:position w:val="0"/>
                <w:sz w:val="29"/>
                <w:shd w:fill="auto" w:val="clear"/>
              </w:rPr>
              <w:t xml:space="preserve">‘I Can Read’</w:t>
            </w:r>
            <w:r>
              <w:rPr>
                <w:rFonts w:ascii="Times New Roman" w:hAnsi="Times New Roman" w:cs="Times New Roman" w:eastAsia="Times New Roman"/>
                <w:color w:val="auto"/>
                <w:spacing w:val="0"/>
                <w:position w:val="0"/>
                <w:sz w:val="29"/>
                <w:shd w:fill="auto" w:val="clear"/>
              </w:rPr>
              <w:t xml:space="preserve"> systematic regular Reading Program. Each child signed up will have access to read 10 books each school term, have access to the platform both within the school and at home, be able to participate in the 20-minutes-a-day reading initiative, engage with up to 1.8 million words annually and participate in the reading competitions. </w:t>
            </w:r>
          </w:p>
        </w:tc>
        <w:tc>
          <w:tcPr>
            <w:tcW w:w="2677"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(Up to a maximum of 150 users)</w:t>
            </w:r>
          </w:p>
        </w:tc>
        <w:tc>
          <w:tcPr>
            <w:tcW w:w="24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(Up to a maximum of 150 users)</w:t>
            </w: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9"/>
                <w:shd w:fill="auto" w:val="clear"/>
              </w:rPr>
              <w:t xml:space="preserve">FREE</w:t>
            </w:r>
            <w:r>
              <w:rPr>
                <w:rFonts w:ascii="Times New Roman" w:hAnsi="Times New Roman" w:cs="Times New Roman" w:eastAsia="Times New Roman"/>
                <w:color w:val="auto"/>
                <w:spacing w:val="0"/>
                <w:position w:val="0"/>
                <w:sz w:val="29"/>
                <w:shd w:fill="auto" w:val="clear"/>
              </w:rPr>
              <w:t xml:space="preserve"> Access to </w:t>
            </w:r>
            <w:r>
              <w:rPr>
                <w:rFonts w:ascii="Times New Roman" w:hAnsi="Times New Roman" w:cs="Times New Roman" w:eastAsia="Times New Roman"/>
                <w:b/>
                <w:color w:val="auto"/>
                <w:spacing w:val="0"/>
                <w:position w:val="0"/>
                <w:sz w:val="29"/>
                <w:shd w:fill="auto" w:val="clear"/>
              </w:rPr>
              <w:t xml:space="preserve">One-on-One VIP Strategy Session</w:t>
            </w:r>
            <w:r>
              <w:rPr>
                <w:rFonts w:ascii="Times New Roman" w:hAnsi="Times New Roman" w:cs="Times New Roman" w:eastAsia="Times New Roman"/>
                <w:color w:val="auto"/>
                <w:spacing w:val="0"/>
                <w:position w:val="0"/>
                <w:sz w:val="29"/>
                <w:shd w:fill="auto" w:val="clear"/>
              </w:rPr>
              <w:t xml:space="preserve">- (With this service, you can schedule a date &amp; time for strategic business advisory session with any of our Leading Consultants over Zoom, telephone or book an appointment to come to our office to see our Lead Consultant).</w:t>
            </w:r>
          </w:p>
        </w:tc>
        <w:tc>
          <w:tcPr>
            <w:tcW w:w="2677"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FF0000"/>
                <w:spacing w:val="0"/>
                <w:position w:val="0"/>
                <w:sz w:val="40"/>
                <w:shd w:fill="auto" w:val="clear"/>
              </w:rPr>
            </w:pPr>
          </w:p>
          <w:p>
            <w:pPr>
              <w:spacing w:before="0" w:after="0" w:line="240"/>
              <w:ind w:right="0" w:left="0" w:firstLine="0"/>
              <w:jc w:val="center"/>
              <w:rPr>
                <w:rFonts w:ascii="Calibri" w:hAnsi="Calibri" w:cs="Calibri" w:eastAsia="Calibri"/>
                <w:spacing w:val="0"/>
                <w:position w:val="0"/>
                <w:shd w:fill="auto" w:val="clear"/>
              </w:rPr>
            </w:pPr>
          </w:p>
        </w:tc>
        <w:tc>
          <w:tcPr>
            <w:tcW w:w="24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FF0000"/>
                <w:spacing w:val="0"/>
                <w:position w:val="0"/>
                <w:sz w:val="40"/>
                <w:shd w:fill="auto" w:val="clear"/>
              </w:rPr>
            </w:pPr>
          </w:p>
          <w:p>
            <w:pPr>
              <w:spacing w:before="0" w:after="0" w:line="240"/>
              <w:ind w:right="0" w:left="0" w:firstLine="0"/>
              <w:jc w:val="center"/>
              <w:rPr>
                <w:rFonts w:ascii="Calibri" w:hAnsi="Calibri" w:cs="Calibri" w:eastAsia="Calibri"/>
                <w:spacing w:val="0"/>
                <w:position w:val="0"/>
                <w:shd w:fill="auto" w:val="clear"/>
              </w:rPr>
            </w:pP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9"/>
                <w:shd w:fill="auto" w:val="clear"/>
              </w:rPr>
              <w:t xml:space="preserve">Access to </w:t>
            </w:r>
            <w:r>
              <w:rPr>
                <w:rFonts w:ascii="Times New Roman" w:hAnsi="Times New Roman" w:cs="Times New Roman" w:eastAsia="Times New Roman"/>
                <w:b/>
                <w:color w:val="auto"/>
                <w:spacing w:val="0"/>
                <w:position w:val="0"/>
                <w:sz w:val="29"/>
                <w:shd w:fill="auto" w:val="clear"/>
              </w:rPr>
              <w:t xml:space="preserve">Academic Performance Management &amp;</w:t>
            </w:r>
            <w:r>
              <w:rPr>
                <w:rFonts w:ascii="Times New Roman" w:hAnsi="Times New Roman" w:cs="Times New Roman" w:eastAsia="Times New Roman"/>
                <w:color w:val="auto"/>
                <w:spacing w:val="0"/>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Parent Loyalty Reward Platform</w:t>
            </w:r>
            <w:r>
              <w:rPr>
                <w:rFonts w:ascii="Times New Roman" w:hAnsi="Times New Roman" w:cs="Times New Roman" w:eastAsia="Times New Roman"/>
                <w:color w:val="auto"/>
                <w:spacing w:val="0"/>
                <w:position w:val="0"/>
                <w:sz w:val="29"/>
                <w:shd w:fill="auto" w:val="clear"/>
              </w:rPr>
              <w:t xml:space="preserve">. This is a powerful learning outcome improvement &amp; customer experience software designed to help you achieve excellence in academic, prompt payment of school fees, reduce debt, generate referrals from existing parents, increase enrollment and reduce the incidence of losing customers to competitors.</w:t>
            </w:r>
          </w:p>
        </w:tc>
        <w:tc>
          <w:tcPr>
            <w:tcW w:w="2677"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0000"/>
                <w:spacing w:val="0"/>
                <w:position w:val="0"/>
                <w:sz w:val="36"/>
                <w:shd w:fill="auto" w:val="clear"/>
              </w:rPr>
              <w:t xml:space="preserve">x</w:t>
            </w:r>
          </w:p>
        </w:tc>
        <w:tc>
          <w:tcPr>
            <w:tcW w:w="24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9"/>
                <w:shd w:fill="auto" w:val="clear"/>
              </w:rPr>
              <w:t xml:space="preserve">Access to the Annual School Growth Summit,</w:t>
            </w:r>
            <w:r>
              <w:rPr>
                <w:rFonts w:ascii="Calibri" w:hAnsi="Calibri" w:cs="Calibri" w:eastAsia="Calibri"/>
                <w:color w:val="auto"/>
                <w:spacing w:val="0"/>
                <w:position w:val="0"/>
                <w:sz w:val="29"/>
                <w:shd w:fill="auto" w:val="clear"/>
              </w:rPr>
              <w:t xml:space="preserve"> </w:t>
            </w:r>
            <w:r>
              <w:rPr>
                <w:rFonts w:ascii="Times New Roman" w:hAnsi="Times New Roman" w:cs="Times New Roman" w:eastAsia="Times New Roman"/>
                <w:color w:val="auto"/>
                <w:spacing w:val="0"/>
                <w:position w:val="0"/>
                <w:sz w:val="29"/>
                <w:shd w:fill="auto" w:val="clear"/>
              </w:rPr>
              <w:t xml:space="preserve">Leadership, Management &amp; Staff Capability Development Training seats at a Discount. (The summit is a gathering of school owners of divers’ experiences &amp; uses extremely successful school owners and industry experts as facilitators and discussants).</w:t>
            </w:r>
          </w:p>
        </w:tc>
        <w:tc>
          <w:tcPr>
            <w:tcW w:w="2677"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FF0000"/>
                <w:spacing w:val="0"/>
                <w:position w:val="0"/>
                <w:sz w:val="24"/>
                <w:shd w:fill="auto" w:val="clear"/>
              </w:rPr>
            </w:pP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auto"/>
                <w:spacing w:val="0"/>
                <w:position w:val="0"/>
                <w:sz w:val="24"/>
                <w:shd w:fill="auto" w:val="clear"/>
              </w:rPr>
              <w:t xml:space="preserve">Enjoy up to 25% discount on all our training</w:t>
            </w:r>
          </w:p>
        </w:tc>
        <w:tc>
          <w:tcPr>
            <w:tcW w:w="241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FF0000"/>
                <w:spacing w:val="0"/>
                <w:position w:val="0"/>
                <w:sz w:val="24"/>
                <w:shd w:fill="auto" w:val="clear"/>
              </w:rPr>
            </w:pP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auto"/>
                <w:spacing w:val="0"/>
                <w:position w:val="0"/>
                <w:sz w:val="24"/>
                <w:shd w:fill="auto" w:val="clear"/>
              </w:rPr>
              <w:t xml:space="preserve">Enjoy up to 45% discount on all our training</w:t>
            </w:r>
          </w:p>
        </w:tc>
      </w:tr>
      <w:tr>
        <w:trPr>
          <w:trHeight w:val="1" w:hRule="atLeast"/>
          <w:jc w:val="left"/>
        </w:trPr>
        <w:tc>
          <w:tcPr>
            <w:tcW w:w="5246" w:type="dxa"/>
            <w:tcBorders>
              <w:top w:val="single" w:color="000000" w:sz="12"/>
              <w:left w:val="single" w:color="000000" w:sz="12"/>
              <w:bottom w:val="single" w:color="000000" w:sz="12"/>
              <w:right w:val="single" w:color="000000" w:sz="12"/>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b/>
                <w:color w:val="FF0000"/>
                <w:spacing w:val="0"/>
                <w:position w:val="0"/>
                <w:sz w:val="36"/>
                <w:shd w:fill="auto" w:val="clear"/>
              </w:rPr>
            </w:pPr>
          </w:p>
          <w:p>
            <w:pPr>
              <w:spacing w:before="0" w:after="0" w:line="240"/>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Membership Price Per Term</w:t>
            </w:r>
          </w:p>
          <w:p>
            <w:pPr>
              <w:spacing w:before="0" w:after="0" w:line="240"/>
              <w:ind w:right="0" w:left="0" w:firstLine="0"/>
              <w:jc w:val="left"/>
              <w:rPr>
                <w:rFonts w:ascii="Calibri" w:hAnsi="Calibri" w:cs="Calibri" w:eastAsia="Calibri"/>
                <w:spacing w:val="0"/>
                <w:position w:val="0"/>
                <w:shd w:fill="auto" w:val="clear"/>
              </w:rPr>
            </w:pPr>
          </w:p>
        </w:tc>
        <w:tc>
          <w:tcPr>
            <w:tcW w:w="2677" w:type="dxa"/>
            <w:tcBorders>
              <w:top w:val="single" w:color="000000" w:sz="12"/>
              <w:left w:val="single" w:color="000000" w:sz="12"/>
              <w:bottom w:val="single" w:color="000000" w:sz="12"/>
              <w:right w:val="single" w:color="000000" w:sz="12"/>
            </w:tcBorders>
            <w:shd w:color="auto" w:fill="ededed" w:val="clear"/>
            <w:tcMar>
              <w:left w:w="108" w:type="dxa"/>
              <w:right w:w="108" w:type="dxa"/>
            </w:tcMar>
            <w:vAlign w:val="top"/>
          </w:tcPr>
          <w:p>
            <w:pPr>
              <w:spacing w:before="0" w:after="0" w:line="240"/>
              <w:ind w:right="0" w:left="0" w:firstLine="0"/>
              <w:jc w:val="center"/>
              <w:rPr>
                <w:rFonts w:ascii="Calibri" w:hAnsi="Calibri" w:cs="Calibri" w:eastAsia="Calibri"/>
                <w:b/>
                <w:color w:val="44546A"/>
                <w:spacing w:val="0"/>
                <w:position w:val="0"/>
                <w:sz w:val="32"/>
                <w:shd w:fill="auto" w:val="clear"/>
              </w:rPr>
            </w:pPr>
            <w:r>
              <w:rPr>
                <w:rFonts w:ascii="Calibri" w:hAnsi="Calibri" w:cs="Calibri" w:eastAsia="Calibri"/>
                <w:b/>
                <w:color w:val="44546A"/>
                <w:spacing w:val="0"/>
                <w:position w:val="0"/>
                <w:sz w:val="32"/>
                <w:shd w:fill="auto" w:val="clear"/>
              </w:rPr>
              <w:t xml:space="preserve">Billed at </w:t>
            </w:r>
          </w:p>
          <w:p>
            <w:pPr>
              <w:spacing w:before="0" w:after="0" w:line="240"/>
              <w:ind w:right="0" w:left="0" w:firstLine="0"/>
              <w:jc w:val="center"/>
              <w:rPr>
                <w:rFonts w:ascii="Calibri" w:hAnsi="Calibri" w:cs="Calibri" w:eastAsia="Calibri"/>
                <w:b/>
                <w:color w:val="C00000"/>
                <w:spacing w:val="0"/>
                <w:position w:val="0"/>
                <w:sz w:val="32"/>
                <w:shd w:fill="auto" w:val="clear"/>
              </w:rPr>
            </w:pPr>
            <w:r>
              <w:rPr>
                <w:rFonts w:ascii="Calibri" w:hAnsi="Calibri" w:cs="Calibri" w:eastAsia="Calibri"/>
                <w:b/>
                <w:color w:val="C00000"/>
                <w:spacing w:val="0"/>
                <w:position w:val="0"/>
                <w:sz w:val="32"/>
                <w:shd w:fill="auto" w:val="clear"/>
              </w:rPr>
              <w:t xml:space="preserve">N149,950 </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44546A"/>
                <w:spacing w:val="0"/>
                <w:position w:val="0"/>
                <w:sz w:val="32"/>
                <w:shd w:fill="auto" w:val="clear"/>
              </w:rPr>
              <w:t xml:space="preserve">Termly</w:t>
            </w:r>
          </w:p>
        </w:tc>
        <w:tc>
          <w:tcPr>
            <w:tcW w:w="2410" w:type="dxa"/>
            <w:tcBorders>
              <w:top w:val="single" w:color="000000" w:sz="12"/>
              <w:left w:val="single" w:color="000000" w:sz="12"/>
              <w:bottom w:val="single" w:color="000000" w:sz="12"/>
              <w:right w:val="single" w:color="000000" w:sz="12"/>
            </w:tcBorders>
            <w:shd w:color="auto" w:fill="edede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44546A"/>
                <w:spacing w:val="0"/>
                <w:position w:val="0"/>
                <w:sz w:val="32"/>
                <w:shd w:fill="auto" w:val="clear"/>
              </w:rPr>
              <w:t xml:space="preserve">Billed at </w:t>
            </w:r>
            <w:r>
              <w:rPr>
                <w:rFonts w:ascii="Calibri" w:hAnsi="Calibri" w:cs="Calibri" w:eastAsia="Calibri"/>
                <w:b/>
                <w:color w:val="C00000"/>
                <w:spacing w:val="0"/>
                <w:position w:val="0"/>
                <w:sz w:val="32"/>
                <w:shd w:fill="auto" w:val="clear"/>
              </w:rPr>
              <w:t xml:space="preserve">N249,950 </w:t>
            </w:r>
            <w:r>
              <w:rPr>
                <w:rFonts w:ascii="Calibri" w:hAnsi="Calibri" w:cs="Calibri" w:eastAsia="Calibri"/>
                <w:b/>
                <w:color w:val="44546A"/>
                <w:spacing w:val="0"/>
                <w:position w:val="0"/>
                <w:sz w:val="32"/>
                <w:shd w:fill="auto" w:val="clear"/>
              </w:rPr>
              <w:t xml:space="preserve">Termly</w:t>
            </w:r>
          </w:p>
        </w:tc>
      </w:tr>
    </w:tbl>
    <w:p>
      <w:pPr>
        <w:tabs>
          <w:tab w:val="left" w:pos="5280"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