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rPr>
          <w:rFonts w:ascii="MS 明朝" w:hAnsi="MS 明朝" w:eastAsia="MS 明朝"/>
          <w:b/>
          <w:sz w:val="32"/>
        </w:rPr>
        <w:t>覚　書</w:t>
      </w:r>
    </w:p>
    <w:p>
      <w:pPr>
        <w:spacing w:before="0" w:after="240"/>
        <w:jc w:val="both"/>
      </w:pPr>
      <w:r>
        <w:rPr>
          <w:rFonts w:ascii="MS 明朝" w:hAnsi="MS 明朝" w:eastAsia="MS 明朝"/>
          <w:sz w:val="21"/>
        </w:rPr>
        <w:t xml:space="preserve">　株式会社エール（以下「甲」という）と株式会社TOKUMORI（以下「乙」という）とは、2025年10月9日付にて締結した「人材紹介（新卒）に関する基本契約書」（以下「基本契約」という）第7条第3項の規定に基づき、2027年度新卒採用に係る紹介手数料について、以下のとおり覚書（以下「本覚書」という）を締結する。</w:t>
      </w:r>
    </w:p>
    <w:p>
      <w:pPr>
        <w:spacing w:before="120" w:after="80"/>
        <w:jc w:val="left"/>
      </w:pPr>
      <w:r>
        <w:rPr>
          <w:rFonts w:ascii="MS 明朝" w:hAnsi="MS 明朝" w:eastAsia="MS 明朝"/>
          <w:b/>
          <w:sz w:val="21"/>
        </w:rPr>
        <w:t>第１条（目的）</w:t>
      </w:r>
    </w:p>
    <w:p>
      <w:pPr>
        <w:spacing w:before="0" w:after="200"/>
        <w:jc w:val="both"/>
      </w:pPr>
      <w:r>
        <w:rPr>
          <w:rFonts w:ascii="MS 明朝" w:hAnsi="MS 明朝" w:eastAsia="MS 明朝"/>
          <w:b w:val="0"/>
          <w:sz w:val="21"/>
        </w:rPr>
        <w:t xml:space="preserve">　本覚書は、基本契約第7条に定める紹介手数料について、2027年度新卒採用の採用区分ごとに個別の手数料額および適用条件を定めることを目的とする。</w:t>
      </w:r>
    </w:p>
    <w:p>
      <w:pPr>
        <w:spacing w:before="120" w:after="80"/>
        <w:jc w:val="left"/>
      </w:pPr>
      <w:r>
        <w:rPr>
          <w:rFonts w:ascii="MS 明朝" w:hAnsi="MS 明朝" w:eastAsia="MS 明朝"/>
          <w:b/>
          <w:sz w:val="21"/>
        </w:rPr>
        <w:t>第２条（定義）</w:t>
      </w:r>
    </w:p>
    <w:p>
      <w:pPr>
        <w:spacing w:before="0" w:after="80"/>
        <w:jc w:val="left"/>
      </w:pPr>
      <w:r>
        <w:rPr>
          <w:rFonts w:ascii="MS 明朝" w:hAnsi="MS 明朝" w:eastAsia="MS 明朝"/>
          <w:b w:val="0"/>
          <w:sz w:val="21"/>
        </w:rPr>
        <w:t xml:space="preserve">　本覚書において使用する用語の定義は以下のとおりとする。</w:t>
      </w:r>
    </w:p>
    <w:p>
      <w:pPr>
        <w:spacing w:after="60"/>
        <w:ind w:left="425" w:hanging="425"/>
        <w:jc w:val="both"/>
      </w:pPr>
      <w:r>
        <w:rPr>
          <w:rFonts w:ascii="MS 明朝" w:hAnsi="MS 明朝" w:eastAsia="MS 明朝"/>
          <w:sz w:val="21"/>
        </w:rPr>
        <w:t>①　「関東新卒採用」とは、採用後の配属・勤務地が関東地方（東京都・神奈川県・埼玉県・千葉県・茨城県・栃木県・群馬県）のいずれかの拠点となる2027年度新卒採用をいう。</w:t>
      </w:r>
    </w:p>
    <w:p>
      <w:pPr>
        <w:spacing w:after="60"/>
        <w:ind w:left="425" w:hanging="425"/>
        <w:jc w:val="both"/>
      </w:pPr>
      <w:r>
        <w:rPr>
          <w:rFonts w:ascii="MS 明朝" w:hAnsi="MS 明朝" w:eastAsia="MS 明朝"/>
          <w:sz w:val="21"/>
        </w:rPr>
        <w:t>②　「関西新卒採用」とは、採用後の配属・勤務地が関西地方（大阪府・兵庫県・京都府・奈良県・滋賀県・和歌山県）のいずれかの拠点となる2027年度新卒採用をいう。</w:t>
      </w:r>
    </w:p>
    <w:p>
      <w:pPr>
        <w:spacing w:after="60"/>
        <w:ind w:left="425" w:hanging="425"/>
        <w:jc w:val="both"/>
      </w:pPr>
      <w:r>
        <w:rPr>
          <w:rFonts w:ascii="MS 明朝" w:hAnsi="MS 明朝" w:eastAsia="MS 明朝"/>
          <w:sz w:val="21"/>
        </w:rPr>
        <w:t>③　「内定承諾」とは、基本契約第6条に定める「採用決定者が内定を承諾または業務委託契約締結に同意した段階」をいう。</w:t>
      </w:r>
    </w:p>
    <w:p>
      <w:pPr>
        <w:spacing w:after="120"/>
      </w:pPr>
    </w:p>
    <w:p>
      <w:pPr>
        <w:spacing w:before="120" w:after="80"/>
        <w:jc w:val="left"/>
      </w:pPr>
      <w:r>
        <w:rPr>
          <w:rFonts w:ascii="MS 明朝" w:hAnsi="MS 明朝" w:eastAsia="MS 明朝"/>
          <w:b/>
          <w:sz w:val="21"/>
        </w:rPr>
        <w:t>第３条（紹介手数料および適用条件）</w:t>
      </w:r>
    </w:p>
    <w:p>
      <w:pPr>
        <w:spacing w:before="0" w:after="160"/>
        <w:jc w:val="both"/>
      </w:pPr>
      <w:r>
        <w:rPr>
          <w:rFonts w:ascii="MS 明朝" w:hAnsi="MS 明朝" w:eastAsia="MS 明朝"/>
          <w:b w:val="0"/>
          <w:sz w:val="21"/>
        </w:rPr>
        <w:t xml:space="preserve">　甲は、乙の人材紹介を通じて採用が決定した場合、採用区分に応じて以下の紹介手数料を乙に対して支払うものとする。なお、消費税は別途加算するものとする。</w:t>
      </w:r>
    </w:p>
    <w:tbl>
      <w:tblPr>
        <w:tblStyle w:val="TableGrid"/>
        <w:tblW w:type="auto" w:w="0"/>
        <w:tblLook w:firstColumn="1" w:firstRow="1" w:lastColumn="0" w:lastRow="0" w:noHBand="0" w:noVBand="1" w:val="04A0"/>
      </w:tblPr>
      <w:tblGrid>
        <w:gridCol w:w="3041"/>
        <w:gridCol w:w="3041"/>
        <w:gridCol w:w="3041"/>
      </w:tblGrid>
      <w:tr>
        <w:tc>
          <w:tcPr>
            <w:tcW w:type="dxa" w:w="2154"/>
            <w:shd w:val="clear" w:color="auto" w:fill="C0C0C0"/>
          </w:tcPr>
          <w:p>
            <w:pPr>
              <w:spacing w:before="60" w:after="60"/>
              <w:jc w:val="center"/>
            </w:pPr>
            <w:r>
              <w:rPr>
                <w:rFonts w:ascii="MS 明朝" w:hAnsi="MS 明朝" w:eastAsia="MS 明朝"/>
                <w:b/>
                <w:sz w:val="19"/>
              </w:rPr>
              <w:t>採用区分</w:t>
            </w:r>
          </w:p>
        </w:tc>
        <w:tc>
          <w:tcPr>
            <w:tcW w:type="dxa" w:w="1984"/>
            <w:shd w:val="clear" w:color="auto" w:fill="C0C0C0"/>
          </w:tcPr>
          <w:p>
            <w:pPr>
              <w:spacing w:before="60" w:after="60"/>
              <w:jc w:val="center"/>
            </w:pPr>
            <w:r>
              <w:rPr>
                <w:rFonts w:ascii="MS 明朝" w:hAnsi="MS 明朝" w:eastAsia="MS 明朝"/>
                <w:b/>
                <w:sz w:val="19"/>
              </w:rPr>
              <w:t>紹介手数料（税別）</w:t>
            </w:r>
          </w:p>
        </w:tc>
        <w:tc>
          <w:tcPr>
            <w:tcW w:type="dxa" w:w="3515"/>
            <w:shd w:val="clear" w:color="auto" w:fill="C0C0C0"/>
          </w:tcPr>
          <w:p>
            <w:pPr>
              <w:spacing w:before="60" w:after="60"/>
              <w:jc w:val="center"/>
            </w:pPr>
            <w:r>
              <w:rPr>
                <w:rFonts w:ascii="MS 明朝" w:hAnsi="MS 明朝" w:eastAsia="MS 明朝"/>
                <w:b/>
                <w:sz w:val="19"/>
              </w:rPr>
              <w:t>適用条件</w:t>
            </w:r>
          </w:p>
        </w:tc>
      </w:tr>
      <w:tr>
        <w:tc>
          <w:tcPr>
            <w:tcW w:type="dxa" w:w="2154"/>
          </w:tcPr>
          <w:p>
            <w:pPr>
              <w:spacing w:before="60" w:after="60"/>
              <w:jc w:val="center"/>
            </w:pPr>
            <w:r>
              <w:rPr>
                <w:rFonts w:ascii="MS 明朝" w:hAnsi="MS 明朝" w:eastAsia="MS 明朝"/>
                <w:sz w:val="19"/>
              </w:rPr>
              <w:t>2027年度</w:t>
              <w:br/>
              <w:t>関東新卒採用</w:t>
            </w:r>
          </w:p>
        </w:tc>
        <w:tc>
          <w:tcPr>
            <w:tcW w:type="dxa" w:w="1984"/>
          </w:tcPr>
          <w:p>
            <w:pPr>
              <w:spacing w:before="60" w:after="60"/>
              <w:jc w:val="center"/>
            </w:pPr>
            <w:r>
              <w:rPr>
                <w:rFonts w:ascii="MS 明朝" w:hAnsi="MS 明朝" w:eastAsia="MS 明朝"/>
                <w:sz w:val="19"/>
              </w:rPr>
              <w:t>金 120万円/人</w:t>
            </w:r>
          </w:p>
        </w:tc>
        <w:tc>
          <w:tcPr>
            <w:tcW w:type="dxa" w:w="3515"/>
          </w:tcPr>
          <w:p>
            <w:pPr>
              <w:spacing w:before="60" w:after="60"/>
              <w:jc w:val="left"/>
            </w:pPr>
            <w:r>
              <w:rPr>
                <w:rFonts w:ascii="MS 明朝" w:hAnsi="MS 明朝" w:eastAsia="MS 明朝"/>
                <w:sz w:val="19"/>
              </w:rPr>
              <w:t>・乙による紹介日が2026年4月1日以降であること</w:t>
              <w:br/>
              <w:t>・応募者の内定承諾日が2026年9月30日までであること</w:t>
              <w:br/>
              <w:t>・2027年3月卒業見込みで2027年4月1日入社予定の者</w:t>
            </w:r>
          </w:p>
        </w:tc>
      </w:tr>
      <w:tr>
        <w:tc>
          <w:tcPr>
            <w:tcW w:type="dxa" w:w="2154"/>
          </w:tcPr>
          <w:p>
            <w:pPr>
              <w:spacing w:before="60" w:after="60"/>
              <w:jc w:val="center"/>
            </w:pPr>
            <w:r>
              <w:rPr>
                <w:rFonts w:ascii="MS 明朝" w:hAnsi="MS 明朝" w:eastAsia="MS 明朝"/>
                <w:sz w:val="19"/>
              </w:rPr>
              <w:t>2027年度</w:t>
              <w:br/>
              <w:t>関西新卒採用</w:t>
            </w:r>
          </w:p>
        </w:tc>
        <w:tc>
          <w:tcPr>
            <w:tcW w:type="dxa" w:w="1984"/>
          </w:tcPr>
          <w:p>
            <w:pPr>
              <w:spacing w:before="60" w:after="60"/>
              <w:jc w:val="center"/>
            </w:pPr>
            <w:r>
              <w:rPr>
                <w:rFonts w:ascii="MS 明朝" w:hAnsi="MS 明朝" w:eastAsia="MS 明朝"/>
                <w:sz w:val="19"/>
              </w:rPr>
              <w:t>金 100万円/人</w:t>
            </w:r>
          </w:p>
        </w:tc>
        <w:tc>
          <w:tcPr>
            <w:tcW w:type="dxa" w:w="3515"/>
          </w:tcPr>
          <w:p>
            <w:pPr>
              <w:spacing w:before="60" w:after="60"/>
              <w:jc w:val="left"/>
            </w:pPr>
            <w:r>
              <w:rPr>
                <w:rFonts w:ascii="MS 明朝" w:hAnsi="MS 明朝" w:eastAsia="MS 明朝"/>
                <w:sz w:val="19"/>
              </w:rPr>
              <w:t>・2027年3月卒業見込みで2027年4月1日入社予定の者</w:t>
              <w:br/>
              <w:t>・乙による紹介日および内定承諾日については、別途甲乙協議のうえ定める</w:t>
            </w:r>
          </w:p>
        </w:tc>
      </w:tr>
      <w:tr>
        <w:tc>
          <w:tcPr>
            <w:tcW w:type="dxa" w:w="7653"/>
            <w:gridSpan w:val="3"/>
            <w:shd w:val="clear" w:color="auto" w:fill="F5F5F5"/>
          </w:tcPr>
          <w:p>
            <w:pPr>
              <w:spacing w:before="40" w:after="40"/>
              <w:jc w:val="left"/>
            </w:pPr>
            <w:r>
              <w:rPr>
                <w:rFonts w:ascii="MS 明朝" w:hAnsi="MS 明朝" w:eastAsia="MS 明朝"/>
                <w:i/>
                <w:sz w:val="18"/>
              </w:rPr>
              <w:t>※ 上記に定めのない採用区分・採用決定者については、基本契約第7条第1項（100万円/人）が適用される。</w:t>
            </w:r>
          </w:p>
        </w:tc>
      </w:tr>
    </w:tbl>
    <w:p>
      <w:pPr>
        <w:spacing w:after="80"/>
      </w:pPr>
    </w:p>
    <w:p>
      <w:pPr>
        <w:spacing w:before="200" w:after="80"/>
        <w:jc w:val="left"/>
      </w:pPr>
      <w:r>
        <w:rPr>
          <w:rFonts w:ascii="MS 明朝" w:hAnsi="MS 明朝" w:eastAsia="MS 明朝"/>
          <w:b/>
          <w:sz w:val="21"/>
        </w:rPr>
        <w:t>第４条（支払方法）</w:t>
      </w:r>
    </w:p>
    <w:p>
      <w:pPr>
        <w:spacing w:before="0" w:after="200"/>
        <w:jc w:val="both"/>
      </w:pPr>
      <w:r>
        <w:rPr>
          <w:rFonts w:ascii="MS 明朝" w:hAnsi="MS 明朝" w:eastAsia="MS 明朝"/>
          <w:b w:val="0"/>
          <w:sz w:val="21"/>
        </w:rPr>
        <w:t xml:space="preserve">　本覚書に定める紹介手数料の支払方法については、基本契約第8条の規定を準用する。</w:t>
      </w:r>
    </w:p>
    <w:p>
      <w:pPr>
        <w:spacing w:before="120" w:after="80"/>
        <w:jc w:val="left"/>
      </w:pPr>
      <w:r>
        <w:rPr>
          <w:rFonts w:ascii="MS 明朝" w:hAnsi="MS 明朝" w:eastAsia="MS 明朝"/>
          <w:b/>
          <w:sz w:val="21"/>
        </w:rPr>
        <w:t>第５条（手数料の返還）</w:t>
      </w:r>
    </w:p>
    <w:p>
      <w:pPr>
        <w:spacing w:before="0" w:after="200"/>
        <w:jc w:val="both"/>
      </w:pPr>
      <w:r>
        <w:rPr>
          <w:rFonts w:ascii="MS 明朝" w:hAnsi="MS 明朝" w:eastAsia="MS 明朝"/>
          <w:b w:val="0"/>
          <w:sz w:val="21"/>
        </w:rPr>
        <w:t xml:space="preserve">　本覚書に定める紹介手数料の返還については、基本契約第9条の規定を準用する。</w:t>
      </w:r>
    </w:p>
    <w:p>
      <w:pPr>
        <w:spacing w:before="120" w:after="80"/>
        <w:jc w:val="left"/>
      </w:pPr>
      <w:r>
        <w:rPr>
          <w:rFonts w:ascii="MS 明朝" w:hAnsi="MS 明朝" w:eastAsia="MS 明朝"/>
          <w:b/>
          <w:sz w:val="21"/>
        </w:rPr>
        <w:t>第６条（内定報告義務）</w:t>
      </w:r>
    </w:p>
    <w:p>
      <w:pPr>
        <w:spacing w:before="0" w:after="200"/>
        <w:jc w:val="both"/>
      </w:pPr>
      <w:r>
        <w:rPr>
          <w:rFonts w:ascii="MS 明朝" w:hAnsi="MS 明朝" w:eastAsia="MS 明朝"/>
          <w:b w:val="0"/>
          <w:sz w:val="21"/>
        </w:rPr>
        <w:t xml:space="preserve">　甲は、本覚書の適用対象となる採用決定者が内定を承諾した場合、基本契約第10条に定める内定報告義務を負う。報告義務の懈怠があった場合の取扱いについても、同条の規定に準ずる。</w:t>
      </w:r>
    </w:p>
    <w:p>
      <w:pPr>
        <w:spacing w:before="120" w:after="80"/>
        <w:jc w:val="left"/>
      </w:pPr>
      <w:r>
        <w:rPr>
          <w:rFonts w:ascii="MS 明朝" w:hAnsi="MS 明朝" w:eastAsia="MS 明朝"/>
          <w:b/>
          <w:sz w:val="21"/>
        </w:rPr>
        <w:t>第７条（直接取引の禁止）</w:t>
      </w:r>
    </w:p>
    <w:p>
      <w:pPr>
        <w:spacing w:before="0" w:after="200"/>
        <w:jc w:val="both"/>
      </w:pPr>
      <w:r>
        <w:rPr>
          <w:rFonts w:ascii="MS 明朝" w:hAnsi="MS 明朝" w:eastAsia="MS 明朝"/>
          <w:b w:val="0"/>
          <w:sz w:val="21"/>
        </w:rPr>
        <w:t xml:space="preserve">　本覚書の適用対象となる応募者についても、基本契約第11条（直接取引の禁止）の規定が適用される。</w:t>
      </w:r>
    </w:p>
    <w:p>
      <w:pPr>
        <w:spacing w:before="120" w:after="80"/>
        <w:jc w:val="left"/>
      </w:pPr>
      <w:r>
        <w:rPr>
          <w:rFonts w:ascii="MS 明朝" w:hAnsi="MS 明朝" w:eastAsia="MS 明朝"/>
          <w:b/>
          <w:sz w:val="21"/>
        </w:rPr>
        <w:t>第８条（本覚書の優先）</w:t>
      </w:r>
    </w:p>
    <w:p>
      <w:pPr>
        <w:spacing w:before="0" w:after="200"/>
        <w:jc w:val="both"/>
      </w:pPr>
      <w:r>
        <w:rPr>
          <w:rFonts w:ascii="MS 明朝" w:hAnsi="MS 明朝" w:eastAsia="MS 明朝"/>
          <w:b w:val="0"/>
          <w:sz w:val="21"/>
        </w:rPr>
        <w:t xml:space="preserve">　本覚書と基本契約に内容の相違がある場合は、本覚書の定めを優先する。本覚書に定めのない事項については、基本契約の規定が適用される。</w:t>
      </w:r>
    </w:p>
    <w:p>
      <w:pPr>
        <w:spacing w:before="120" w:after="80"/>
        <w:jc w:val="left"/>
      </w:pPr>
      <w:r>
        <w:rPr>
          <w:rFonts w:ascii="MS 明朝" w:hAnsi="MS 明朝" w:eastAsia="MS 明朝"/>
          <w:b/>
          <w:sz w:val="21"/>
        </w:rPr>
        <w:t>第９条（有効期間）</w:t>
      </w:r>
    </w:p>
    <w:p>
      <w:pPr>
        <w:spacing w:before="0" w:after="200"/>
        <w:jc w:val="both"/>
      </w:pPr>
      <w:r>
        <w:rPr>
          <w:rFonts w:ascii="MS 明朝" w:hAnsi="MS 明朝" w:eastAsia="MS 明朝"/>
          <w:b w:val="0"/>
          <w:sz w:val="21"/>
        </w:rPr>
        <w:t xml:space="preserve">　本覚書の有効期間は、本覚書の締結日から、本覚書に定める全ての採用決定者に係る紹介手数料の支払いおよび精算が完了するまでの期間とする。</w:t>
      </w:r>
    </w:p>
    <w:p>
      <w:pPr>
        <w:spacing w:before="120" w:after="80"/>
        <w:jc w:val="left"/>
      </w:pPr>
      <w:r>
        <w:rPr>
          <w:rFonts w:ascii="MS 明朝" w:hAnsi="MS 明朝" w:eastAsia="MS 明朝"/>
          <w:b/>
          <w:sz w:val="21"/>
        </w:rPr>
        <w:t>第１０条（協議）</w:t>
      </w:r>
    </w:p>
    <w:p>
      <w:pPr>
        <w:spacing w:before="0" w:after="320"/>
        <w:jc w:val="both"/>
      </w:pPr>
      <w:r>
        <w:rPr>
          <w:rFonts w:ascii="MS 明朝" w:hAnsi="MS 明朝" w:eastAsia="MS 明朝"/>
          <w:b w:val="0"/>
          <w:sz w:val="21"/>
        </w:rPr>
        <w:t xml:space="preserve">　本覚書に定めのない事項または解釈に疑義が生じた場合は、基本契約第21条に従い、甲及び乙が誠実に協議のうえ解決するものとする。</w:t>
      </w:r>
    </w:p>
    <w:p>
      <w:pPr>
        <w:spacing w:before="0" w:after="400"/>
        <w:jc w:val="both"/>
      </w:pPr>
      <w:r>
        <w:rPr>
          <w:rFonts w:ascii="MS 明朝" w:hAnsi="MS 明朝" w:eastAsia="MS 明朝"/>
          <w:b w:val="0"/>
          <w:sz w:val="21"/>
        </w:rPr>
        <w:t xml:space="preserve">　本覚書の成立を証するため、本書の電磁的記録を作成し、甲及び乙が合意の後電子署名を施し、各自その電磁的記録を保管する。</w:t>
      </w:r>
    </w:p>
    <w:p>
      <w:pPr>
        <w:spacing w:after="320"/>
        <w:jc w:val="right"/>
      </w:pPr>
      <w:r>
        <w:rPr>
          <w:rFonts w:ascii="MS 明朝" w:hAnsi="MS 明朝" w:eastAsia="MS 明朝"/>
          <w:sz w:val="22"/>
        </w:rPr>
        <w:t xml:space="preserve">　　　　　　年　　月　　日</w:t>
      </w:r>
    </w:p>
    <w:p>
      <w:pPr>
        <w:spacing w:before="80" w:after="60"/>
        <w:jc w:val="left"/>
      </w:pPr>
      <w:r>
        <w:rPr>
          <w:rFonts w:ascii="MS 明朝" w:hAnsi="MS 明朝" w:eastAsia="MS 明朝"/>
          <w:b/>
          <w:sz w:val="22"/>
        </w:rPr>
        <w:t>甲</w:t>
      </w:r>
    </w:p>
    <w:p>
      <w:pPr>
        <w:spacing w:before="0" w:after="40"/>
        <w:jc w:val="left"/>
      </w:pPr>
      <w:r>
        <w:rPr>
          <w:rFonts w:ascii="MS 明朝" w:hAnsi="MS 明朝" w:eastAsia="MS 明朝"/>
          <w:b w:val="0"/>
          <w:sz w:val="22"/>
        </w:rPr>
        <w:t xml:space="preserve">　東京都港区芝5丁目26-16　Mita S-Garden 2階</w:t>
      </w:r>
    </w:p>
    <w:p>
      <w:pPr>
        <w:spacing w:before="0" w:after="40"/>
        <w:jc w:val="left"/>
      </w:pPr>
      <w:r>
        <w:rPr>
          <w:rFonts w:ascii="MS 明朝" w:hAnsi="MS 明朝" w:eastAsia="MS 明朝"/>
          <w:b w:val="0"/>
          <w:sz w:val="22"/>
        </w:rPr>
        <w:t xml:space="preserve">　株式会社エール</w:t>
      </w:r>
    </w:p>
    <w:p>
      <w:pPr>
        <w:spacing w:before="0" w:after="40"/>
        <w:jc w:val="left"/>
      </w:pPr>
      <w:r>
        <w:rPr>
          <w:rFonts w:ascii="MS 明朝" w:hAnsi="MS 明朝" w:eastAsia="MS 明朝"/>
          <w:b w:val="0"/>
          <w:sz w:val="22"/>
        </w:rPr>
        <w:t xml:space="preserve">　代表取締役　矢島　英一　　　　　　　㊞</w:t>
      </w:r>
    </w:p>
    <w:p>
      <w:pPr>
        <w:spacing w:after="200"/>
      </w:pPr>
    </w:p>
    <w:p>
      <w:pPr>
        <w:spacing w:before="80" w:after="60"/>
        <w:jc w:val="left"/>
      </w:pPr>
      <w:r>
        <w:rPr>
          <w:rFonts w:ascii="MS 明朝" w:hAnsi="MS 明朝" w:eastAsia="MS 明朝"/>
          <w:b/>
          <w:sz w:val="22"/>
        </w:rPr>
        <w:t>乙</w:t>
      </w:r>
    </w:p>
    <w:p>
      <w:pPr>
        <w:spacing w:before="0" w:after="40"/>
        <w:jc w:val="left"/>
      </w:pPr>
      <w:r>
        <w:rPr>
          <w:rFonts w:ascii="MS 明朝" w:hAnsi="MS 明朝" w:eastAsia="MS 明朝"/>
          <w:b w:val="0"/>
          <w:sz w:val="22"/>
        </w:rPr>
        <w:t xml:space="preserve">　神奈川県横浜市港北区富士塚2-13-28</w:t>
      </w:r>
    </w:p>
    <w:p>
      <w:pPr>
        <w:spacing w:before="0" w:after="40"/>
        <w:jc w:val="left"/>
      </w:pPr>
      <w:r>
        <w:rPr>
          <w:rFonts w:ascii="MS 明朝" w:hAnsi="MS 明朝" w:eastAsia="MS 明朝"/>
          <w:b w:val="0"/>
          <w:sz w:val="22"/>
        </w:rPr>
        <w:t xml:space="preserve">　株式会社TOKUMORI</w:t>
      </w:r>
    </w:p>
    <w:p>
      <w:pPr>
        <w:spacing w:before="0" w:after="40"/>
        <w:jc w:val="left"/>
      </w:pPr>
      <w:r>
        <w:rPr>
          <w:rFonts w:ascii="MS 明朝" w:hAnsi="MS 明朝" w:eastAsia="MS 明朝"/>
          <w:b w:val="0"/>
          <w:sz w:val="22"/>
        </w:rPr>
        <w:t xml:space="preserve">　代表取締役　岡見　悠平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