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Georgia" w:cs="Georgia" w:eastAsia="Georgia" w:hAnsi="Georgia"/>
          <w:b/>
          <w:bCs/>
          <w:color w:val="0F2137"/>
          <w:spacing w:val="200"/>
          <w:sz w:val="72"/>
          <w:szCs w:val="72"/>
        </w:rPr>
        <w:t xml:space="preserve">ATTĀ</w:t>
      </w:r>
    </w:p>
    <w:p>
      <w:pPr>
        <w:spacing w:after="200"/>
        <w:jc w:val="center"/>
      </w:pPr>
      <w:r>
        <w:rPr>
          <w:rFonts w:ascii="Georgia" w:cs="Georgia" w:eastAsia="Georgia" w:hAnsi="Georgia"/>
          <w:i/>
          <w:iCs/>
          <w:color w:val="5A5A5A"/>
          <w:sz w:val="22"/>
          <w:szCs w:val="22"/>
        </w:rPr>
        <w:t xml:space="preserve">attā · from the Pāli word for 'self'</w:t>
      </w:r>
    </w:p>
    <w:p>
      <w:pPr>
        <w:spacing w:after="100"/>
      </w:pPr>
    </w:p>
    <w:p>
      <w:pPr>
        <w:pBdr>
          <w:top w:val="single" w:color="C9973A" w:sz="1" w:space="12"/>
        </w:pBdr>
        <w:spacing w:after="40"/>
        <w:jc w:val="center"/>
      </w:pPr>
    </w:p>
    <w:p>
      <w:pPr>
        <w:spacing w:after="60"/>
        <w:jc w:val="center"/>
      </w:pPr>
      <w:r>
        <w:rPr>
          <w:rFonts w:ascii="Georgia" w:cs="Georgia" w:eastAsia="Georgia" w:hAnsi="Georgia"/>
          <w:b/>
          <w:bCs/>
          <w:color w:val="0F2137"/>
          <w:sz w:val="30"/>
          <w:szCs w:val="30"/>
        </w:rPr>
        <w:t xml:space="preserve">Your intelligence, unified.</w:t>
      </w:r>
    </w:p>
    <w:p>
      <w:pPr>
        <w:pBdr>
          <w:bottom w:val="single" w:color="C9973A" w:sz="1" w:space="12"/>
        </w:pBdr>
        <w:spacing w:after="40"/>
        <w:jc w:val="center"/>
      </w:pPr>
    </w:p>
    <w:p>
      <w:pPr>
        <w:spacing w:after="600"/>
      </w:pPr>
    </w:p>
    <w:p>
      <w:pPr>
        <w:spacing w:after="100"/>
        <w:jc w:val="center"/>
      </w:pPr>
      <w:r>
        <w:rPr>
          <w:rFonts w:ascii="Georgia" w:cs="Georgia" w:eastAsia="Georgia" w:hAnsi="Georgia"/>
          <w:color w:val="5A5A5A"/>
          <w:sz w:val="24"/>
          <w:szCs w:val="24"/>
        </w:rPr>
        <w:t xml:space="preserve">The Attā Ecosystem</w:t>
      </w:r>
    </w:p>
    <w:p>
      <w:pPr>
        <w:spacing w:after="60"/>
        <w:jc w:val="center"/>
      </w:pPr>
      <w:r>
        <w:rPr>
          <w:rFonts w:ascii="Georgia" w:cs="Georgia" w:eastAsia="Georgia" w:hAnsi="Georgia"/>
          <w:color w:val="C9973A"/>
          <w:sz w:val="22"/>
          <w:szCs w:val="22"/>
        </w:rPr>
        <w:t xml:space="preserve">atta.ai</w:t>
      </w:r>
    </w:p>
    <w:p>
      <w:pPr>
        <w:jc w:val="center"/>
      </w:pPr>
      <w:r>
        <w:rPr>
          <w:rFonts w:ascii="Georgia" w:cs="Georgia" w:eastAsia="Georgia" w:hAnsi="Georgia"/>
          <w:color w:val="5A5A5A"/>
          <w:sz w:val="20"/>
          <w:szCs w:val="20"/>
        </w:rPr>
        <w:t xml:space="preserve">April 2026</w:t>
      </w:r>
    </w:p>
    <w:p>
      <w:pPr>
        <w:sectPr>
          <w:pgSz w:w="12240" w:h="15840" w:orient="portrait"/>
          <w:pgMar w:top="3600" w:right="1440" w:bottom="1440" w:left="1440" w:header="708" w:footer="708" w:gutter="0"/>
          <w:pgNumType/>
          <w:docGrid w:linePitch="360"/>
        </w:sectPr>
      </w:pPr>
    </w:p>
    <w:p>
      <w:pPr>
        <w:spacing w:after="80" w:before="400"/>
        <w:jc w:val="center"/>
      </w:pPr>
      <w:r>
        <w:rPr>
          <w:rFonts w:ascii="Georgia" w:cs="Georgia" w:eastAsia="Georgia" w:hAnsi="Georgia"/>
          <w:i/>
          <w:iCs/>
          <w:color w:val="C9973A"/>
          <w:sz w:val="18"/>
          <w:szCs w:val="18"/>
        </w:rPr>
        <w:t xml:space="preserve">— 01 —</w:t>
      </w:r>
    </w:p>
    <w:p>
      <w:pPr>
        <w:spacing w:after="300" w:before="40"/>
        <w:jc w:val="center"/>
      </w:pPr>
      <w:r>
        <w:rPr>
          <w:rFonts w:ascii="Georgia" w:cs="Georgia" w:eastAsia="Georgia" w:hAnsi="Georgia"/>
          <w:b/>
          <w:bCs/>
          <w:color w:val="0F2137"/>
          <w:sz w:val="28"/>
          <w:szCs w:val="28"/>
        </w:rPr>
        <w:t xml:space="preserve">What Is Attā?</w:t>
      </w:r>
    </w:p>
    <w:p>
      <w:pPr>
        <w:spacing w:after="200" w:before="0" w:line="300"/>
        <w:jc w:val="left"/>
      </w:pPr>
      <w:r>
        <w:rPr>
          <w:rFonts w:ascii="Georgia" w:cs="Georgia" w:eastAsia="Georgia" w:hAnsi="Georgia"/>
          <w:color w:val="1A1A1A"/>
          <w:sz w:val="22"/>
          <w:szCs w:val="22"/>
        </w:rPr>
        <w:t xml:space="preserve">Attā is a company building AI products rooted in a single belief: your intelligence — the things you think, decide, explore, and conclude across every AI system you use — should belong to you, not to any single tool.</w:t>
      </w:r>
    </w:p>
    <w:p>
      <w:pPr>
        <w:spacing w:after="200" w:before="0" w:line="300"/>
        <w:jc w:val="left"/>
      </w:pPr>
      <w:r>
        <w:rPr>
          <w:rFonts w:ascii="Georgia" w:cs="Georgia" w:eastAsia="Georgia" w:hAnsi="Georgia"/>
          <w:color w:val="1A1A1A"/>
          <w:sz w:val="22"/>
          <w:szCs w:val="22"/>
        </w:rPr>
        <w:t xml:space="preserve">The name comes from the Pāli word for Self. The products Attā builds carry names from the same philosophical tradition — each one describing precisely what the product does, drawn from Buddhist cognitive psychology.</w:t>
      </w:r>
    </w:p>
    <w:p>
      <w:pPr>
        <w:pBdr>
          <w:top w:val="single" w:color="C9973A" w:sz="1" w:space="8"/>
          <w:bottom w:val="single" w:color="C9973A" w:sz="1" w:space="8"/>
        </w:pBdr>
        <w:spacing w:after="200" w:before="200"/>
        <w:ind w:left="720" w:right="720"/>
        <w:jc w:val="center"/>
      </w:pPr>
      <w:r>
        <w:rPr>
          <w:rFonts w:ascii="Georgia" w:cs="Georgia" w:eastAsia="Georgia" w:hAnsi="Georgia"/>
          <w:i/>
          <w:iCs/>
          <w:color w:val="0F2137"/>
          <w:sz w:val="22"/>
          <w:szCs w:val="22"/>
        </w:rPr>
        <w:t xml:space="preserve">Attā is not a product. It is the house. The products live inside it.</w:t>
      </w:r>
    </w:p>
    <w:p>
      <w:pPr>
        <w:spacing w:after="200" w:before="0" w:line="300"/>
        <w:jc w:val="left"/>
      </w:pPr>
      <w:r>
        <w:rPr>
          <w:rFonts w:ascii="Georgia" w:cs="Georgia" w:eastAsia="Georgia" w:hAnsi="Georgia"/>
          <w:color w:val="1A1A1A"/>
          <w:sz w:val="22"/>
          <w:szCs w:val="22"/>
        </w:rPr>
        <w:t xml:space="preserve">Today, Attā has two core products — Vitakka and Vāda — and a growing ecosystem of connected tools that plug in through an open standard.</w:t>
      </w:r>
    </w:p>
    <w:p>
      <w:pPr>
        <w:spacing w:after="200"/>
      </w:pPr>
    </w:p>
    <w:p>
      <w:pPr>
        <w:spacing w:after="80" w:before="400"/>
        <w:jc w:val="center"/>
      </w:pPr>
      <w:r>
        <w:rPr>
          <w:rFonts w:ascii="Georgia" w:cs="Georgia" w:eastAsia="Georgia" w:hAnsi="Georgia"/>
          <w:i/>
          <w:iCs/>
          <w:color w:val="C9973A"/>
          <w:sz w:val="18"/>
          <w:szCs w:val="18"/>
        </w:rPr>
        <w:t xml:space="preserve">— 02 —</w:t>
      </w:r>
    </w:p>
    <w:p>
      <w:pPr>
        <w:spacing w:after="300" w:before="40"/>
        <w:jc w:val="center"/>
      </w:pPr>
      <w:r>
        <w:rPr>
          <w:rFonts w:ascii="Georgia" w:cs="Georgia" w:eastAsia="Georgia" w:hAnsi="Georgia"/>
          <w:b/>
          <w:bCs/>
          <w:color w:val="0F2137"/>
          <w:sz w:val="28"/>
          <w:szCs w:val="28"/>
        </w:rPr>
        <w:t xml:space="preserve">The Ecosystem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Product</w:t>
            </w:r>
          </w:p>
        </w:tc>
        <w:tc>
          <w:tcPr>
            <w:tcW w:type="dxa" w:w="260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What It Does</w:t>
            </w:r>
          </w:p>
        </w:tc>
        <w:tc>
          <w:tcPr>
            <w:tcW w:type="dxa" w:w="220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Pāli Meaning</w:t>
            </w:r>
          </w:p>
        </w:tc>
        <w:tc>
          <w:tcPr>
            <w:tcW w:type="dxa" w:w="236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Status</w:t>
            </w:r>
          </w:p>
        </w:tc>
      </w:tr>
      <w:tr>
        <w:tc>
          <w:tcPr>
            <w:tcW w:type="dxa" w:w="22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b/>
                <w:bCs/>
                <w:color w:val="1A1A1A"/>
                <w:sz w:val="20"/>
                <w:szCs w:val="20"/>
              </w:rPr>
              <w:t xml:space="preserve">Vitakka</w:t>
            </w:r>
          </w:p>
        </w:tc>
        <w:tc>
          <w:tcPr>
            <w:tcW w:type="dxa" w:w="26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Personal AI thinking partner</w:t>
            </w:r>
          </w:p>
        </w:tc>
        <w:tc>
          <w:tcPr>
            <w:tcW w:type="dxa" w:w="22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i/>
                <w:iCs/>
                <w:color w:val="1A1A1A"/>
                <w:sz w:val="20"/>
                <w:szCs w:val="20"/>
              </w:rPr>
              <w:t xml:space="preserve">Directed thought</w:t>
            </w:r>
          </w:p>
        </w:tc>
        <w:tc>
          <w:tcPr>
            <w:tcW w:type="dxa" w:w="236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Active development</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b/>
                <w:bCs/>
                <w:color w:val="1A1A1A"/>
                <w:sz w:val="20"/>
                <w:szCs w:val="20"/>
              </w:rPr>
              <w:t xml:space="preserve">Vāda</w:t>
            </w:r>
          </w:p>
        </w:tc>
        <w:tc>
          <w:tcPr>
            <w:tcW w:type="dxa" w:w="26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color w:val="1A1A1A"/>
                <w:sz w:val="20"/>
                <w:szCs w:val="20"/>
              </w:rPr>
              <w:t xml:space="preserve">Deliberation engine</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i/>
                <w:iCs/>
                <w:color w:val="1A1A1A"/>
                <w:sz w:val="20"/>
                <w:szCs w:val="20"/>
              </w:rPr>
              <w:t xml:space="preserve">Debate, discourse</w:t>
            </w:r>
          </w:p>
        </w:tc>
        <w:tc>
          <w:tcPr>
            <w:tcW w:type="dxa" w:w="2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color w:val="1A1A1A"/>
                <w:sz w:val="20"/>
                <w:szCs w:val="20"/>
              </w:rPr>
              <w:t xml:space="preserve">Architecture complete</w:t>
            </w:r>
          </w:p>
        </w:tc>
      </w:tr>
    </w:tbl>
    <w:p>
      <w:pPr>
        <w:spacing w:after="200"/>
      </w:pPr>
    </w:p>
    <w:p>
      <w:pPr>
        <w:spacing w:after="200" w:before="0" w:line="300"/>
        <w:jc w:val="left"/>
      </w:pPr>
      <w:r>
        <w:rPr>
          <w:rFonts w:ascii="Georgia" w:cs="Georgia" w:eastAsia="Georgia" w:hAnsi="Georgia"/>
          <w:color w:val="1A1A1A"/>
          <w:sz w:val="22"/>
          <w:szCs w:val="22"/>
        </w:rPr>
        <w:t xml:space="preserve">Both products share the same philosophical framework, the same memory layer, and the same design language. They are built to work together — but each stands alone.</w:t>
      </w:r>
    </w:p>
    <w:p>
      <w:pPr>
        <w:spacing w:after="200" w:before="0" w:line="300"/>
        <w:jc w:val="left"/>
      </w:pPr>
      <w:r>
        <w:rPr>
          <w:rFonts w:ascii="Georgia" w:cs="Georgia" w:eastAsia="Georgia" w:hAnsi="Georgia"/>
          <w:color w:val="1A1A1A"/>
          <w:sz w:val="22"/>
          <w:szCs w:val="22"/>
        </w:rPr>
        <w:t xml:space="preserve">Connected tools — like Herald, Google Maps, image generators, and any MCP-compatible service — plug into either product. They are not part of the Attā core. They extend it.</w:t>
      </w:r>
    </w:p>
    <w:p>
      <w:pPr>
        <w:spacing w:after="200"/>
      </w:pPr>
    </w:p>
    <w:p>
      <w:pPr>
        <w:spacing w:after="80" w:before="400"/>
        <w:jc w:val="center"/>
      </w:pPr>
      <w:r>
        <w:rPr>
          <w:rFonts w:ascii="Georgia" w:cs="Georgia" w:eastAsia="Georgia" w:hAnsi="Georgia"/>
          <w:i/>
          <w:iCs/>
          <w:color w:val="C9973A"/>
          <w:sz w:val="18"/>
          <w:szCs w:val="18"/>
        </w:rPr>
        <w:t xml:space="preserve">— 03 —</w:t>
      </w:r>
    </w:p>
    <w:p>
      <w:pPr>
        <w:spacing w:after="300" w:before="40"/>
        <w:jc w:val="center"/>
      </w:pPr>
      <w:r>
        <w:rPr>
          <w:rFonts w:ascii="Georgia" w:cs="Georgia" w:eastAsia="Georgia" w:hAnsi="Georgia"/>
          <w:b/>
          <w:bCs/>
          <w:color w:val="0F2137"/>
          <w:sz w:val="28"/>
          <w:szCs w:val="28"/>
        </w:rPr>
        <w:t xml:space="preserve">Vitakka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C9973A" w:sz="1"/>
              <w:right w:val="none"/>
            </w:tcBorders>
            <w:shd w:fill="0F2137" w:val="clear"/>
            <w:tcMar>
              <w:top w:type="dxa" w:w="160"/>
              <w:left w:type="dxa" w:w="240"/>
              <w:bottom w:type="dxa" w:w="120"/>
              <w:right w:type="dxa" w:w="240"/>
            </w:tcMar>
          </w:tcPr>
          <w:p>
            <w:pPr>
              <w:spacing w:after="40"/>
            </w:pPr>
            <w:r>
              <w:rPr>
                <w:rFonts w:ascii="Georgia" w:cs="Georgia" w:eastAsia="Georgia" w:hAnsi="Georgia"/>
                <w:b/>
                <w:bCs/>
                <w:color w:val="C9973A"/>
                <w:sz w:val="32"/>
                <w:szCs w:val="32"/>
              </w:rPr>
              <w:t xml:space="preserve">Vitakka</w:t>
            </w:r>
            <w:r>
              <w:rPr>
                <w:rFonts w:ascii="Georgia" w:cs="Georgia" w:eastAsia="Georgia" w:hAnsi="Georgia"/>
                <w:i/>
                <w:iCs/>
                <w:color w:val="7A90A8"/>
                <w:sz w:val="20"/>
                <w:szCs w:val="20"/>
              </w:rPr>
              <w:t xml:space="preserve">   Pāli: directed thought</w:t>
            </w:r>
          </w:p>
          <w:p>
            <w:r>
              <w:rPr>
                <w:rFonts w:ascii="Georgia" w:cs="Georgia" w:eastAsia="Georgia" w:hAnsi="Georgia"/>
                <w:color w:val="7A90A8"/>
                <w:sz w:val="18"/>
                <w:szCs w:val="18"/>
              </w:rPr>
              <w:t xml:space="preserve">vitakka.ai</w:t>
            </w:r>
          </w:p>
        </w:tc>
      </w:tr>
      <w:tr>
        <w:tc>
          <w:tcPr>
            <w:tcW w:type="dxa" w:w="9360"/>
            <w:tcBorders>
              <w:top w:val="none"/>
              <w:left w:val="none"/>
              <w:bottom w:val="single" w:color="C9973A" w:sz="2"/>
              <w:right w:val="none"/>
            </w:tcBorders>
            <w:shd w:fill="F7F5F0" w:val="clear"/>
            <w:tcMar>
              <w:top w:type="dxa" w:w="160"/>
              <w:left w:type="dxa" w:w="240"/>
              <w:bottom w:type="dxa" w:w="160"/>
              <w:right w:type="dxa" w:w="240"/>
            </w:tcMar>
          </w:tcPr>
          <w:p>
            <w:pPr>
              <w:spacing w:after="160"/>
            </w:pPr>
            <w:r>
              <w:rPr>
                <w:rFonts w:ascii="Georgia" w:cs="Georgia" w:eastAsia="Georgia" w:hAnsi="Georgia"/>
                <w:b/>
                <w:bCs/>
                <w:color w:val="0F2137"/>
                <w:sz w:val="22"/>
                <w:szCs w:val="22"/>
              </w:rPr>
              <w:t xml:space="preserve">All your AI. One conversation.</w:t>
            </w:r>
          </w:p>
          <w:p>
            <w:pPr>
              <w:spacing w:after="100" w:line="280"/>
            </w:pPr>
            <w:r>
              <w:rPr>
                <w:rFonts w:ascii="Georgia" w:cs="Georgia" w:eastAsia="Georgia" w:hAnsi="Georgia"/>
                <w:color w:val="1A1A1A"/>
                <w:sz w:val="21"/>
                <w:szCs w:val="21"/>
              </w:rPr>
              <w:t xml:space="preserve">Vitakka is a personal AI thinking partner. One space where Claude, Gemini, DeepSeek, image models, and any connected tool all work together — on your problem, with your context, building a shared memory over time.</w:t>
            </w:r>
          </w:p>
          <w:p>
            <w:pPr>
              <w:spacing w:after="100" w:line="280"/>
            </w:pPr>
            <w:r>
              <w:rPr>
                <w:rFonts w:ascii="Georgia" w:cs="Georgia" w:eastAsia="Georgia" w:hAnsi="Georgia"/>
                <w:color w:val="1A1A1A"/>
                <w:sz w:val="21"/>
                <w:szCs w:val="21"/>
              </w:rPr>
              <w:t xml:space="preserve"/>
            </w:r>
          </w:p>
          <w:p>
            <w:pPr>
              <w:spacing w:after="100" w:line="280"/>
            </w:pPr>
            <w:r>
              <w:rPr>
                <w:rFonts w:ascii="Georgia" w:cs="Georgia" w:eastAsia="Georgia" w:hAnsi="Georgia"/>
                <w:color w:val="1A1A1A"/>
                <w:sz w:val="21"/>
                <w:szCs w:val="21"/>
              </w:rPr>
              <w:t xml:space="preserve">You open a Focus — a bounded session for thinking something through. You think freely. Multiple AI systems are orchestrated behind the scenes. When you close, Vitakka proposes what you concluded. You accept what is right. Only that is saved.</w:t>
            </w:r>
          </w:p>
          <w:p>
            <w:pPr>
              <w:spacing w:after="100" w:line="280"/>
            </w:pPr>
            <w:r>
              <w:rPr>
                <w:rFonts w:ascii="Georgia" w:cs="Georgia" w:eastAsia="Georgia" w:hAnsi="Georgia"/>
                <w:color w:val="1A1A1A"/>
                <w:sz w:val="21"/>
                <w:szCs w:val="21"/>
              </w:rPr>
              <w:t xml:space="preserve"/>
            </w:r>
          </w:p>
          <w:p>
            <w:pPr>
              <w:spacing w:after="100" w:line="280"/>
            </w:pPr>
            <w:r>
              <w:rPr>
                <w:rFonts w:ascii="Georgia" w:cs="Georgia" w:eastAsia="Georgia" w:hAnsi="Georgia"/>
                <w:color w:val="1A1A1A"/>
                <w:sz w:val="21"/>
                <w:szCs w:val="21"/>
              </w:rPr>
              <w:t xml:space="preserve">Over time, Vitakka remembers what you decided across every AI and every session. Not what you typed — what you concluded. The memory belongs to you, not to any single model.</w:t>
            </w:r>
          </w:p>
          <w:p>
            <w:pPr>
              <w:spacing w:after="100" w:line="280"/>
            </w:pPr>
            <w:r>
              <w:rPr>
                <w:rFonts w:ascii="Georgia" w:cs="Georgia" w:eastAsia="Georgia" w:hAnsi="Georgia"/>
                <w:color w:val="1A1A1A"/>
                <w:sz w:val="21"/>
                <w:szCs w:val="21"/>
              </w:rPr>
              <w:t xml:space="preserve"/>
            </w:r>
          </w:p>
          <w:p>
            <w:pPr>
              <w:spacing w:after="100" w:line="280"/>
            </w:pPr>
            <w:r>
              <w:rPr>
                <w:rFonts w:ascii="Georgia" w:cs="Georgia" w:eastAsia="Georgia" w:hAnsi="Georgia"/>
                <w:color w:val="1A1A1A"/>
                <w:sz w:val="21"/>
                <w:szCs w:val="21"/>
              </w:rPr>
              <w:t xml:space="preserve">The problem it solves: your thinking is scattered across AI tools that do not know about each other. Every tool resets when you switch. Vitakka is where your thinking accumulates instead of resetting.</w:t>
            </w:r>
          </w:p>
        </w:tc>
      </w:tr>
    </w:tbl>
    <w:p>
      <w:pPr>
        <w:spacing w:after="100"/>
      </w:pPr>
    </w:p>
    <w:p>
      <w:pPr>
        <w:spacing w:after="200" w:before="200" w:line="300"/>
        <w:jc w:val="left"/>
      </w:pPr>
      <w:r>
        <w:rPr>
          <w:rFonts w:ascii="Georgia" w:cs="Georgia" w:eastAsia="Georgia" w:hAnsi="Georgia"/>
          <w:b/>
          <w:bCs/>
          <w:color w:val="1A1A1A"/>
          <w:sz w:val="22"/>
          <w:szCs w:val="22"/>
        </w:rPr>
        <w:t xml:space="preserve">Three things only Vitakka does:</w:t>
      </w:r>
    </w:p>
    <w:p>
      <w:pPr>
        <w:spacing w:after="200" w:before="60" w:line="300"/>
        <w:jc w:val="left"/>
      </w:pPr>
      <w:r>
        <w:rPr>
          <w:rFonts w:ascii="Georgia" w:cs="Georgia" w:eastAsia="Georgia" w:hAnsi="Georgia"/>
          <w:color w:val="1A1A1A"/>
          <w:sz w:val="22"/>
          <w:szCs w:val="22"/>
        </w:rPr>
        <w:t xml:space="preserve">Cross-AI memory — conclusions from a Claude and Gemini debate persist across every future session, regardless of which model is active. No single AI provider will build this because it requires neutrality.</w:t>
      </w:r>
    </w:p>
    <w:p>
      <w:pPr>
        <w:spacing w:after="200" w:before="60" w:line="300"/>
        <w:jc w:val="left"/>
      </w:pPr>
      <w:r>
        <w:rPr>
          <w:rFonts w:ascii="Georgia" w:cs="Georgia" w:eastAsia="Georgia" w:hAnsi="Georgia"/>
          <w:color w:val="1A1A1A"/>
          <w:sz w:val="22"/>
          <w:szCs w:val="22"/>
        </w:rPr>
        <w:t xml:space="preserve">Multi-model debate — Claude proposes, Gemini challenges independently without seeing Claude's reasoning. The conclusion that survives genuine intellectual pressure is one you can trust.</w:t>
      </w:r>
    </w:p>
    <w:p>
      <w:pPr>
        <w:spacing w:after="200" w:before="60" w:line="300"/>
        <w:jc w:val="left"/>
      </w:pPr>
      <w:r>
        <w:rPr>
          <w:rFonts w:ascii="Georgia" w:cs="Georgia" w:eastAsia="Georgia" w:hAnsi="Georgia"/>
          <w:color w:val="1A1A1A"/>
          <w:sz w:val="22"/>
          <w:szCs w:val="22"/>
        </w:rPr>
        <w:t xml:space="preserve">Explicit conclusion acceptance — at the end of every session, you review what was reached. Only what you accept is saved. You decided, not just noted.</w:t>
      </w:r>
    </w:p>
    <w:p>
      <w:pPr>
        <w:spacing w:after="100"/>
      </w:pPr>
    </w:p>
    <w:p>
      <w:r>
        <w:br w:type="page"/>
      </w:r>
    </w:p>
    <w:p>
      <w:pPr>
        <w:spacing w:after="80" w:before="400"/>
        <w:jc w:val="center"/>
      </w:pPr>
      <w:r>
        <w:rPr>
          <w:rFonts w:ascii="Georgia" w:cs="Georgia" w:eastAsia="Georgia" w:hAnsi="Georgia"/>
          <w:i/>
          <w:iCs/>
          <w:color w:val="C9973A"/>
          <w:sz w:val="18"/>
          <w:szCs w:val="18"/>
        </w:rPr>
        <w:t xml:space="preserve">— 04 —</w:t>
      </w:r>
    </w:p>
    <w:p>
      <w:pPr>
        <w:spacing w:after="300" w:before="40"/>
        <w:jc w:val="center"/>
      </w:pPr>
      <w:r>
        <w:rPr>
          <w:rFonts w:ascii="Georgia" w:cs="Georgia" w:eastAsia="Georgia" w:hAnsi="Georgia"/>
          <w:b/>
          <w:bCs/>
          <w:color w:val="0F2137"/>
          <w:sz w:val="28"/>
          <w:szCs w:val="28"/>
        </w:rPr>
        <w:t xml:space="preserve">Vāda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C9973A" w:sz="1"/>
              <w:right w:val="none"/>
            </w:tcBorders>
            <w:shd w:fill="0F2137" w:val="clear"/>
            <w:tcMar>
              <w:top w:type="dxa" w:w="160"/>
              <w:left w:type="dxa" w:w="240"/>
              <w:bottom w:type="dxa" w:w="120"/>
              <w:right w:type="dxa" w:w="240"/>
            </w:tcMar>
          </w:tcPr>
          <w:p>
            <w:pPr>
              <w:spacing w:after="40"/>
            </w:pPr>
            <w:r>
              <w:rPr>
                <w:rFonts w:ascii="Georgia" w:cs="Georgia" w:eastAsia="Georgia" w:hAnsi="Georgia"/>
                <w:b/>
                <w:bCs/>
                <w:color w:val="C9973A"/>
                <w:sz w:val="32"/>
                <w:szCs w:val="32"/>
              </w:rPr>
              <w:t xml:space="preserve">Vāda</w:t>
            </w:r>
            <w:r>
              <w:rPr>
                <w:rFonts w:ascii="Georgia" w:cs="Georgia" w:eastAsia="Georgia" w:hAnsi="Georgia"/>
                <w:i/>
                <w:iCs/>
                <w:color w:val="7A90A8"/>
                <w:sz w:val="20"/>
                <w:szCs w:val="20"/>
              </w:rPr>
              <w:t xml:space="preserve">   Pāli: deliberation toward a conclusion</w:t>
            </w:r>
          </w:p>
          <w:p>
            <w:r>
              <w:rPr>
                <w:rFonts w:ascii="Georgia" w:cs="Georgia" w:eastAsia="Georgia" w:hAnsi="Georgia"/>
                <w:color w:val="7A90A8"/>
                <w:sz w:val="18"/>
                <w:szCs w:val="18"/>
              </w:rPr>
              <w:t xml:space="preserve">vada.ai</w:t>
            </w:r>
          </w:p>
        </w:tc>
      </w:tr>
      <w:tr>
        <w:tc>
          <w:tcPr>
            <w:tcW w:type="dxa" w:w="9360"/>
            <w:tcBorders>
              <w:top w:val="none"/>
              <w:left w:val="none"/>
              <w:bottom w:val="single" w:color="C9973A" w:sz="2"/>
              <w:right w:val="none"/>
            </w:tcBorders>
            <w:shd w:fill="F7F5F0" w:val="clear"/>
            <w:tcMar>
              <w:top w:type="dxa" w:w="160"/>
              <w:left w:type="dxa" w:w="240"/>
              <w:bottom w:type="dxa" w:w="160"/>
              <w:right w:type="dxa" w:w="240"/>
            </w:tcMar>
          </w:tcPr>
          <w:p>
            <w:pPr>
              <w:spacing w:after="160"/>
            </w:pPr>
            <w:r>
              <w:rPr>
                <w:rFonts w:ascii="Georgia" w:cs="Georgia" w:eastAsia="Georgia" w:hAnsi="Georgia"/>
                <w:b/>
                <w:bCs/>
                <w:color w:val="0F2137"/>
                <w:sz w:val="22"/>
                <w:szCs w:val="22"/>
              </w:rPr>
              <w:t xml:space="preserve">Bring a question. Watch minds deliberate. Get a conclusion.</w:t>
            </w:r>
          </w:p>
          <w:p>
            <w:pPr>
              <w:spacing w:after="100" w:line="280"/>
            </w:pPr>
            <w:r>
              <w:rPr>
                <w:rFonts w:ascii="Georgia" w:cs="Georgia" w:eastAsia="Georgia" w:hAnsi="Georgia"/>
                <w:color w:val="1A1A1A"/>
                <w:sz w:val="21"/>
                <w:szCs w:val="21"/>
              </w:rPr>
              <w:t xml:space="preserve">Vāda is a standalone deliberation engine. You bring a question. You select agents — not just by model, but by knowledge domain and conversational role. You watch them deliberate in real time across structured rounds. You receive a conclusion — including what remained unresolved.</w:t>
            </w:r>
          </w:p>
          <w:p>
            <w:pPr>
              <w:spacing w:after="100" w:line="280"/>
            </w:pPr>
            <w:r>
              <w:rPr>
                <w:rFonts w:ascii="Georgia" w:cs="Georgia" w:eastAsia="Georgia" w:hAnsi="Georgia"/>
                <w:color w:val="1A1A1A"/>
                <w:sz w:val="21"/>
                <w:szCs w:val="21"/>
              </w:rPr>
              <w:t xml:space="preserve"/>
            </w:r>
          </w:p>
          <w:p>
            <w:pPr>
              <w:spacing w:after="100" w:line="280"/>
            </w:pPr>
            <w:r>
              <w:rPr>
                <w:rFonts w:ascii="Georgia" w:cs="Georgia" w:eastAsia="Georgia" w:hAnsi="Georgia"/>
                <w:color w:val="1A1A1A"/>
                <w:sz w:val="21"/>
                <w:szCs w:val="21"/>
              </w:rPr>
              <w:t xml:space="preserve">Where Vitakka is a personal thinking partner that orchestrates silently, Vāda is a visible deliberation. You are the principal — you set the question, you can inject context mid-round, redirect scope between rounds, or stop the deliberation at any point.</w:t>
            </w:r>
          </w:p>
          <w:p>
            <w:pPr>
              <w:spacing w:after="100" w:line="280"/>
            </w:pPr>
            <w:r>
              <w:rPr>
                <w:rFonts w:ascii="Georgia" w:cs="Georgia" w:eastAsia="Georgia" w:hAnsi="Georgia"/>
                <w:color w:val="1A1A1A"/>
                <w:sz w:val="21"/>
                <w:szCs w:val="21"/>
              </w:rPr>
              <w:t xml:space="preserve"/>
            </w:r>
          </w:p>
          <w:p>
            <w:pPr>
              <w:spacing w:after="100" w:line="280"/>
            </w:pPr>
            <w:r>
              <w:rPr>
                <w:rFonts w:ascii="Georgia" w:cs="Georgia" w:eastAsia="Georgia" w:hAnsi="Georgia"/>
                <w:color w:val="1A1A1A"/>
                <w:sz w:val="21"/>
                <w:szCs w:val="21"/>
              </w:rPr>
              <w:t xml:space="preserve">The conclusion is not just text. It is a stateful, versioned, aging artifact. You can return to it later. The system can audit whether it still holds. If the world has changed, Vāda can re-deliberate with current knowledge.</w:t>
            </w:r>
          </w:p>
        </w:tc>
      </w:tr>
    </w:tbl>
    <w:p>
      <w:pPr>
        <w:spacing w:after="100"/>
      </w:pPr>
    </w:p>
    <w:p>
      <w:pPr>
        <w:spacing w:after="200" w:before="200" w:line="300"/>
        <w:jc w:val="left"/>
      </w:pPr>
      <w:r>
        <w:rPr>
          <w:rFonts w:ascii="Georgia" w:cs="Georgia" w:eastAsia="Georgia" w:hAnsi="Georgia"/>
          <w:b/>
          <w:bCs/>
          <w:color w:val="1A1A1A"/>
          <w:sz w:val="22"/>
          <w:szCs w:val="22"/>
        </w:rPr>
        <w:t xml:space="preserve">How Vāda and Vitakka connect:</w:t>
      </w:r>
    </w:p>
    <w:p>
      <w:pPr>
        <w:spacing w:after="200" w:before="60" w:line="300"/>
        <w:jc w:val="left"/>
      </w:pPr>
      <w:r>
        <w:rPr>
          <w:rFonts w:ascii="Georgia" w:cs="Georgia" w:eastAsia="Georgia" w:hAnsi="Georgia"/>
          <w:color w:val="1A1A1A"/>
          <w:sz w:val="22"/>
          <w:szCs w:val="22"/>
        </w:rPr>
        <w:t xml:space="preserve">Vitakka provides the memory layer — what you have concluded before. Vāda provides the deliberation engine — structured debate on a specific question. A Vitakka session can invoke a Vāda deliberation when a question deserves adversarial synthesis. A Vāda conclusion can feed back into Vitakka's memory as an accepted conclusion.</w:t>
      </w:r>
    </w:p>
    <w:p>
      <w:pPr>
        <w:pBdr>
          <w:top w:val="single" w:color="C9973A" w:sz="1" w:space="8"/>
          <w:bottom w:val="single" w:color="C9973A" w:sz="1" w:space="8"/>
        </w:pBdr>
        <w:spacing w:after="200" w:before="200"/>
        <w:ind w:left="720" w:right="720"/>
        <w:jc w:val="center"/>
      </w:pPr>
      <w:r>
        <w:rPr>
          <w:rFonts w:ascii="Georgia" w:cs="Georgia" w:eastAsia="Georgia" w:hAnsi="Georgia"/>
          <w:i/>
          <w:iCs/>
          <w:color w:val="0F2137"/>
          <w:sz w:val="22"/>
          <w:szCs w:val="22"/>
        </w:rPr>
        <w:t xml:space="preserve">Vitakka is where you think. Vāda is where ideas are pressure-tested.</w:t>
      </w:r>
    </w:p>
    <w:p>
      <w:pPr>
        <w:spacing w:after="100"/>
      </w:pPr>
    </w:p>
    <w:p>
      <w:pPr>
        <w:spacing w:after="80" w:before="400"/>
        <w:jc w:val="center"/>
      </w:pPr>
      <w:r>
        <w:rPr>
          <w:rFonts w:ascii="Georgia" w:cs="Georgia" w:eastAsia="Georgia" w:hAnsi="Georgia"/>
          <w:i/>
          <w:iCs/>
          <w:color w:val="C9973A"/>
          <w:sz w:val="18"/>
          <w:szCs w:val="18"/>
        </w:rPr>
        <w:t xml:space="preserve">— 05 —</w:t>
      </w:r>
    </w:p>
    <w:p>
      <w:pPr>
        <w:spacing w:after="300" w:before="40"/>
        <w:jc w:val="center"/>
      </w:pPr>
      <w:r>
        <w:rPr>
          <w:rFonts w:ascii="Georgia" w:cs="Georgia" w:eastAsia="Georgia" w:hAnsi="Georgia"/>
          <w:b/>
          <w:bCs/>
          <w:color w:val="0F2137"/>
          <w:sz w:val="28"/>
          <w:szCs w:val="28"/>
        </w:rPr>
        <w:t xml:space="preserve">Connected Tools</w:t>
      </w:r>
    </w:p>
    <w:p>
      <w:pPr>
        <w:spacing w:after="200" w:before="0" w:line="300"/>
        <w:jc w:val="left"/>
      </w:pPr>
      <w:r>
        <w:rPr>
          <w:rFonts w:ascii="Georgia" w:cs="Georgia" w:eastAsia="Georgia" w:hAnsi="Georgia"/>
          <w:color w:val="1A1A1A"/>
          <w:sz w:val="22"/>
          <w:szCs w:val="22"/>
        </w:rPr>
        <w:t xml:space="preserve">Attā products connect to any tool through MCP — the Model Context Protocol, an open standard backed by Anthropic, GitHub, and Microsoft. When a tool is connected, it becomes available inside any session automatically. You never leave the conversation.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Tool</w:t>
            </w:r>
          </w:p>
        </w:tc>
        <w:tc>
          <w:tcPr>
            <w:tcW w:type="dxa" w:w="380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What It Does</w:t>
            </w:r>
          </w:p>
        </w:tc>
        <w:tc>
          <w:tcPr>
            <w:tcW w:type="dxa" w:w="336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Connection</w:t>
            </w:r>
          </w:p>
        </w:tc>
      </w:tr>
      <w:tr>
        <w:tc>
          <w:tcPr>
            <w:tcW w:type="dxa" w:w="22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b/>
                <w:bCs/>
                <w:color w:val="1A1A1A"/>
                <w:sz w:val="20"/>
                <w:szCs w:val="20"/>
              </w:rPr>
              <w:t xml:space="preserve">Herald</w:t>
            </w:r>
          </w:p>
        </w:tc>
        <w:tc>
          <w:tcPr>
            <w:tcW w:type="dxa" w:w="38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Job intelligence — forensic CV-to-role matching</w:t>
            </w:r>
          </w:p>
        </w:tc>
        <w:tc>
          <w:tcPr>
            <w:tcW w:type="dxa" w:w="336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MCP (pluggable)</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b/>
                <w:bCs/>
                <w:color w:val="1A1A1A"/>
                <w:sz w:val="20"/>
                <w:szCs w:val="20"/>
              </w:rPr>
              <w:t xml:space="preserve">Google Maps</w:t>
            </w:r>
          </w:p>
        </w:tc>
        <w:tc>
          <w:tcPr>
            <w:tcW w:type="dxa" w:w="3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color w:val="1A1A1A"/>
                <w:sz w:val="20"/>
                <w:szCs w:val="20"/>
              </w:rPr>
              <w:t xml:space="preserve">Location, routes, places</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color w:val="1A1A1A"/>
                <w:sz w:val="20"/>
                <w:szCs w:val="20"/>
              </w:rPr>
              <w:t xml:space="preserve">MCP (pluggable)</w:t>
            </w:r>
          </w:p>
        </w:tc>
      </w:tr>
      <w:tr>
        <w:tc>
          <w:tcPr>
            <w:tcW w:type="dxa" w:w="22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b/>
                <w:bCs/>
                <w:color w:val="1A1A1A"/>
                <w:sz w:val="20"/>
                <w:szCs w:val="20"/>
              </w:rPr>
              <w:t xml:space="preserve">Image models</w:t>
            </w:r>
          </w:p>
        </w:tc>
        <w:tc>
          <w:tcPr>
            <w:tcW w:type="dxa" w:w="38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Midjourney, Flux, DALL·E — visual generation</w:t>
            </w:r>
          </w:p>
        </w:tc>
        <w:tc>
          <w:tcPr>
            <w:tcW w:type="dxa" w:w="336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MCP (pluggable)</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b/>
                <w:bCs/>
                <w:color w:val="1A1A1A"/>
                <w:sz w:val="20"/>
                <w:szCs w:val="20"/>
              </w:rPr>
              <w:t xml:space="preserve">GitHub</w:t>
            </w:r>
          </w:p>
        </w:tc>
        <w:tc>
          <w:tcPr>
            <w:tcW w:type="dxa" w:w="380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color w:val="1A1A1A"/>
                <w:sz w:val="20"/>
                <w:szCs w:val="20"/>
              </w:rPr>
              <w:t xml:space="preserve">Code repositories, issues, pull requests</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tcPr>
          <w:p>
            <w:r>
              <w:rPr>
                <w:rFonts w:ascii="Georgia" w:cs="Georgia" w:eastAsia="Georgia" w:hAnsi="Georgia"/>
                <w:color w:val="1A1A1A"/>
                <w:sz w:val="20"/>
                <w:szCs w:val="20"/>
              </w:rPr>
              <w:t xml:space="preserve">MCP (pluggable)</w:t>
            </w:r>
          </w:p>
        </w:tc>
      </w:tr>
      <w:tr>
        <w:tc>
          <w:tcPr>
            <w:tcW w:type="dxa" w:w="22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b/>
                <w:bCs/>
                <w:color w:val="1A1A1A"/>
                <w:sz w:val="20"/>
                <w:szCs w:val="20"/>
              </w:rPr>
              <w:t xml:space="preserve">Any MCP tool</w:t>
            </w:r>
          </w:p>
        </w:tc>
        <w:tc>
          <w:tcPr>
            <w:tcW w:type="dxa" w:w="38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Open standard — connect anything with an API</w:t>
            </w:r>
          </w:p>
        </w:tc>
        <w:tc>
          <w:tcPr>
            <w:tcW w:type="dxa" w:w="336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MCP (pluggable)</w:t>
            </w:r>
          </w:p>
        </w:tc>
      </w:tr>
    </w:tbl>
    <w:p>
      <w:pPr>
        <w:spacing w:after="200"/>
      </w:pPr>
    </w:p>
    <w:p>
      <w:pPr>
        <w:spacing w:after="200" w:before="0" w:line="300"/>
        <w:jc w:val="left"/>
      </w:pPr>
      <w:r>
        <w:rPr>
          <w:rFonts w:ascii="Georgia" w:cs="Georgia" w:eastAsia="Georgia" w:hAnsi="Georgia"/>
          <w:color w:val="1A1A1A"/>
          <w:sz w:val="22"/>
          <w:szCs w:val="22"/>
        </w:rPr>
        <w:t xml:space="preserve">Connected tools are not Attā products. They are extensions — pluggable, replaceable, and chosen by the user. Herald is a job intelligence tool built independently. Google Maps is Google's. Image models come from their respective providers. Attā's role is to orchestrate them coherently in service of your thinking.</w:t>
      </w:r>
    </w:p>
    <w:p>
      <w:pPr>
        <w:spacing w:after="200" w:before="0" w:line="300"/>
        <w:jc w:val="left"/>
      </w:pPr>
      <w:r>
        <w:rPr>
          <w:rFonts w:ascii="Georgia" w:cs="Georgia" w:eastAsia="Georgia" w:hAnsi="Georgia"/>
          <w:color w:val="1A1A1A"/>
          <w:sz w:val="22"/>
          <w:szCs w:val="22"/>
        </w:rPr>
        <w:t xml:space="preserve">The core products — the ones with Pāli names — are what Attā builds and maintains. Everything else plugs in.</w:t>
      </w:r>
    </w:p>
    <w:p>
      <w:pPr>
        <w:spacing w:after="100"/>
      </w:pPr>
    </w:p>
    <w:p>
      <w:pPr>
        <w:spacing w:after="80" w:before="400"/>
        <w:jc w:val="center"/>
      </w:pPr>
      <w:r>
        <w:rPr>
          <w:rFonts w:ascii="Georgia" w:cs="Georgia" w:eastAsia="Georgia" w:hAnsi="Georgia"/>
          <w:i/>
          <w:iCs/>
          <w:color w:val="C9973A"/>
          <w:sz w:val="18"/>
          <w:szCs w:val="18"/>
        </w:rPr>
        <w:t xml:space="preserve">— 06 —</w:t>
      </w:r>
    </w:p>
    <w:p>
      <w:pPr>
        <w:spacing w:after="300" w:before="40"/>
        <w:jc w:val="center"/>
      </w:pPr>
      <w:r>
        <w:rPr>
          <w:rFonts w:ascii="Georgia" w:cs="Georgia" w:eastAsia="Georgia" w:hAnsi="Georgia"/>
          <w:b/>
          <w:bCs/>
          <w:color w:val="0F2137"/>
          <w:sz w:val="28"/>
          <w:szCs w:val="28"/>
        </w:rPr>
        <w:t xml:space="preserve">The Names</w:t>
      </w:r>
    </w:p>
    <w:p>
      <w:pPr>
        <w:spacing w:after="200" w:before="0" w:line="300"/>
        <w:jc w:val="left"/>
      </w:pPr>
      <w:r>
        <w:rPr>
          <w:rFonts w:ascii="Georgia" w:cs="Georgia" w:eastAsia="Georgia" w:hAnsi="Georgia"/>
          <w:color w:val="1A1A1A"/>
          <w:sz w:val="22"/>
          <w:szCs w:val="22"/>
        </w:rPr>
        <w:t xml:space="preserve">Every Attā product carries a name from Pāli — the language of early Buddhist texts. These are not decorative. Each name describes precisely what the product does, drawn from a framework of how the mind processes information.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tcPr>
          <w:p>
            <w:pPr>
              <w:jc w:val="center"/>
            </w:pPr>
            <w:r>
              <w:rPr>
                <w:rFonts w:ascii="Georgia" w:cs="Georgia" w:eastAsia="Georgia" w:hAnsi="Georgia"/>
                <w:b/>
                <w:bCs/>
                <w:color w:val="FFFFFF"/>
                <w:sz w:val="20"/>
                <w:szCs w:val="20"/>
              </w:rPr>
              <w:t xml:space="preserve">Name</w:t>
            </w:r>
          </w:p>
        </w:tc>
        <w:tc>
          <w:tcPr>
            <w:tcW w:type="dxa" w:w="300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tcPr>
          <w:p>
            <w:pPr>
              <w:jc w:val="center"/>
            </w:pPr>
            <w:r>
              <w:rPr>
                <w:rFonts w:ascii="Georgia" w:cs="Georgia" w:eastAsia="Georgia" w:hAnsi="Georgia"/>
                <w:b/>
                <w:bCs/>
                <w:color w:val="FFFFFF"/>
                <w:sz w:val="20"/>
                <w:szCs w:val="20"/>
              </w:rPr>
              <w:t xml:space="preserve">Pāli Meaning</w:t>
            </w:r>
          </w:p>
        </w:tc>
        <w:tc>
          <w:tcPr>
            <w:tcW w:type="dxa" w:w="4360"/>
            <w:tcBorders>
              <w:top w:val="single" w:color="D0D0D0" w:sz="1"/>
              <w:left w:val="single" w:color="D0D0D0" w:sz="1"/>
              <w:bottom w:val="single" w:color="D0D0D0" w:sz="1"/>
              <w:right w:val="single" w:color="D0D0D0" w:sz="1"/>
            </w:tcBorders>
            <w:shd w:fill="0F2137" w:val="clear"/>
            <w:tcMar>
              <w:top w:type="dxa" w:w="100"/>
              <w:left w:type="dxa" w:w="160"/>
              <w:bottom w:type="dxa" w:w="100"/>
              <w:right w:type="dxa" w:w="160"/>
            </w:tcMar>
          </w:tcPr>
          <w:p>
            <w:pPr>
              <w:jc w:val="center"/>
            </w:pPr>
            <w:r>
              <w:rPr>
                <w:rFonts w:ascii="Georgia" w:cs="Georgia" w:eastAsia="Georgia" w:hAnsi="Georgia"/>
                <w:b/>
                <w:bCs/>
                <w:color w:val="FFFFFF"/>
                <w:sz w:val="20"/>
                <w:szCs w:val="20"/>
              </w:rPr>
              <w:t xml:space="preserve">Why This Name</w:t>
            </w:r>
          </w:p>
        </w:tc>
      </w:tr>
      <w:tr>
        <w:tc>
          <w:tcPr>
            <w:tcW w:type="dxa" w:w="20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b/>
                <w:bCs/>
                <w:color w:val="0F2137"/>
                <w:sz w:val="20"/>
                <w:szCs w:val="20"/>
              </w:rPr>
              <w:t xml:space="preserve">Attā</w:t>
            </w:r>
          </w:p>
        </w:tc>
        <w:tc>
          <w:tcPr>
            <w:tcW w:type="dxa" w:w="30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i/>
                <w:iCs/>
                <w:color w:val="1A1A1A"/>
                <w:sz w:val="20"/>
                <w:szCs w:val="20"/>
              </w:rPr>
              <w:t xml:space="preserve">Self</w:t>
            </w:r>
          </w:p>
        </w:tc>
        <w:tc>
          <w:tcPr>
            <w:tcW w:type="dxa" w:w="436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The company. Your intelligence belongs to you.</w:t>
            </w:r>
          </w:p>
        </w:tc>
      </w:tr>
      <w:tr>
        <w:tc>
          <w:tcPr>
            <w:tcW w:type="dxa" w:w="2000"/>
            <w:tcBorders>
              <w:top w:val="single" w:color="D0D0D0" w:sz="1"/>
              <w:left w:val="single" w:color="D0D0D0" w:sz="1"/>
              <w:bottom w:val="single" w:color="D0D0D0" w:sz="1"/>
              <w:right w:val="single" w:color="D0D0D0" w:sz="1"/>
            </w:tcBorders>
            <w:tcMar>
              <w:top w:type="dxa" w:w="100"/>
              <w:left w:type="dxa" w:w="160"/>
              <w:bottom w:type="dxa" w:w="100"/>
              <w:right w:type="dxa" w:w="160"/>
            </w:tcMar>
          </w:tcPr>
          <w:p>
            <w:r>
              <w:rPr>
                <w:rFonts w:ascii="Georgia" w:cs="Georgia" w:eastAsia="Georgia" w:hAnsi="Georgia"/>
                <w:b/>
                <w:bCs/>
                <w:color w:val="0F2137"/>
                <w:sz w:val="20"/>
                <w:szCs w:val="20"/>
              </w:rPr>
              <w:t xml:space="preserve">Vitakka</w:t>
            </w:r>
          </w:p>
        </w:tc>
        <w:tc>
          <w:tcPr>
            <w:tcW w:type="dxa" w:w="3000"/>
            <w:tcBorders>
              <w:top w:val="single" w:color="D0D0D0" w:sz="1"/>
              <w:left w:val="single" w:color="D0D0D0" w:sz="1"/>
              <w:bottom w:val="single" w:color="D0D0D0" w:sz="1"/>
              <w:right w:val="single" w:color="D0D0D0" w:sz="1"/>
            </w:tcBorders>
            <w:tcMar>
              <w:top w:type="dxa" w:w="100"/>
              <w:left w:type="dxa" w:w="160"/>
              <w:bottom w:type="dxa" w:w="100"/>
              <w:right w:type="dxa" w:w="160"/>
            </w:tcMar>
          </w:tcPr>
          <w:p>
            <w:r>
              <w:rPr>
                <w:rFonts w:ascii="Georgia" w:cs="Georgia" w:eastAsia="Georgia" w:hAnsi="Georgia"/>
                <w:i/>
                <w:iCs/>
                <w:color w:val="1A1A1A"/>
                <w:sz w:val="20"/>
                <w:szCs w:val="20"/>
              </w:rPr>
              <w:t xml:space="preserve">Directed thought</w:t>
            </w:r>
          </w:p>
        </w:tc>
        <w:tc>
          <w:tcPr>
            <w:tcW w:type="dxa" w:w="4360"/>
            <w:tcBorders>
              <w:top w:val="single" w:color="D0D0D0" w:sz="1"/>
              <w:left w:val="single" w:color="D0D0D0" w:sz="1"/>
              <w:bottom w:val="single" w:color="D0D0D0" w:sz="1"/>
              <w:right w:val="single" w:color="D0D0D0" w:sz="1"/>
            </w:tcBorders>
            <w:tcMar>
              <w:top w:type="dxa" w:w="100"/>
              <w:left w:type="dxa" w:w="160"/>
              <w:bottom w:type="dxa" w:w="100"/>
              <w:right w:type="dxa" w:w="160"/>
            </w:tcMar>
          </w:tcPr>
          <w:p>
            <w:r>
              <w:rPr>
                <w:rFonts w:ascii="Georgia" w:cs="Georgia" w:eastAsia="Georgia" w:hAnsi="Georgia"/>
                <w:color w:val="1A1A1A"/>
                <w:sz w:val="20"/>
                <w:szCs w:val="20"/>
              </w:rPr>
              <w:t xml:space="preserve">The act of pointing your mind at something. Opening a Focus is vitakka.</w:t>
            </w:r>
          </w:p>
        </w:tc>
      </w:tr>
      <w:tr>
        <w:tc>
          <w:tcPr>
            <w:tcW w:type="dxa" w:w="20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b/>
                <w:bCs/>
                <w:color w:val="0F2137"/>
                <w:sz w:val="20"/>
                <w:szCs w:val="20"/>
              </w:rPr>
              <w:t xml:space="preserve">Vāda</w:t>
            </w:r>
          </w:p>
        </w:tc>
        <w:tc>
          <w:tcPr>
            <w:tcW w:type="dxa" w:w="300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i/>
                <w:iCs/>
                <w:color w:val="1A1A1A"/>
                <w:sz w:val="20"/>
                <w:szCs w:val="20"/>
              </w:rPr>
              <w:t xml:space="preserve">Debate, discourse</w:t>
            </w:r>
          </w:p>
        </w:tc>
        <w:tc>
          <w:tcPr>
            <w:tcW w:type="dxa" w:w="4360"/>
            <w:tcBorders>
              <w:top w:val="single" w:color="D0D0D0" w:sz="1"/>
              <w:left w:val="single" w:color="D0D0D0" w:sz="1"/>
              <w:bottom w:val="single" w:color="D0D0D0" w:sz="1"/>
              <w:right w:val="single" w:color="D0D0D0" w:sz="1"/>
            </w:tcBorders>
            <w:shd w:fill="F7F5F0" w:val="clear"/>
            <w:tcMar>
              <w:top w:type="dxa" w:w="100"/>
              <w:left w:type="dxa" w:w="160"/>
              <w:bottom w:type="dxa" w:w="100"/>
              <w:right w:type="dxa" w:w="160"/>
            </w:tcMar>
          </w:tcPr>
          <w:p>
            <w:r>
              <w:rPr>
                <w:rFonts w:ascii="Georgia" w:cs="Georgia" w:eastAsia="Georgia" w:hAnsi="Georgia"/>
                <w:color w:val="1A1A1A"/>
                <w:sz w:val="20"/>
                <w:szCs w:val="20"/>
              </w:rPr>
              <w:t xml:space="preserve">Deliberating toward a conclusion. Structured argument that resolves.</w:t>
            </w:r>
          </w:p>
        </w:tc>
      </w:tr>
    </w:tbl>
    <w:p>
      <w:pPr>
        <w:spacing w:after="200"/>
      </w:pPr>
    </w:p>
    <w:p>
      <w:pPr>
        <w:spacing w:after="200" w:before="0" w:line="300"/>
        <w:jc w:val="left"/>
      </w:pPr>
      <w:r>
        <w:rPr>
          <w:rFonts w:ascii="Georgia" w:cs="Georgia" w:eastAsia="Georgia" w:hAnsi="Georgia"/>
          <w:color w:val="1A1A1A"/>
          <w:sz w:val="22"/>
          <w:szCs w:val="22"/>
        </w:rPr>
        <w:t xml:space="preserve">The names are a signal. If it has a Pāli name, Attā built it. If it does not, it plugs in.</w:t>
      </w:r>
    </w:p>
    <w:p>
      <w:pPr>
        <w:spacing w:after="200"/>
      </w:pPr>
    </w:p>
    <w:p>
      <w:pPr>
        <w:spacing w:after="80" w:before="400"/>
        <w:jc w:val="center"/>
      </w:pPr>
      <w:r>
        <w:rPr>
          <w:rFonts w:ascii="Georgia" w:cs="Georgia" w:eastAsia="Georgia" w:hAnsi="Georgia"/>
          <w:i/>
          <w:iCs/>
          <w:color w:val="C9973A"/>
          <w:sz w:val="18"/>
          <w:szCs w:val="18"/>
        </w:rPr>
        <w:t xml:space="preserve">— 07 —</w:t>
      </w:r>
    </w:p>
    <w:p>
      <w:pPr>
        <w:spacing w:after="300" w:before="40"/>
        <w:jc w:val="center"/>
      </w:pPr>
      <w:r>
        <w:rPr>
          <w:rFonts w:ascii="Georgia" w:cs="Georgia" w:eastAsia="Georgia" w:hAnsi="Georgia"/>
          <w:b/>
          <w:bCs/>
          <w:color w:val="0F2137"/>
          <w:sz w:val="28"/>
          <w:szCs w:val="28"/>
        </w:rPr>
        <w:t xml:space="preserve">How It All Fits Together</w:t>
      </w:r>
    </w:p>
    <w:p>
      <w:pPr>
        <w:spacing w:after="200" w:before="0" w:line="300"/>
        <w:jc w:val="left"/>
      </w:pPr>
      <w:r>
        <w:rPr>
          <w:rFonts w:ascii="Georgia" w:cs="Georgia" w:eastAsia="Georgia" w:hAnsi="Georgia"/>
          <w:color w:val="1A1A1A"/>
          <w:sz w:val="22"/>
          <w:szCs w:val="22"/>
        </w:rPr>
        <w:t xml:space="preserve">Imagine you are making a decision about your business.</w:t>
      </w:r>
    </w:p>
    <w:p>
      <w:pPr>
        <w:spacing w:after="60"/>
      </w:pPr>
    </w:p>
    <w:p>
      <w:pPr>
        <w:spacing w:after="200" w:before="60" w:line="300"/>
        <w:jc w:val="left"/>
      </w:pPr>
      <w:r>
        <w:rPr>
          <w:rFonts w:ascii="Georgia" w:cs="Georgia" w:eastAsia="Georgia" w:hAnsi="Georgia"/>
          <w:color w:val="1A1A1A"/>
          <w:sz w:val="22"/>
          <w:szCs w:val="22"/>
        </w:rPr>
        <w:t xml:space="preserve">You open Vitakka. You say what you are thinking about. Vitakka loads everything you have concluded before on this subject — across every AI, every session, every tool. You think with Claude, with Gemini, with whatever intelligence the question deserves.</w:t>
      </w:r>
    </w:p>
    <w:p>
      <w:pPr>
        <w:spacing w:after="200" w:before="60" w:line="300"/>
        <w:jc w:val="left"/>
      </w:pPr>
      <w:r>
        <w:rPr>
          <w:rFonts w:ascii="Georgia" w:cs="Georgia" w:eastAsia="Georgia" w:hAnsi="Georgia"/>
          <w:color w:val="1A1A1A"/>
          <w:sz w:val="22"/>
          <w:szCs w:val="22"/>
        </w:rPr>
        <w:t xml:space="preserve">The question gets complex. You want genuine adversarial pressure on a specific claim. Vitakka invokes Vāda — a structured deliberation with agents assigned to different perspectives. Three rounds. Blind critique. The conclusion that survives is one you can trust.</w:t>
      </w:r>
    </w:p>
    <w:p>
      <w:pPr>
        <w:spacing w:after="200" w:before="60" w:line="300"/>
        <w:jc w:val="left"/>
      </w:pPr>
      <w:r>
        <w:rPr>
          <w:rFonts w:ascii="Georgia" w:cs="Georgia" w:eastAsia="Georgia" w:hAnsi="Georgia"/>
          <w:color w:val="1A1A1A"/>
          <w:sz w:val="22"/>
          <w:szCs w:val="22"/>
        </w:rPr>
        <w:t xml:space="preserve">During the session, you need job market data — Herald is connected, and Vitakka calls it automatically. You need to check a location — Google Maps is connected. You need a visual — an image model is connected. You never leave.</w:t>
      </w:r>
    </w:p>
    <w:p>
      <w:pPr>
        <w:spacing w:after="200" w:before="60" w:line="300"/>
        <w:jc w:val="left"/>
      </w:pPr>
      <w:r>
        <w:rPr>
          <w:rFonts w:ascii="Georgia" w:cs="Georgia" w:eastAsia="Georgia" w:hAnsi="Georgia"/>
          <w:color w:val="1A1A1A"/>
          <w:sz w:val="22"/>
          <w:szCs w:val="22"/>
        </w:rPr>
        <w:t xml:space="preserve">You close the session. Vitakka proposes what you reached. You accept what is right. That conclusion is saved — available in every future session, across every AI, for as long as you need it.</w:t>
      </w:r>
    </w:p>
    <w:p>
      <w:pPr>
        <w:spacing w:after="100"/>
      </w:pPr>
    </w:p>
    <w:p>
      <w:pPr>
        <w:pBdr>
          <w:top w:val="single" w:color="C9973A" w:sz="1" w:space="8"/>
          <w:bottom w:val="single" w:color="C9973A" w:sz="1" w:space="8"/>
        </w:pBdr>
        <w:spacing w:after="200" w:before="200"/>
        <w:ind w:left="720" w:right="720"/>
        <w:jc w:val="center"/>
      </w:pPr>
      <w:r>
        <w:rPr>
          <w:rFonts w:ascii="Georgia" w:cs="Georgia" w:eastAsia="Georgia" w:hAnsi="Georgia"/>
          <w:i/>
          <w:iCs/>
          <w:color w:val="0F2137"/>
          <w:sz w:val="22"/>
          <w:szCs w:val="22"/>
        </w:rPr>
        <w:t xml:space="preserve">Vitakka is where you think. Vāda is where ideas are pressure-tested. Connected tools extend both. Attā is the house that holds it all — and the belief that your intelligence is yours.</w:t>
      </w:r>
    </w:p>
    <w:p>
      <w:pPr>
        <w:spacing w:after="200"/>
      </w:pPr>
    </w:p>
    <w:p>
      <w:r>
        <w:br w:type="page"/>
      </w:r>
    </w:p>
    <w:p>
      <w:pPr>
        <w:spacing w:after="80" w:before="400"/>
        <w:jc w:val="center"/>
      </w:pPr>
      <w:r>
        <w:rPr>
          <w:rFonts w:ascii="Georgia" w:cs="Georgia" w:eastAsia="Georgia" w:hAnsi="Georgia"/>
          <w:i/>
          <w:iCs/>
          <w:color w:val="C9973A"/>
          <w:sz w:val="18"/>
          <w:szCs w:val="18"/>
        </w:rPr>
        <w:t xml:space="preserve">— 08 —</w:t>
      </w:r>
    </w:p>
    <w:p>
      <w:pPr>
        <w:spacing w:after="300" w:before="40"/>
        <w:jc w:val="center"/>
      </w:pPr>
      <w:r>
        <w:rPr>
          <w:rFonts w:ascii="Georgia" w:cs="Georgia" w:eastAsia="Georgia" w:hAnsi="Georgia"/>
          <w:b/>
          <w:bCs/>
          <w:color w:val="0F2137"/>
          <w:sz w:val="28"/>
          <w:szCs w:val="28"/>
        </w:rPr>
        <w:t xml:space="preserve">In One Page</w:t>
      </w:r>
    </w:p>
    <w:p>
      <w:pPr>
        <w:spacing w:after="300" w:before="0" w:line="300"/>
        <w:jc w:val="left"/>
      </w:pPr>
      <w:r>
        <w:rPr>
          <w:rFonts w:ascii="Georgia" w:cs="Georgia" w:eastAsia="Georgia" w:hAnsi="Georgia"/>
          <w:b/>
          <w:bCs/>
          <w:color w:val="1A1A1A"/>
          <w:sz w:val="22"/>
          <w:szCs w:val="22"/>
        </w:rPr>
        <w:t xml:space="preserve">ATTĀ is a company building AI products for people who use multiple AI systems and want them working together instead of separately.</w:t>
      </w:r>
    </w:p>
    <w:p>
      <w:pPr>
        <w:spacing w:after="60" w:before="0" w:line="300"/>
        <w:jc w:val="left"/>
      </w:pPr>
      <w:r>
        <w:rPr>
          <w:rFonts w:ascii="Georgia" w:cs="Georgia" w:eastAsia="Georgia" w:hAnsi="Georgia"/>
          <w:b/>
          <w:bCs/>
          <w:color w:val="C9973A"/>
          <w:sz w:val="22"/>
          <w:szCs w:val="22"/>
        </w:rPr>
        <w:t xml:space="preserve">THE ECOSYSTEM</w:t>
      </w:r>
    </w:p>
    <w:p>
      <w:pPr>
        <w:spacing w:after="300" w:before="0" w:line="300"/>
        <w:jc w:val="left"/>
      </w:pPr>
      <w:r>
        <w:rPr>
          <w:rFonts w:ascii="Georgia" w:cs="Georgia" w:eastAsia="Georgia" w:hAnsi="Georgia"/>
          <w:color w:val="1A1A1A"/>
          <w:sz w:val="22"/>
          <w:szCs w:val="22"/>
        </w:rPr>
        <w:t xml:space="preserve">Two core products with Pāli names. A growing set of connected tools through the open MCP standard. One shared memory layer. One design language. One philosophy: your intelligence, unified.</w:t>
      </w:r>
    </w:p>
    <w:p>
      <w:pPr>
        <w:spacing w:after="60" w:before="0" w:line="300"/>
        <w:jc w:val="left"/>
      </w:pPr>
      <w:r>
        <w:rPr>
          <w:rFonts w:ascii="Georgia" w:cs="Georgia" w:eastAsia="Georgia" w:hAnsi="Georgia"/>
          <w:b/>
          <w:bCs/>
          <w:color w:val="C9973A"/>
          <w:sz w:val="22"/>
          <w:szCs w:val="22"/>
        </w:rPr>
        <w:t xml:space="preserve">VITAKKA — vitakka.ai</w:t>
      </w:r>
    </w:p>
    <w:p>
      <w:pPr>
        <w:spacing w:after="300" w:before="0" w:line="300"/>
        <w:jc w:val="left"/>
      </w:pPr>
      <w:r>
        <w:rPr>
          <w:rFonts w:ascii="Georgia" w:cs="Georgia" w:eastAsia="Georgia" w:hAnsi="Georgia"/>
          <w:color w:val="1A1A1A"/>
          <w:sz w:val="22"/>
          <w:szCs w:val="22"/>
        </w:rPr>
        <w:t xml:space="preserve">Personal AI thinking partner. One space where all your AI systems work together — Claude, Gemini, DeepSeek, image models, any connected tool. Cross-AI memory. Multi-model debate. Explicit conclusion acceptance. All your AI. One conversation.</w:t>
      </w:r>
    </w:p>
    <w:p>
      <w:pPr>
        <w:spacing w:after="60" w:before="0" w:line="300"/>
        <w:jc w:val="left"/>
      </w:pPr>
      <w:r>
        <w:rPr>
          <w:rFonts w:ascii="Georgia" w:cs="Georgia" w:eastAsia="Georgia" w:hAnsi="Georgia"/>
          <w:b/>
          <w:bCs/>
          <w:color w:val="C9973A"/>
          <w:sz w:val="22"/>
          <w:szCs w:val="22"/>
        </w:rPr>
        <w:t xml:space="preserve">VĀDA — vada.ai</w:t>
      </w:r>
    </w:p>
    <w:p>
      <w:pPr>
        <w:spacing w:after="300" w:before="0" w:line="300"/>
        <w:jc w:val="left"/>
      </w:pPr>
      <w:r>
        <w:rPr>
          <w:rFonts w:ascii="Georgia" w:cs="Georgia" w:eastAsia="Georgia" w:hAnsi="Georgia"/>
          <w:color w:val="1A1A1A"/>
          <w:sz w:val="22"/>
          <w:szCs w:val="22"/>
        </w:rPr>
        <w:t xml:space="preserve">Standalone deliberation engine. Bring a question. Select agents by domain and role. Watch them deliberate in structured rounds. Receive a conclusion — including what remained unresolved. Conclusions are stateful, versioned, and auditable.</w:t>
      </w:r>
    </w:p>
    <w:p>
      <w:pPr>
        <w:spacing w:after="60" w:before="0" w:line="300"/>
        <w:jc w:val="left"/>
      </w:pPr>
      <w:r>
        <w:rPr>
          <w:rFonts w:ascii="Georgia" w:cs="Georgia" w:eastAsia="Georgia" w:hAnsi="Georgia"/>
          <w:b/>
          <w:bCs/>
          <w:color w:val="C9973A"/>
          <w:sz w:val="22"/>
          <w:szCs w:val="22"/>
        </w:rPr>
        <w:t xml:space="preserve">CONNECTED TOOLS</w:t>
      </w:r>
    </w:p>
    <w:p>
      <w:pPr>
        <w:spacing w:after="300" w:before="0" w:line="300"/>
        <w:jc w:val="left"/>
      </w:pPr>
      <w:r>
        <w:rPr>
          <w:rFonts w:ascii="Georgia" w:cs="Georgia" w:eastAsia="Georgia" w:hAnsi="Georgia"/>
          <w:color w:val="1A1A1A"/>
          <w:sz w:val="22"/>
          <w:szCs w:val="22"/>
        </w:rPr>
        <w:t xml:space="preserve">Herald, Google Maps, image models, GitHub, and any MCP-compatible service plug into either product. They are not Attā products — they extend it. If it has a Pāli name, Attā built it. If it does not, it plugs in.</w:t>
      </w:r>
    </w:p>
    <w:p>
      <w:pPr>
        <w:spacing w:after="60" w:before="0" w:line="300"/>
        <w:jc w:val="left"/>
      </w:pPr>
      <w:r>
        <w:rPr>
          <w:rFonts w:ascii="Georgia" w:cs="Georgia" w:eastAsia="Georgia" w:hAnsi="Georgia"/>
          <w:b/>
          <w:bCs/>
          <w:color w:val="C9973A"/>
          <w:sz w:val="22"/>
          <w:szCs w:val="22"/>
        </w:rPr>
        <w:t xml:space="preserve">THE NAMING</w:t>
      </w:r>
    </w:p>
    <w:p>
      <w:pPr>
        <w:spacing w:after="300" w:before="0" w:line="300"/>
        <w:jc w:val="left"/>
      </w:pPr>
      <w:r>
        <w:rPr>
          <w:rFonts w:ascii="Georgia" w:cs="Georgia" w:eastAsia="Georgia" w:hAnsi="Georgia"/>
          <w:color w:val="1A1A1A"/>
          <w:sz w:val="22"/>
          <w:szCs w:val="22"/>
        </w:rPr>
        <w:t xml:space="preserve">Attā — Self. Vitakka — Directed Thought. Vāda — Debate. Every name means exactly what the product does, drawn from the same Buddhist philosophical tradition. This is not branding decoration. It is a coherent worldview.</w:t>
      </w:r>
    </w:p>
    <w:p>
      <w:pPr>
        <w:spacing w:after="60" w:before="0" w:line="300"/>
        <w:jc w:val="left"/>
      </w:pPr>
      <w:r>
        <w:rPr>
          <w:rFonts w:ascii="Georgia" w:cs="Georgia" w:eastAsia="Georgia" w:hAnsi="Georgia"/>
          <w:b/>
          <w:bCs/>
          <w:color w:val="C9973A"/>
          <w:sz w:val="22"/>
          <w:szCs w:val="22"/>
        </w:rPr>
        <w:t xml:space="preserve">WHERE IT IS NOW</w:t>
      </w:r>
    </w:p>
    <w:p>
      <w:pPr>
        <w:spacing w:after="400" w:before="0" w:line="300"/>
        <w:jc w:val="left"/>
      </w:pPr>
      <w:r>
        <w:rPr>
          <w:rFonts w:ascii="Georgia" w:cs="Georgia" w:eastAsia="Georgia" w:hAnsi="Georgia"/>
          <w:color w:val="1A1A1A"/>
          <w:sz w:val="22"/>
          <w:szCs w:val="22"/>
        </w:rPr>
        <w:t xml:space="preserve">Vitakka is in active development with a complete technical specification. Vāda has a complete product vision and architecture. The build begins now.</w:t>
      </w:r>
    </w:p>
    <w:p>
      <w:pPr>
        <w:pBdr>
          <w:top w:val="single" w:color="C9973A" w:sz="1" w:space="12"/>
        </w:pBdr>
        <w:spacing w:before="200"/>
        <w:jc w:val="center"/>
      </w:pPr>
    </w:p>
    <w:p>
      <w:pPr>
        <w:spacing w:after="40"/>
        <w:jc w:val="center"/>
      </w:pPr>
      <w:r>
        <w:rPr>
          <w:rFonts w:ascii="Georgia" w:cs="Georgia" w:eastAsia="Georgia" w:hAnsi="Georgia"/>
          <w:b/>
          <w:bCs/>
          <w:i/>
          <w:iCs/>
          <w:color w:val="0F2137"/>
          <w:sz w:val="24"/>
          <w:szCs w:val="24"/>
        </w:rPr>
        <w:t xml:space="preserve">Your intelligence, unified.</w:t>
      </w:r>
    </w:p>
    <w:p>
      <w:pPr>
        <w:spacing w:after="60"/>
        <w:jc w:val="center"/>
      </w:pPr>
      <w:r>
        <w:rPr>
          <w:rFonts w:ascii="Georgia" w:cs="Georgia" w:eastAsia="Georgia" w:hAnsi="Georgia"/>
          <w:color w:val="C9973A"/>
          <w:sz w:val="20"/>
          <w:szCs w:val="20"/>
        </w:rPr>
        <w:t xml:space="preserve">Attā · atta.ai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C9973A"/>
        <w:sz w:val="16"/>
        <w:szCs w:val="16"/>
      </w:rPr>
      <w:t xml:space="preserve">atta.ai</w:t>
    </w:r>
    <w:r>
      <w:rPr>
        <w:rFonts w:ascii="Georgia" w:cs="Georgia" w:eastAsia="Georgia" w:hAnsi="Georgia"/>
        <w:color w:val="5A5A5A"/>
        <w:sz w:val="16"/>
        <w:szCs w:val="16"/>
      </w:rPr>
      <w:t xml:space="preserve">  ·  </w:t>
    </w:r>
    <w:r>
      <w:rPr>
        <w:rFonts w:ascii="Georgia" w:cs="Georgia" w:eastAsia="Georgia" w:hAnsi="Georgia"/>
        <w:color w:val="5A5A5A"/>
        <w:sz w:val="16"/>
        <w:szCs w:val="16"/>
      </w:rPr>
      <w:t xml:space="preserve">Page </w:t>
    </w:r>
    <w:r>
      <w:rPr>
        <w:rFonts w:ascii="Georgia" w:cs="Georgia" w:eastAsia="Georgia" w:hAnsi="Georgia"/>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bCs/>
        <w:color w:val="0F2137"/>
        <w:sz w:val="16"/>
        <w:szCs w:val="16"/>
      </w:rPr>
      <w:t xml:space="preserve">ATTĀ · </w:t>
    </w:r>
    <w:r>
      <w:rPr>
        <w:rFonts w:ascii="Georgia" w:cs="Georgia" w:eastAsia="Georgia" w:hAnsi="Georgia"/>
        <w:i/>
        <w:iCs/>
        <w:color w:val="5A5A5A"/>
        <w:sz w:val="16"/>
        <w:szCs w:val="16"/>
      </w:rPr>
      <w:t xml:space="preserve">Your intelligence, unified.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color w:val="0F2137"/>
      <w:sz w:val="36"/>
      <w:szCs w:val="36"/>
    </w:rPr>
  </w:style>
  <w:style w:type="paragraph" w:styleId="Heading2">
    <w:name w:val="Heading 2"/>
    <w:basedOn w:val="Normal"/>
    <w:next w:val="Normal"/>
    <w:qFormat/>
    <w:pPr>
      <w:spacing w:after="180" w:before="180"/>
      <w:outlineLvl w:val="1"/>
    </w:pPr>
    <w:rPr>
      <w:rFonts w:ascii="Georgia" w:cs="Georgia" w:eastAsia="Georgia" w:hAnsi="Georgia"/>
      <w:b/>
      <w:bCs/>
      <w:color w:val="0F21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2026-04-05T02:50:56.052Z</dcterms:created>
  <dcterms:modified xsi:type="dcterms:W3CDTF">2026-04-05T02:50:56.053Z</dcterms:modified>
</cp:coreProperties>
</file>

<file path=docProps/custom.xml><?xml version="1.0" encoding="utf-8"?>
<Properties xmlns="http://schemas.openxmlformats.org/officeDocument/2006/custom-properties" xmlns:vt="http://schemas.openxmlformats.org/officeDocument/2006/docPropsVTypes"/>
</file>