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Heading1"/>
        <w:rPr>
          <w:rFonts w:cs="" w:asciiTheme="minorBidi" w:cstheme="minorBidi" w:hAnsiTheme="minorBidi"/>
          <w:sz w:val="56"/>
          <w:szCs w:val="56"/>
          <w:lang w:eastAsia="en-US"/>
        </w:rPr>
      </w:pPr>
      <w:r>
        <w:rPr>
          <w:rFonts w:cs="" w:asciiTheme="minorBidi" w:cstheme="minorBidi" w:hAnsiTheme="minorBidi"/>
          <w:sz w:val="56"/>
          <w:szCs w:val="56"/>
          <w:lang w:eastAsia="en-US"/>
        </w:rPr>
        <w:t>Fiche Fonctionnel : </w:t>
        <w:br/>
      </w:r>
      <w:r>
        <w:rPr>
          <w:rFonts w:cs="" w:asciiTheme="minorBidi" w:cstheme="minorBidi" w:hAnsiTheme="minorBidi"/>
          <w:sz w:val="56"/>
          <w:szCs w:val="56"/>
          <w:lang w:eastAsia="en-US"/>
        </w:rPr>
        <w:t>G</w:t>
      </w:r>
      <w:r>
        <w:rPr>
          <w:rFonts w:cs="" w:asciiTheme="minorBidi" w:cstheme="minorBidi" w:hAnsiTheme="minorBidi"/>
          <w:sz w:val="56"/>
          <w:szCs w:val="56"/>
          <w:lang w:eastAsia="en-US"/>
        </w:rPr>
        <w:t>estion des assurances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Editions et versions</w:t>
      </w:r>
    </w:p>
    <w:tbl>
      <w:tblPr>
        <w:tblStyle w:val="a"/>
        <w:tblW w:w="99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"/>
        <w:gridCol w:w="1300"/>
        <w:gridCol w:w="1425"/>
        <w:gridCol w:w="62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Version</w:t>
            </w:r>
          </w:p>
        </w:tc>
        <w:tc>
          <w:tcPr>
            <w:tcW w:w="13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Auteur</w:t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Notes</w:t>
            </w:r>
          </w:p>
        </w:tc>
      </w:tr>
      <w:tr>
        <w:trPr/>
        <w:tc>
          <w:tcPr>
            <w:tcW w:w="9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  <w:t>1.0.0</w:t>
            </w:r>
          </w:p>
        </w:tc>
        <w:tc>
          <w:tcPr>
            <w:tcW w:w="13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11/10/2022</w:t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Mohamed Attache</w:t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Draft</w:t>
            </w:r>
          </w:p>
        </w:tc>
      </w:tr>
      <w:tr>
        <w:trPr/>
        <w:tc>
          <w:tcPr>
            <w:tcW w:w="9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3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3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3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3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3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3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3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3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Objectif principal :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L’assurance maladie est un type de couverture d’assurance qui couvre le coût des frais médicaux et chirurgicaux d’une personne assurée. C'est un contrat entre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'assuré et votre compagnie d'assurance. Vous souscrivez un plan ou une police et la compagnie accepte de payer une partie de vos dépenses lorsque vous avez besoin de soins médicaux.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Fonctionnalités :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Renseigner les information patient</w:t>
      </w:r>
    </w:p>
    <w:p>
      <w:pPr>
        <w:pStyle w:val="Normal"/>
        <w:numPr>
          <w:ilvl w:val="0"/>
          <w:numId w:val="2"/>
        </w:numPr>
        <w:spacing w:lineRule="auto" w:line="276" w:before="0" w:after="0"/>
        <w:rPr/>
      </w:pPr>
      <w:r>
        <w:rPr/>
        <w:t>Création des rapports de la sortie du patient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Affectation des médecins au admission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Affectation des patients aux chambres et aux lits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bookmarkStart w:id="0" w:name="_heading=h.gjdgxs"/>
      <w:bookmarkEnd w:id="0"/>
      <w:r>
        <w:rPr>
          <w:rFonts w:cs="Arial" w:ascii="Arial" w:hAnsi="Arial"/>
        </w:rPr>
        <w:t>Liste des dépendances / liens :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>
          <w:rFonts w:eastAsia="Arial" w:cs="Arial" w:ascii="Arial" w:hAnsi="Arial"/>
          <w:color w:val="000000"/>
          <w:sz w:val="20"/>
          <w:szCs w:val="20"/>
          <w:highlight w:val="white"/>
        </w:rPr>
        <w:t>Patient -&gt; données démographiques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/>
        <w:t>Gestion des ressources -&gt; humaines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/>
        <w:t>Hôtellerie -&gt; plan d’occupations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Utilisateurs du système (acteurs) 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/>
      </w:pPr>
      <w:r>
        <w:rPr>
          <w:rFonts w:ascii="Calibri-Bold" w:hAnsi="Calibri-Bold"/>
          <w:b/>
          <w:sz w:val="24"/>
        </w:rPr>
        <w:t>Médecin</w:t>
      </w:r>
      <w:r>
        <w:rPr>
          <w:sz w:val="24"/>
        </w:rPr>
        <w:t>: Le médecin fournit des soins continus au patient pendant qu'il est à l'hôpital ou en milieu ambulatoire. Ils gèrent et traitent divers problèmes de santé, allant de blessures mineures à la santé mentale, en passant par les soins palliatifs à la chirurgie.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>
          <w:rFonts w:ascii="Arial" w:hAnsi="Arial" w:cs="Arial"/>
        </w:rPr>
      </w:pPr>
      <w:r>
        <w:rPr>
          <w:rFonts w:ascii="Calibri-Bold" w:hAnsi="Calibri-Bold"/>
          <w:b/>
          <w:sz w:val="24"/>
        </w:rPr>
        <w:t>Agent d'accueil</w:t>
      </w:r>
      <w:r>
        <w:rPr>
          <w:sz w:val="24"/>
        </w:rPr>
        <w:t>: reçoit, identifie et oriente les visiteurs, les clients, les prestataires, les communications téléphoniques et les courriers.</w:t>
      </w:r>
      <w:r>
        <w:rPr/>
        <w:tab/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MODÈLE DE CAS D’UTILISATION: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Diagramme de cas d’utilisation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/>
        <w:drawing>
          <wp:inline distT="0" distB="0" distL="0" distR="0">
            <wp:extent cx="5760720" cy="444627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DIAGRAMME DE SÉQUENCE SYSTÈME: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Scénario du cas créer un admission: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ind w:left="720" w:hanging="0"/>
        <w:rPr>
          <w:color w:val="2F5496"/>
          <w:sz w:val="32"/>
          <w:szCs w:val="32"/>
        </w:rPr>
      </w:pPr>
      <w:r>
        <w:rPr/>
        <w:drawing>
          <wp:inline distT="0" distB="0" distL="0" distR="0">
            <wp:extent cx="5760720" cy="793623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Scénario du cas affecter un patient au chambre et au lit: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483743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2F5496"/>
          <w:sz w:val="32"/>
          <w:szCs w:val="32"/>
        </w:rPr>
        <w:t>Scénario du cas supprimer un admission:</w:t>
      </w:r>
    </w:p>
    <w:p>
      <w:pPr>
        <w:pStyle w:val="Normal"/>
        <w:numPr>
          <w:ilvl w:val="0"/>
          <w:numId w:val="0"/>
        </w:numPr>
        <w:ind w:left="1440" w:hanging="0"/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32867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Scénario du cas clôturer un admission :</w:t>
      </w:r>
    </w:p>
    <w:p>
      <w:pPr>
        <w:pStyle w:val="Normal"/>
        <w:numPr>
          <w:ilvl w:val="0"/>
          <w:numId w:val="0"/>
        </w:numPr>
        <w:ind w:left="1440" w:hanging="0"/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5220" cy="328803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Prescrire la sortie vers le domicile :</w:t>
      </w:r>
    </w:p>
    <w:p>
      <w:pPr>
        <w:pStyle w:val="Normal"/>
        <w:numPr>
          <w:ilvl w:val="0"/>
          <w:numId w:val="0"/>
        </w:numPr>
        <w:ind w:left="1440" w:hanging="0"/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</w:r>
    </w:p>
    <w:p>
      <w:pPr>
        <w:pStyle w:val="Normal"/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442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</w:r>
    </w:p>
    <w:p>
      <w:pPr>
        <w:pStyle w:val="Normal"/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</w:r>
    </w:p>
    <w:p>
      <w:pPr>
        <w:pStyle w:val="Normal"/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</w:r>
    </w:p>
    <w:p>
      <w:pPr>
        <w:pStyle w:val="Normal"/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MODÈLE DU DOMAINE: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93751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ind w:left="1440" w:hanging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1906" w:h="16838"/>
      <w:pgMar w:left="1417" w:right="1417" w:gutter="0" w:header="680" w:top="1417" w:footer="708" w:bottom="1417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Calibri">
    <w:altName w:val="sans-serif"/>
    <w:charset w:val="00"/>
    <w:family w:val="roman"/>
    <w:pitch w:val="variable"/>
  </w:font>
  <w:font w:name="Calibri-Bold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10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1"/>
      <w:tblW w:w="7503" w:type="dxa"/>
      <w:jc w:val="left"/>
      <w:tblInd w:w="2695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971"/>
      <w:gridCol w:w="4531"/>
    </w:tblGrid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left" w:pos="915" w:leader="none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Auteur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Mohamed Attache</w:t>
          </w:r>
        </w:p>
      </w:tc>
    </w:tr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Date de création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11/10/2022</w:t>
          </w:r>
        </w:p>
      </w:tc>
    </w:tr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Version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1</w:t>
          </w:r>
          <w:r>
            <w:rPr>
              <w:color w:val="000000"/>
              <w:u w:val="single"/>
            </w:rPr>
            <w:t>.0.0</w:t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u w:val="single"/>
      </w:rPr>
    </w:pPr>
    <w:r>
      <w:rPr>
        <w:color w:val="000000"/>
        <w:u w:val="single"/>
      </w:rPr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u w:val="single"/>
      </w:rPr>
    </w:pPr>
    <w:r>
      <w:rPr>
        <w:color w:val="000000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0"/>
      <w:tblW w:w="9072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35"/>
      <w:gridCol w:w="850"/>
      <w:gridCol w:w="5387"/>
    </w:tblGrid>
    <w:tr>
      <w:trPr/>
      <w:tc>
        <w:tcPr>
          <w:tcW w:w="2835" w:type="dxa"/>
          <w:tcBorders/>
        </w:tcPr>
        <w:p>
          <w:pPr>
            <w:pStyle w:val="Heading1"/>
            <w:widowControl w:val="false"/>
            <w:tabs>
              <w:tab w:val="clear" w:pos="720"/>
              <w:tab w:val="left" w:pos="7371" w:leader="none"/>
            </w:tabs>
            <w:spacing w:before="240" w:after="0"/>
            <w:rPr>
              <w:sz w:val="36"/>
              <w:szCs w:val="36"/>
            </w:rPr>
          </w:pPr>
          <w:r>
            <w:rPr/>
            <w:drawing>
              <wp:inline distT="0" distB="0" distL="0" distR="0">
                <wp:extent cx="1235710" cy="445135"/>
                <wp:effectExtent l="0" t="0" r="0" b="0"/>
                <wp:docPr id="8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710" cy="445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5387" w:type="dxa"/>
          <w:tcBorders/>
        </w:tcPr>
        <w:p>
          <w:pPr>
            <w:pStyle w:val="Heading1"/>
            <w:widowControl w:val="false"/>
            <w:spacing w:before="240" w:after="0"/>
            <w:jc w:val="right"/>
            <w:rPr>
              <w:sz w:val="40"/>
              <w:szCs w:val="40"/>
            </w:rPr>
          </w:pPr>
          <w:r>
            <w:rPr>
              <w:sz w:val="40"/>
              <w:szCs w:val="40"/>
            </w:rPr>
            <w:t>Admission</w:t>
          </w:r>
        </w:p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1466215</wp:posOffset>
          </wp:positionH>
          <wp:positionV relativeFrom="paragraph">
            <wp:posOffset>-211455</wp:posOffset>
          </wp:positionV>
          <wp:extent cx="2828925" cy="1019175"/>
          <wp:effectExtent l="0" t="0" r="0" b="0"/>
          <wp:wrapTopAndBottom/>
          <wp:docPr id="9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40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fr-M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7f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fr-MA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ee07f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ee07f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ee07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fr-FR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ee07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fr-FR"/>
    </w:rPr>
  </w:style>
  <w:style w:type="character" w:styleId="EntteCar" w:customStyle="1">
    <w:name w:val="En-tête Car"/>
    <w:basedOn w:val="DefaultParagraphFont"/>
    <w:link w:val="Header"/>
    <w:uiPriority w:val="99"/>
    <w:qFormat/>
    <w:rsid w:val="00ee07fa"/>
    <w:rPr>
      <w:lang w:val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ee07fa"/>
    <w:rPr>
      <w:lang w:val="fr-F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ee07f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ee07f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52d67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ee07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">
    <w:name w:val="Grid Table 1 Light"/>
    <w:basedOn w:val="TableauNormal"/>
    <w:uiPriority w:val="46"/>
    <w:rsid w:val="00ee07f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u9/hdLfZvukm6YPFgS/Ma+0mwYw==">AMUW2mVMB8bbnR7qCIQToIcitx1RP33as2sUd0TjJi9TPK3gEcVUh+QxWwIEglbV0GXs46a/97nEwN2ARPk/U1dCSxTBqJrl4TA70pFZwyT/V9PhjUupeUDjlxPnhV0N0sJHgbmDLZ2a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Application>LibreOffice/7.4.0.3$Windows_X86_64 LibreOffice_project/f85e47c08ddd19c015c0114a68350214f7066f5a</Application>
  <AppVersion>15.0000</AppVersion>
  <Pages>10</Pages>
  <Words>270</Words>
  <Characters>1452</Characters>
  <CharactersWithSpaces>1663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2022-10-05T09:42:00Z</dcterms:created>
  <dc:creator>LAFHILI FADWA</dc:creator>
  <dc:description/>
  <dc:language>en-US</dc:language>
  <cp:lastModifiedBy/>
  <dcterms:modified xsi:type="dcterms:W3CDTF">2022-10-19T17:29:12Z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