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ผังกระบวนการทำงานและการบริหารงบประมาณ (e-Office สู่ระบบ SMART ERPG)</w:t>
      </w:r>
    </w:p>
    <w:p>
      <w:pPr>
        <w:jc w:val="center"/>
      </w:pPr>
      <w:r>
        <w:rPr>
          <w:b/>
          <w:bCs/>
          <w:sz w:val="32"/>
          <w:szCs w:val="32"/>
        </w:rPr>
        <w:t xml:space="preserve">วิทยาลัยชุมชนหนองบัวลำภู ประจำปีงบประมาณ พ.ศ. 2570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(อ้างอิง: หนังสือสถาบันวิทยาลัยชุมชน ด่วนที่สุด ที่ อว 0610(4)/6262 และ อว 0610(4)/6287 ลงวันที่ 8 ตุลาคม 2569)</w:t>
      </w:r>
    </w:p>
    <w:p>
      <w:pPr>
        <w:spacing w:after="100" w:before="100"/>
      </w:pPr>
      <w:r>
        <w:rPr>
          <w:b/>
          <w:bCs/>
          <w:color w:val="C00000"/>
        </w:rPr>
        <w:t xml:space="preserve">ข้อบังคับสำคัญสูงสุด (ตามหนังสือสั่งการสถาบันวิทยาลัยชุมชน):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ต้องผูกพันงบประมาณในระบบ ERP ก่อนจัดกิจกรรมเสมอ: </w:t>
      </w:r>
      <w:r>
        <w:t xml:space="preserve">โครงการ/กิจกรรมใดมิได้บันทึกขอผูกพันงบประมาณในระบบ ERP ให้เรียบร้อย จะไม่ได้รับอนุมัติให้ดำเนินกิจกรรมและไม่สามารถเบิกจ่ายเงินได้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ห้ามถัวจ่ายข้ามรายการโดยพลการ: </w:t>
      </w:r>
      <w:r>
        <w:t xml:space="preserve">หากงบประมาณรายการใดไม่พอ ต้องขออนุมัติโอนเปลี่ยนแปลงงบประมาณไปยังสถาบันฯ ทุกวันพฤหัสบดี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งบลงทุน (ค่าครุภัณฑ์): </w:t>
      </w:r>
      <w:r>
        <w:t xml:space="preserve">ต้องก่อหนี้ผูกพัน (PO) ให้แล้วเสร็จภายในไตรมาสที่ 2 (มิถุนายน 2570)</w:t>
      </w:r>
    </w:p>
    <w:p>
      <w:pPr>
        <w:spacing w:after="100" w:before="150"/>
      </w:pPr>
      <w:r>
        <w:rPr>
          <w:b/>
          <w:bCs/>
          <w:sz w:val="32"/>
          <w:szCs w:val="32"/>
        </w:rPr>
        <w:t xml:space="preserve">ตารางขั้นตอนการปฏิบัติงาน 10 ขั้นตอน (Workflow)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0284C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ลำดับ</w:t>
            </w:r>
          </w:p>
        </w:tc>
        <w:tc>
          <w:tcPr>
            <w:tcW w:type="dxa" w:w="2800"/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ขั้นตอนการทำงาน</w:t>
            </w:r>
          </w:p>
        </w:tc>
        <w:tc>
          <w:tcPr>
            <w:tcW w:type="dxa" w:w="1800"/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ผู้รับผิดชอบ</w:t>
            </w:r>
          </w:p>
        </w:tc>
        <w:tc>
          <w:tcPr>
            <w:tcW w:type="dxa" w:w="1800"/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ระบบที่ใช้</w:t>
            </w:r>
          </w:p>
        </w:tc>
        <w:tc>
          <w:tcPr>
            <w:tcW w:type="dxa" w:w="4000"/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รายละเอียดการปฏิบัติงาน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/>
                <w:bCs/>
              </w:rPr>
              <w:t xml:space="preserve">ผู้ขอยืม / ขอเบิก ทำเอกสารผ่านตามลำดับขั้น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ผู้ขอยืม / ขอเบิก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000000"/>
              </w:rPr>
              <w:t xml:space="preserve">เอกสาร (กระดาษ)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จัดทำบันทึกข้อความขออนุมัติโครงการ/กิจกรรม พร้อมประมาณการค่าใช้จ่าย เสนอผ่านหัวหน้างาน/รอง ผอ. ตามสายงาน</w:t>
            </w:r>
          </w:p>
        </w:tc>
      </w:tr>
      <w:tr>
        <w:tc>
          <w:tcPr>
            <w:tcW w:type="dxa" w:w="800"/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b/>
                <w:bCs/>
              </w:rPr>
              <w:t xml:space="preserve">ผ่านการตรวจโดยงานการเงิน</w:t>
            </w:r>
          </w:p>
        </w:tc>
        <w:tc>
          <w:tcPr>
            <w:tcW w:type="dxa" w:w="1800"/>
            <w:shd w:fill="F8FAFC" w:val="clear"/>
          </w:tcPr>
          <w:p>
            <w:r>
              <w:t xml:space="preserve">เจ้าหน้าที่การเงิน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color w:val="000000"/>
              </w:rPr>
              <w:t xml:space="preserve">เอกสาร (กระดาษ)</w:t>
            </w:r>
          </w:p>
        </w:tc>
        <w:tc>
          <w:tcPr>
            <w:tcW w:type="dxa" w:w="4000"/>
            <w:shd w:fill="F8FAFC" w:val="clear"/>
          </w:tcPr>
          <w:p>
            <w:r>
              <w:t xml:space="preserve">ตรวจสอบประเภทค่าใช้จ่ายและอัตราตามระเบียบราชการ (ค่าตอบแทน, เบี้ยเลี้ยง, ที่พัก, วัสดุ ฯลฯ) ให้ถูกต้อง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/>
                <w:bCs/>
              </w:rPr>
              <w:t xml:space="preserve">ผ่านงานแผนงานฯ ส่งกลับผู้ขอเบิก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เจ้าหน้าที่งานแผน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000000"/>
              </w:rPr>
              <w:t xml:space="preserve">เอกสาร + ทะเบียนคุม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ตรวจสอบความสอดคล้องกับแผนปฏิบัติราชการ แหล่งเงิน ผลผลิต โครงการ รหัสกิจกรรมย่อย และยอดเงินงบประมาณคงเหลือจริง จากนั้นส่งคืนเอกสารให้ผู้ขอเบิก</w:t>
            </w:r>
          </w:p>
        </w:tc>
      </w:tr>
      <w:tr>
        <w:tc>
          <w:tcPr>
            <w:tcW w:type="dxa" w:w="800"/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b/>
                <w:bCs/>
              </w:rPr>
              <w:t xml:space="preserve">อัปโหลดลงระบบสารบรรณ e-Office</w:t>
            </w:r>
          </w:p>
        </w:tc>
        <w:tc>
          <w:tcPr>
            <w:tcW w:type="dxa" w:w="1800"/>
            <w:shd w:fill="F8FAFC" w:val="clear"/>
          </w:tcPr>
          <w:p>
            <w:r>
              <w:t xml:space="preserve">ผู้ขอยืม / ขอเบิก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color w:val="000000"/>
              </w:rPr>
              <w:t xml:space="preserve">ระบบ e-Office</w:t>
            </w:r>
          </w:p>
        </w:tc>
        <w:tc>
          <w:tcPr>
            <w:tcW w:type="dxa" w:w="4000"/>
            <w:shd w:fill="F8FAFC" w:val="clear"/>
          </w:tcPr>
          <w:p>
            <w:r>
              <w:t xml:space="preserve">นำเอกสารฉบับจริงที่ผ่านการลงนามตรวจสอบจากการเงินและงานแผนแล้ว สแกนอัปโหลดเข้าสู่ระบบ e-Office เพื่อเสนอ ผอ.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/>
                <w:bCs/>
              </w:rPr>
              <w:t xml:space="preserve">ผู้อำนวยการอนุมัติ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ผอ. วชช.หนองบัวลำภู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000000"/>
              </w:rPr>
              <w:t xml:space="preserve">ระบบ e-Office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ผู้อำนวยการพิจารณาลงนามและอนุมัติโครงการ/การขอใช้จ่ายงบประมาณในระบบ e-Office</w:t>
            </w:r>
          </w:p>
        </w:tc>
      </w:tr>
      <w:tr>
        <w:tc>
          <w:tcPr>
            <w:tcW w:type="dxa" w:w="800"/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b/>
                <w:bCs/>
              </w:rPr>
              <w:t xml:space="preserve">การเงินส่งกลับผู้ขอยืม / ขอเบิก</w:t>
            </w:r>
          </w:p>
        </w:tc>
        <w:tc>
          <w:tcPr>
            <w:tcW w:type="dxa" w:w="1800"/>
            <w:shd w:fill="F8FAFC" w:val="clear"/>
          </w:tcPr>
          <w:p>
            <w:r>
              <w:t xml:space="preserve">เจ้าหน้าที่การเงิน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color w:val="000000"/>
              </w:rPr>
              <w:t xml:space="preserve">ระบบ e-Office</w:t>
            </w:r>
          </w:p>
        </w:tc>
        <w:tc>
          <w:tcPr>
            <w:tcW w:type="dxa" w:w="4000"/>
            <w:shd w:fill="F8FAFC" w:val="clear"/>
          </w:tcPr>
          <w:p>
            <w:r>
              <w:t xml:space="preserve">งานการเงินรับเรื่องที่ ผอ. อนุมัติแล้วจากระบบ e-Office และส่งต่อแจ้งกลับผู้ขอเบิก เพื่อให้เริ่มดำเนินการในระบบ SMART ERPG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/>
                <w:bCs/>
              </w:rPr>
              <w:t xml:space="preserve">อัปโหลดระบบ ERP ผูกพันงบ / ขอยืม / จัดซื้อจัดจ้าง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ผู้ขอเบิก / เจ้าหน้าที่พัสดุ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9D174D"/>
              </w:rPr>
              <w:t xml:space="preserve">SMART ERPG (erp.iccs.ac.th)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เข้าระบบ ERP บันทึกผูกพันงบประมาณ (bgdt07) / สัญญายืมเงิน / PO พัสดุ (ผอ. กดอนุมัติในระบบ ERP เพื่อล็อกยอดงบและออกเลขที่ใบผูกพันงบประมาณ)</w:t>
            </w:r>
          </w:p>
        </w:tc>
      </w:tr>
      <w:tr>
        <w:tc>
          <w:tcPr>
            <w:tcW w:type="dxa" w:w="800"/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b/>
                <w:bCs/>
              </w:rPr>
              <w:t xml:space="preserve">วางฎีกาเบิก</w:t>
            </w:r>
          </w:p>
        </w:tc>
        <w:tc>
          <w:tcPr>
            <w:tcW w:type="dxa" w:w="1800"/>
            <w:shd w:fill="F8FAFC" w:val="clear"/>
          </w:tcPr>
          <w:p>
            <w:r>
              <w:t xml:space="preserve">เจ้าหน้าที่การเงิน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color w:val="9D174D"/>
              </w:rPr>
              <w:t xml:space="preserve">SMART ERPG</w:t>
            </w:r>
          </w:p>
        </w:tc>
        <w:tc>
          <w:tcPr>
            <w:tcW w:type="dxa" w:w="4000"/>
            <w:shd w:fill="F8FAFC" w:val="clear"/>
          </w:tcPr>
          <w:p>
            <w:r>
              <w:t xml:space="preserve">ดึงเลขที่ใบผูกพันงบประมาณ / สัญญายืมเงิน มาสร้างฎีกาเบิกเงินในระบบ ERP เพื่อตั้งยอดเบิกจ่าย</w:t>
            </w:r>
          </w:p>
        </w:tc>
      </w:tr>
      <w:t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/>
                <w:bCs/>
              </w:rPr>
              <w:t xml:space="preserve">เบิกจ่าย และโอนเงิน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เจ้าหน้าที่การเงิน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000000"/>
              </w:rPr>
              <w:t xml:space="preserve">ระบบธนาคาร / KTB</w:t>
            </w:r>
          </w:p>
        </w:tc>
        <w:tc>
          <w:tcPr>
            <w:tcW w:type="dxa" w:w="4000"/>
            <w:shd w:fill="FFFFFF" w:val="clear"/>
          </w:tcPr>
          <w:p>
            <w:r>
              <w:t xml:space="preserve">อนุมัติการจ่ายเงิน โอนเงินยืมเข้าบัญชีผู้ยืม หรือโอนเงินจ่ายตรงให้แก่ผู้ขาย/ผู้รับจ้าง พร้อมพิมพ์หลักฐานการจ่าย</w:t>
            </w:r>
          </w:p>
        </w:tc>
      </w:tr>
      <w:tr>
        <w:tc>
          <w:tcPr>
            <w:tcW w:type="dxa" w:w="800"/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800"/>
            <w:shd w:fill="F8FAFC" w:val="clear"/>
          </w:tcPr>
          <w:p>
            <w:r>
              <w:rPr>
                <w:b/>
                <w:bCs/>
              </w:rPr>
              <w:t xml:space="preserve">ส่งใช้ผ่านระบบ ERP</w:t>
            </w:r>
          </w:p>
        </w:tc>
        <w:tc>
          <w:tcPr>
            <w:tcW w:type="dxa" w:w="1800"/>
            <w:shd w:fill="F8FAFC" w:val="clear"/>
          </w:tcPr>
          <w:p>
            <w:r>
              <w:t xml:space="preserve">ผู้ยืมเงิน / การเงิน</w:t>
            </w:r>
          </w:p>
        </w:tc>
        <w:tc>
          <w:tcPr>
            <w:tcW w:type="dxa" w:w="1800"/>
            <w:shd w:fill="F8FAFC" w:val="clear"/>
          </w:tcPr>
          <w:p>
            <w:r>
              <w:rPr>
                <w:color w:val="9D174D"/>
              </w:rPr>
              <w:t xml:space="preserve">SMART ERPG</w:t>
            </w:r>
          </w:p>
        </w:tc>
        <w:tc>
          <w:tcPr>
            <w:tcW w:type="dxa" w:w="4000"/>
            <w:shd w:fill="F8FAFC" w:val="clear"/>
          </w:tcPr>
          <w:p>
            <w:r>
              <w:t xml:space="preserve">เมื่อเสร็จสิ้นโครงการ นำใบเสร็จและหลักฐานตัวจริงมาหักล้างส่งใช้เงินยืมในระบบ ERP หากมีเงินเหลือให้ออกใบเสร็จรับคืนเงินยืมทดรองเพื่อปิดสัญญาอย่างถูกต้อง</w:t>
            </w:r>
          </w:p>
        </w:tc>
      </w:tr>
    </w:tbl>
    <w:p>
      <w:pPr>
        <w:spacing w:before="200"/>
      </w:pPr>
      <w:r>
        <w:rPr>
          <w:b/>
          <w:bCs/>
        </w:rPr>
        <w:t xml:space="preserve">หมายเหตุการเชื่อมโยงระบบ: </w:t>
      </w:r>
      <w:r>
        <w:t xml:space="preserve">ขั้นตอนที่ 1-6 ดำเนินการผ่านระบบสารบรรณอิเล็กทรอนิกส์ (e-Office) สำหรับการขออนุมัติหลักการและโครงการ และขั้นตอนที่ 7-10 ดำเนินการผ่านระบบ SMART ERPG (https://erp.iccs.ac.th) เพื่อการบริหารงบประมาณ การจัดซื้อจัดจ้าง และการเบิกจ่ายตามระเบียบ</w:t>
      </w:r>
    </w:p>
    <w:sectPr>
      <w:pgSz w:w="11906" w:h="16838" w:orient="portrait"/>
      <w:pgMar w:top="1417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2026-10-16T07:00:45.035Z</dcterms:created>
  <dcterms:modified xsi:type="dcterms:W3CDTF">2026-10-16T07:00:45.036Z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