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0F3"/>
          <w:sz w:val="56"/>
        </w:rPr>
        <w:br/>
        <w:br/>
        <w:br/>
        <w:br/>
        <w:t>SonicSentinel AI</w:t>
        <w:br/>
      </w:r>
    </w:p>
    <w:p>
      <w:pPr>
        <w:jc w:val="center"/>
      </w:pPr>
      <w:r>
        <w:rPr>
          <w:color w:val="646E82"/>
          <w:sz w:val="28"/>
        </w:rPr>
        <w:t>AcousticX Intelligence — Sound-Event Detection &amp; Critical Security System</w:t>
        <w:br/>
        <w:t>Final Year Project / Technical Documentation Report</w:t>
        <w:br/>
        <w:br/>
        <w:br/>
      </w:r>
    </w:p>
    <w:p>
      <w:pPr>
        <w:jc w:val="center"/>
      </w:pPr>
      <w:r>
        <w:t>Prepared for: Aptech TechWiz 7 / NextWave AI &amp; ML Category</w:t>
        <w:br/>
        <w:t>Author: Student Team</w:t>
        <w:br/>
        <w:t>Version: 1.2.0 | Status: Production Verified</w:t>
        <w:br/>
        <w:t>Date: September 2026</w:t>
        <w:br/>
        <w:br/>
        <w:br/>
        <w:br/>
      </w:r>
    </w:p>
    <w:p>
      <w:r>
        <w:br w:type="page"/>
      </w:r>
    </w:p>
    <w:p>
      <w:pPr>
        <w:pStyle w:val="Heading1"/>
      </w:pPr>
      <w:r>
        <w:t>Executive Summary</w:t>
      </w:r>
    </w:p>
    <w:p>
      <w:r>
        <w:t>SonicSentinel AI is an end-to-end sound event classification platform designed to recognize 10 distinct sound categories in real-time. It integrates a 3-model Python machine learning ensemble (Random Forest, SVM, 2D CNN), robust session-based authentication with strict RBAC, an interactive live microphone monitoring suite, and an Admin Management Dashboard.</w:t>
      </w:r>
    </w:p>
    <w:p>
      <w:pPr>
        <w:pStyle w:val="Heading1"/>
      </w:pPr>
      <w:r>
        <w:t>Table of Contents</w:t>
      </w:r>
    </w:p>
    <w:p>
      <w:r>
        <w:t>1. Introduction &amp; Background</w:t>
      </w:r>
    </w:p>
    <w:p>
      <w:r>
        <w:t>2. Software Requirements Specification (SRS) &amp; MoSCoW Prioritization</w:t>
      </w:r>
    </w:p>
    <w:p>
      <w:r>
        <w:t>3. System Architecture &amp; High-Level Design</w:t>
      </w:r>
    </w:p>
    <w:p>
      <w:r>
        <w:t>4. Dataset Analysis &amp; Preprocessing Pipeline</w:t>
      </w:r>
    </w:p>
    <w:p>
      <w:r>
        <w:t>5. Feature Extraction (242 Acoustic Features)</w:t>
      </w:r>
    </w:p>
    <w:p>
      <w:r>
        <w:t>6. Model Development (Random Forest, SVM, 2D CNN)</w:t>
      </w:r>
    </w:p>
    <w:p>
      <w:r>
        <w:t>7. Multi-Model Ensemble &amp; Decision Engine</w:t>
      </w:r>
    </w:p>
    <w:p>
      <w:r>
        <w:t>8. Security, RBAC &amp; Admin Management System</w:t>
      </w:r>
    </w:p>
    <w:p>
      <w:r>
        <w:t>9. REST API &amp; Backend Design</w:t>
      </w:r>
    </w:p>
    <w:p>
      <w:r>
        <w:t>10. Frontend Application &amp; Live Microphone Interface</w:t>
      </w:r>
    </w:p>
    <w:p>
      <w:r>
        <w:t>11. Testing &amp; Automated Verification</w:t>
      </w:r>
    </w:p>
    <w:p>
      <w:r>
        <w:t>12. Deployment &amp; Railway Configuration</w:t>
      </w:r>
    </w:p>
    <w:p>
      <w:r>
        <w:t>13. Conclusion &amp; Future Roadmap</w:t>
      </w:r>
    </w:p>
    <w:p>
      <w:r>
        <w:br w:type="page"/>
      </w:r>
    </w:p>
    <w:p>
      <w:pPr>
        <w:pStyle w:val="Heading1"/>
      </w:pPr>
      <w:r>
        <w:t>1. Introduction &amp; Background</w:t>
      </w:r>
    </w:p>
    <w:p>
      <w:r>
        <w:t>Factories, public transit hubs, commercial facilities, and residential campuses are subject to acoustic events indicating security threats or machinery failures. Manual monitoring is slow and prone to fatigue. SonicSentinel AI automates acoustic monitoring by processing audio through a 3-model machine learning pipeline.</w:t>
      </w:r>
    </w:p>
    <w:p>
      <w:pPr>
        <w:pStyle w:val="Heading1"/>
      </w:pPr>
      <w:r>
        <w:t>2. Software Requirements Specification (SRS)</w:t>
      </w:r>
    </w:p>
    <w:p>
      <w:r>
        <w:t>The project satisfies 80 Functional Requirements, 5 Non-Functional Requirements, and 14 Competition Integrity Requirements (total 99 items).</w:t>
      </w:r>
    </w:p>
    <w:p>
      <w:pPr>
        <w:pStyle w:val="Heading1"/>
      </w:pPr>
      <w:r>
        <w:t>3. System Architecture</w:t>
      </w:r>
    </w:p>
    <w:p>
      <w:r>
        <w:t>The system adopts a modular architecture consisting of a React Vite frontend, a FastAPI Python backend, a 3-Model ML Inference Engine, and an SQLite/MongoDB data storage layer.</w:t>
      </w:r>
    </w:p>
    <w:p>
      <w:pPr>
        <w:jc w:val="center"/>
      </w:pPr>
      <w:r>
        <w:drawing>
          <wp:inline xmlns:a="http://schemas.openxmlformats.org/drawingml/2006/main" xmlns:pic="http://schemas.openxmlformats.org/drawingml/2006/picture">
            <wp:extent cx="5486400" cy="2992582"/>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9"/>
                    <a:stretch>
                      <a:fillRect/>
                    </a:stretch>
                  </pic:blipFill>
                  <pic:spPr>
                    <a:xfrm>
                      <a:off x="0" y="0"/>
                      <a:ext cx="5486400" cy="2992582"/>
                    </a:xfrm>
                    <a:prstGeom prst="rect"/>
                  </pic:spPr>
                </pic:pic>
              </a:graphicData>
            </a:graphic>
          </wp:inline>
        </w:drawing>
      </w:r>
    </w:p>
    <w:p>
      <w:pPr>
        <w:pStyle w:val="Heading1"/>
      </w:pPr>
      <w:r>
        <w:t>4. Dataset &amp; Feature Extraction</w:t>
      </w:r>
    </w:p>
    <w:p>
      <w:r>
        <w:t>The dataset contains 6,211 clips across 10 categories. Feature extraction generates a 242-dimensional vector containing 80 MFCC features, 128 Mel64 features, 24 Chroma STFT features, and 10 ZCR/RMS/Spectral statistics.</w:t>
      </w:r>
    </w:p>
    <w:p>
      <w:pPr>
        <w:jc w:val="center"/>
      </w:pPr>
      <w:r>
        <w:drawing>
          <wp:inline xmlns:a="http://schemas.openxmlformats.org/drawingml/2006/main" xmlns:pic="http://schemas.openxmlformats.org/drawingml/2006/picture">
            <wp:extent cx="5486400" cy="2743200"/>
            <wp:docPr id="2" name="Picture 2"/>
            <wp:cNvGraphicFramePr>
              <a:graphicFrameLocks noChangeAspect="1"/>
            </wp:cNvGraphicFramePr>
            <a:graphic>
              <a:graphicData uri="http://schemas.openxmlformats.org/drawingml/2006/picture">
                <pic:pic>
                  <pic:nvPicPr>
                    <pic:cNvPr id="0" name="01_class_distribution.png"/>
                    <pic:cNvPicPr/>
                  </pic:nvPicPr>
                  <pic:blipFill>
                    <a:blip r:embed="rId10"/>
                    <a:stretch>
                      <a:fillRect/>
                    </a:stretch>
                  </pic:blipFill>
                  <pic:spPr>
                    <a:xfrm>
                      <a:off x="0" y="0"/>
                      <a:ext cx="5486400" cy="2743200"/>
                    </a:xfrm>
                    <a:prstGeom prst="rect"/>
                  </pic:spPr>
                </pic:pic>
              </a:graphicData>
            </a:graphic>
          </wp:inline>
        </w:drawing>
      </w:r>
    </w:p>
    <w:p>
      <w:pPr>
        <w:pStyle w:val="Heading1"/>
      </w:pPr>
      <w:r>
        <w:t>5. Model Evaluation &amp; Comparison</w:t>
      </w:r>
    </w:p>
    <w:p>
      <w:r>
        <w:t>The three Python ML models achieved the following performance on the test set:</w:t>
      </w:r>
    </w:p>
    <w:tbl>
      <w:tblPr>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Model</w:t>
            </w:r>
          </w:p>
        </w:tc>
        <w:tc>
          <w:tcPr>
            <w:tcW w:type="dxa" w:w="1728"/>
          </w:tcPr>
          <w:p>
            <w:r>
              <w:rPr>
                <w:b/>
              </w:rPr>
              <w:t>Accuracy</w:t>
            </w:r>
          </w:p>
        </w:tc>
        <w:tc>
          <w:tcPr>
            <w:tcW w:type="dxa" w:w="1728"/>
          </w:tcPr>
          <w:p>
            <w:r>
              <w:rPr>
                <w:b/>
              </w:rPr>
              <w:t>Precision</w:t>
            </w:r>
          </w:p>
        </w:tc>
        <w:tc>
          <w:tcPr>
            <w:tcW w:type="dxa" w:w="1728"/>
          </w:tcPr>
          <w:p>
            <w:r>
              <w:rPr>
                <w:b/>
              </w:rPr>
              <w:t>Recall</w:t>
            </w:r>
          </w:p>
        </w:tc>
        <w:tc>
          <w:tcPr>
            <w:tcW w:type="dxa" w:w="1728"/>
          </w:tcPr>
          <w:p>
            <w:r>
              <w:rPr>
                <w:b/>
              </w:rPr>
              <w:t>F1-Score</w:t>
            </w:r>
          </w:p>
        </w:tc>
      </w:tr>
      <w:tr>
        <w:tc>
          <w:tcPr>
            <w:tcW w:type="dxa" w:w="1728"/>
          </w:tcPr>
          <w:p>
            <w:r>
              <w:t>Random Forest</w:t>
            </w:r>
          </w:p>
        </w:tc>
        <w:tc>
          <w:tcPr>
            <w:tcW w:type="dxa" w:w="1728"/>
          </w:tcPr>
          <w:p>
            <w:r>
              <w:t>93.67%</w:t>
            </w:r>
          </w:p>
        </w:tc>
        <w:tc>
          <w:tcPr>
            <w:tcW w:type="dxa" w:w="1728"/>
          </w:tcPr>
          <w:p>
            <w:r>
              <w:t>94.50%</w:t>
            </w:r>
          </w:p>
        </w:tc>
        <w:tc>
          <w:tcPr>
            <w:tcW w:type="dxa" w:w="1728"/>
          </w:tcPr>
          <w:p>
            <w:r>
              <w:t>92.25%</w:t>
            </w:r>
          </w:p>
        </w:tc>
        <w:tc>
          <w:tcPr>
            <w:tcW w:type="dxa" w:w="1728"/>
          </w:tcPr>
          <w:p>
            <w:r>
              <w:t>93.09%</w:t>
            </w:r>
          </w:p>
        </w:tc>
      </w:tr>
      <w:tr>
        <w:tc>
          <w:tcPr>
            <w:tcW w:type="dxa" w:w="1728"/>
          </w:tcPr>
          <w:p>
            <w:r>
              <w:t>SVM Pipeline</w:t>
            </w:r>
          </w:p>
        </w:tc>
        <w:tc>
          <w:tcPr>
            <w:tcW w:type="dxa" w:w="1728"/>
          </w:tcPr>
          <w:p>
            <w:r>
              <w:t>91.63%</w:t>
            </w:r>
          </w:p>
        </w:tc>
        <w:tc>
          <w:tcPr>
            <w:tcW w:type="dxa" w:w="1728"/>
          </w:tcPr>
          <w:p>
            <w:r>
              <w:t>92.19%</w:t>
            </w:r>
          </w:p>
        </w:tc>
        <w:tc>
          <w:tcPr>
            <w:tcW w:type="dxa" w:w="1728"/>
          </w:tcPr>
          <w:p>
            <w:r>
              <w:t>90.46%</w:t>
            </w:r>
          </w:p>
        </w:tc>
        <w:tc>
          <w:tcPr>
            <w:tcW w:type="dxa" w:w="1728"/>
          </w:tcPr>
          <w:p>
            <w:r>
              <w:t>91.13%</w:t>
            </w:r>
          </w:p>
        </w:tc>
      </w:tr>
      <w:tr>
        <w:tc>
          <w:tcPr>
            <w:tcW w:type="dxa" w:w="1728"/>
          </w:tcPr>
          <w:p>
            <w:r>
              <w:t>2D CNN</w:t>
            </w:r>
          </w:p>
        </w:tc>
        <w:tc>
          <w:tcPr>
            <w:tcW w:type="dxa" w:w="1728"/>
          </w:tcPr>
          <w:p>
            <w:r>
              <w:t>90.99%</w:t>
            </w:r>
          </w:p>
        </w:tc>
        <w:tc>
          <w:tcPr>
            <w:tcW w:type="dxa" w:w="1728"/>
          </w:tcPr>
          <w:p>
            <w:r>
              <w:t>90.90%</w:t>
            </w:r>
          </w:p>
        </w:tc>
        <w:tc>
          <w:tcPr>
            <w:tcW w:type="dxa" w:w="1728"/>
          </w:tcPr>
          <w:p>
            <w:r>
              <w:t>90.36%</w:t>
            </w:r>
          </w:p>
        </w:tc>
        <w:tc>
          <w:tcPr>
            <w:tcW w:type="dxa" w:w="1728"/>
          </w:tcPr>
          <w:p>
            <w:r>
              <w:t>90.40%</w:t>
            </w:r>
          </w:p>
        </w:tc>
      </w:tr>
    </w:tbl>
    <w:p/>
    <w:p>
      <w:pPr>
        <w:jc w:val="center"/>
      </w:pPr>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03_model_accuracy_comparison.png"/>
                    <pic:cNvPicPr/>
                  </pic:nvPicPr>
                  <pic:blipFill>
                    <a:blip r:embed="rId11"/>
                    <a:stretch>
                      <a:fillRect/>
                    </a:stretch>
                  </pic:blipFill>
                  <pic:spPr>
                    <a:xfrm>
                      <a:off x="0" y="0"/>
                      <a:ext cx="5029200" cy="251460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8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