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sz w:val="48"/>
          <w:szCs w:val="48"/>
        </w:rPr>
        <w:t xml:space="preserve">🔊</w:t>
      </w:r>
    </w:p>
    <w:p>
      <w:pPr>
        <w:spacing w:after="60"/>
        <w:jc w:val="center"/>
      </w:pPr>
      <w:r>
        <w:rPr>
          <w:rFonts w:ascii="Calibri" w:cs="Calibri" w:eastAsia="Calibri" w:hAnsi="Calibri"/>
          <w:b/>
          <w:bCs/>
          <w:color w:val="0E7490"/>
          <w:sz w:val="56"/>
          <w:szCs w:val="56"/>
        </w:rPr>
        <w:t xml:space="preserve">SonicSentinel AI</w:t>
      </w:r>
    </w:p>
    <w:p>
      <w:pPr>
        <w:spacing w:after="400"/>
        <w:jc w:val="center"/>
      </w:pPr>
      <w:r>
        <w:rPr>
          <w:rFonts w:ascii="Calibri" w:cs="Calibri" w:eastAsia="Calibri" w:hAnsi="Calibri"/>
          <w:i/>
          <w:iCs/>
          <w:color w:val="4B5563"/>
          <w:sz w:val="26"/>
          <w:szCs w:val="26"/>
        </w:rPr>
        <w:t xml:space="preserve">AI-Powered Audio Threat Detection System</w:t>
      </w:r>
    </w:p>
    <w:p>
      <w:pPr>
        <w:spacing w:after="60"/>
        <w:jc w:val="center"/>
      </w:pPr>
      <w:r>
        <w:rPr>
          <w:rFonts w:ascii="Calibri" w:cs="Calibri" w:eastAsia="Calibri" w:hAnsi="Calibri"/>
          <w:b/>
          <w:bCs/>
          <w:sz w:val="40"/>
          <w:szCs w:val="40"/>
        </w:rPr>
        <w:t xml:space="preserve">Developer Guide</w:t>
      </w:r>
    </w:p>
    <w:p>
      <w:pPr>
        <w:spacing w:after="900"/>
        <w:jc w:val="center"/>
      </w:pPr>
      <w:r>
        <w:rPr>
          <w:rFonts w:ascii="Calibri" w:cs="Calibri" w:eastAsia="Calibri" w:hAnsi="Calibri"/>
          <w:color w:val="4B5563"/>
          <w:sz w:val="22"/>
          <w:szCs w:val="22"/>
        </w:rPr>
        <w:t xml:space="preserve">Setup, architecture, and codebase reference for contributors</w:t>
      </w:r>
    </w:p>
    <w:p>
      <w:pPr>
        <w:spacing w:after="40"/>
        <w:jc w:val="center"/>
      </w:pPr>
      <w:r>
        <w:rPr>
          <w:rFonts w:ascii="Calibri" w:cs="Calibri" w:eastAsia="Calibri" w:hAnsi="Calibri"/>
          <w:sz w:val="22"/>
          <w:szCs w:val="22"/>
        </w:rPr>
        <w:t xml:space="preserve">Prepared by: Hashir Attari (Team Hashir)</w:t>
      </w:r>
    </w:p>
    <w:p>
      <w:pPr>
        <w:spacing w:after="40"/>
        <w:jc w:val="center"/>
      </w:pPr>
      <w:r>
        <w:rPr>
          <w:rFonts w:ascii="Calibri" w:cs="Calibri" w:eastAsia="Calibri" w:hAnsi="Calibri"/>
          <w:sz w:val="22"/>
          <w:szCs w:val="22"/>
        </w:rPr>
        <w:t xml:space="preserve">[Institution / Course Name]</w:t>
      </w:r>
    </w:p>
    <w:p>
      <w:pPr>
        <w:spacing w:after="40"/>
        <w:jc w:val="center"/>
      </w:pPr>
      <w:r>
        <w:rPr>
          <w:rFonts w:ascii="Calibri" w:cs="Calibri" w:eastAsia="Calibri" w:hAnsi="Calibri"/>
          <w:color w:val="4B5563"/>
          <w:sz w:val="22"/>
          <w:szCs w:val="22"/>
        </w:rPr>
        <w:t xml:space="preserve">September 2026</w:t>
      </w:r>
    </w:p>
    <w:p>
      <w:r>
        <w:br w:type="page"/>
      </w:r>
    </w:p>
    <w:p>
      <w:pPr>
        <w:pStyle w:val="Heading1"/>
        <w:spacing w:after="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490" w:sz="10" w:space="6"/>
        </w:pBdr>
        <w:spacing w:after="200" w:before="360"/>
      </w:pPr>
      <w:r>
        <w:t xml:space="preserve">1. Project Overview</w:t>
      </w:r>
    </w:p>
    <w:p>
      <w:pPr>
        <w:spacing w:after="160" w:line="276"/>
        <w:jc w:val="both"/>
      </w:pPr>
      <w:r>
        <w:rPr>
          <w:rFonts w:ascii="Calibri" w:cs="Calibri" w:eastAsia="Calibri" w:hAnsi="Calibri"/>
          <w:i w:val="false"/>
          <w:iCs w:val="false"/>
          <w:sz w:val="22"/>
          <w:szCs w:val="22"/>
        </w:rPr>
        <w:t xml:space="preserve">SonicSentinel AI is an audio threat detection platform combining a custom Python machine-learning ensemble (YAMNet embeddings + SVM + CNN) with a Google Teachable Machine model for independent verification, served through a FastAPI backend and a React frontend. This guide covers environment setup, the dataset/training workflow, and where to find (or add) implementation detail that could not be confirmed from the product UI alone.</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Several implementation specifics below — exact API routes, database schemas, and deployment configuration — are marked Evidence pending because they were not visible from the supplied screenshots. Fill these in directly from the source repository so this guide matches the real codebase before submission.</w:t>
      </w:r>
    </w:p>
    <w:p>
      <w:pPr>
        <w:pStyle w:val="Heading2"/>
        <w:spacing w:after="140" w:before="280"/>
      </w:pPr>
      <w:r>
        <w:t xml:space="preserve">1.1 Suggested Repository Structure</w:t>
      </w:r>
    </w:p>
    <w:p>
      <w:pPr>
        <w:spacing w:after="160" w:line="276"/>
        <w:jc w:val="both"/>
      </w:pPr>
      <w:r>
        <w:rPr>
          <w:rFonts w:ascii="Calibri" w:cs="Calibri" w:eastAsia="Calibri" w:hAnsi="Calibri"/>
          <w:i/>
          <w:iCs/>
          <w:sz w:val="22"/>
          <w:szCs w:val="22"/>
        </w:rPr>
        <w:t xml:space="preserve">Adjust this to match the actual repository layout; the structure below reflects the module names visible in the product's own architecture description.</w:t>
      </w:r>
    </w:p>
    <w:p>
      <w:pPr>
        <w:pBdr>
          <w:top w:val="single" w:color="CBD5E1" w:sz="4" w:space="6"/>
          <w:bottom w:val="single" w:color="CBD5E1" w:sz="4" w:space="6"/>
          <w:left w:val="single" w:color="CBD5E1" w:sz="4" w:space="6"/>
          <w:right w:val="single" w:color="CBD5E1" w:sz="4" w:space="6"/>
        </w:pBdr>
        <w:shd w:fill="F1F5F9" w:val="clear"/>
        <w:spacing w:after="200" w:before="100"/>
      </w:pPr>
      <w:r>
        <w:rPr>
          <w:rFonts w:ascii="Consolas" w:cs="Consolas" w:eastAsia="Consolas" w:hAnsi="Consolas"/>
          <w:sz w:val="18"/>
          <w:szCs w:val="18"/>
        </w:rPr>
        <w:t xml:space="preserve">SonicSentinel/</w:t>
      </w:r>
      <w:r>
        <w:rPr>
          <w:rFonts w:ascii="Consolas" w:cs="Consolas" w:eastAsia="Consolas" w:hAnsi="Consolas"/>
          <w:sz w:val="18"/>
          <w:szCs w:val="18"/>
        </w:rPr>
        <w:br/>
        <w:t xml:space="preserve">├── backend/                 # FastAPI microservice</w:t>
      </w:r>
      <w:r>
        <w:rPr>
          <w:rFonts w:ascii="Consolas" w:cs="Consolas" w:eastAsia="Consolas" w:hAnsi="Consolas"/>
          <w:sz w:val="18"/>
          <w:szCs w:val="18"/>
        </w:rPr>
        <w:br/>
        <w:t xml:space="preserve">│   ├── main.py</w:t>
      </w:r>
      <w:r>
        <w:rPr>
          <w:rFonts w:ascii="Consolas" w:cs="Consolas" w:eastAsia="Consolas" w:hAnsi="Consolas"/>
          <w:sz w:val="18"/>
          <w:szCs w:val="18"/>
        </w:rPr>
        <w:br/>
        <w:t xml:space="preserve">│   ├── routes/</w:t>
      </w:r>
      <w:r>
        <w:rPr>
          <w:rFonts w:ascii="Consolas" w:cs="Consolas" w:eastAsia="Consolas" w:hAnsi="Consolas"/>
          <w:sz w:val="18"/>
          <w:szCs w:val="18"/>
        </w:rPr>
        <w:br/>
        <w:t xml:space="preserve">│   ├── models/               # Python ML engine (YAMNet + SVM + CNN)</w:t>
      </w:r>
      <w:r>
        <w:rPr>
          <w:rFonts w:ascii="Consolas" w:cs="Consolas" w:eastAsia="Consolas" w:hAnsi="Consolas"/>
          <w:sz w:val="18"/>
          <w:szCs w:val="18"/>
        </w:rPr>
        <w:br/>
        <w:t xml:space="preserve">│   └── adapters/             # Teachable Machine adapter integration</w:t>
      </w:r>
      <w:r>
        <w:rPr>
          <w:rFonts w:ascii="Consolas" w:cs="Consolas" w:eastAsia="Consolas" w:hAnsi="Consolas"/>
          <w:sz w:val="18"/>
          <w:szCs w:val="18"/>
        </w:rPr>
        <w:br/>
        <w:t xml:space="preserve">├── frontend/                 # React dashboard (Sentinel Operations + Admin)</w:t>
      </w:r>
      <w:r>
        <w:rPr>
          <w:rFonts w:ascii="Consolas" w:cs="Consolas" w:eastAsia="Consolas" w:hAnsi="Consolas"/>
          <w:sz w:val="18"/>
          <w:szCs w:val="18"/>
        </w:rPr>
        <w:br/>
        <w:t xml:space="preserve">├── Dataset/                  # Training audio, one folder per class</w:t>
      </w:r>
      <w:r>
        <w:rPr>
          <w:rFonts w:ascii="Consolas" w:cs="Consolas" w:eastAsia="Consolas" w:hAnsi="Consolas"/>
          <w:sz w:val="18"/>
          <w:szCs w:val="18"/>
        </w:rPr>
        <w:br/>
        <w:t xml:space="preserve">│   ├── Machinery Fault/</w:t>
      </w:r>
      <w:r>
        <w:rPr>
          <w:rFonts w:ascii="Consolas" w:cs="Consolas" w:eastAsia="Consolas" w:hAnsi="Consolas"/>
          <w:sz w:val="18"/>
          <w:szCs w:val="18"/>
        </w:rPr>
        <w:br/>
        <w:t xml:space="preserve">│   ├── Glass Breaking/</w:t>
      </w:r>
      <w:r>
        <w:rPr>
          <w:rFonts w:ascii="Consolas" w:cs="Consolas" w:eastAsia="Consolas" w:hAnsi="Consolas"/>
          <w:sz w:val="18"/>
          <w:szCs w:val="18"/>
        </w:rPr>
        <w:br/>
        <w:t xml:space="preserve">│   ├── Alarm or Siren/</w:t>
      </w:r>
      <w:r>
        <w:rPr>
          <w:rFonts w:ascii="Consolas" w:cs="Consolas" w:eastAsia="Consolas" w:hAnsi="Consolas"/>
          <w:sz w:val="18"/>
          <w:szCs w:val="18"/>
        </w:rPr>
        <w:br/>
        <w:t xml:space="preserve">│   ├── Vehicle Horn/</w:t>
      </w:r>
      <w:r>
        <w:rPr>
          <w:rFonts w:ascii="Consolas" w:cs="Consolas" w:eastAsia="Consolas" w:hAnsi="Consolas"/>
          <w:sz w:val="18"/>
          <w:szCs w:val="18"/>
        </w:rPr>
        <w:br/>
        <w:t xml:space="preserve">│   ├── Animal Sound/</w:t>
      </w:r>
      <w:r>
        <w:rPr>
          <w:rFonts w:ascii="Consolas" w:cs="Consolas" w:eastAsia="Consolas" w:hAnsi="Consolas"/>
          <w:sz w:val="18"/>
          <w:szCs w:val="18"/>
        </w:rPr>
        <w:br/>
        <w:t xml:space="preserve">│   ├── Gunshot/</w:t>
      </w:r>
      <w:r>
        <w:rPr>
          <w:rFonts w:ascii="Consolas" w:cs="Consolas" w:eastAsia="Consolas" w:hAnsi="Consolas"/>
          <w:sz w:val="18"/>
          <w:szCs w:val="18"/>
        </w:rPr>
        <w:br/>
        <w:t xml:space="preserve">│   ├── Panic Scream/</w:t>
      </w:r>
      <w:r>
        <w:rPr>
          <w:rFonts w:ascii="Consolas" w:cs="Consolas" w:eastAsia="Consolas" w:hAnsi="Consolas"/>
          <w:sz w:val="18"/>
          <w:szCs w:val="18"/>
        </w:rPr>
        <w:br/>
        <w:t xml:space="preserve">│   ├── Aggression/</w:t>
      </w:r>
      <w:r>
        <w:rPr>
          <w:rFonts w:ascii="Consolas" w:cs="Consolas" w:eastAsia="Consolas" w:hAnsi="Consolas"/>
          <w:sz w:val="18"/>
          <w:szCs w:val="18"/>
        </w:rPr>
        <w:br/>
        <w:t xml:space="preserve">│   ├── Person Asking for Help/</w:t>
      </w:r>
      <w:r>
        <w:rPr>
          <w:rFonts w:ascii="Consolas" w:cs="Consolas" w:eastAsia="Consolas" w:hAnsi="Consolas"/>
          <w:sz w:val="18"/>
          <w:szCs w:val="18"/>
        </w:rPr>
        <w:br/>
        <w:t xml:space="preserve">│   └── Background Noise/</w:t>
      </w:r>
      <w:r>
        <w:rPr>
          <w:rFonts w:ascii="Consolas" w:cs="Consolas" w:eastAsia="Consolas" w:hAnsi="Consolas"/>
          <w:sz w:val="18"/>
          <w:szCs w:val="18"/>
        </w:rPr>
        <w:br/>
        <w:t xml:space="preserve">├── models/                   # Saved model artifacts (.pkl / .h5)</w:t>
      </w:r>
      <w:r>
        <w:rPr>
          <w:rFonts w:ascii="Consolas" w:cs="Consolas" w:eastAsia="Consolas" w:hAnsi="Consolas"/>
          <w:sz w:val="18"/>
          <w:szCs w:val="18"/>
        </w:rPr>
        <w:br/>
        <w:t xml:space="preserve">├── requirements.txt</w:t>
      </w:r>
      <w:r>
        <w:rPr>
          <w:rFonts w:ascii="Consolas" w:cs="Consolas" w:eastAsia="Consolas" w:hAnsi="Consolas"/>
          <w:sz w:val="18"/>
          <w:szCs w:val="18"/>
        </w:rPr>
        <w:br/>
        <w:t xml:space="preserve">├── AI_USAGE.md</w:t>
      </w:r>
      <w:r>
        <w:rPr>
          <w:rFonts w:ascii="Consolas" w:cs="Consolas" w:eastAsia="Consolas" w:hAnsi="Consolas"/>
          <w:sz w:val="18"/>
          <w:szCs w:val="18"/>
        </w:rPr>
        <w:br/>
        <w:t xml:space="preserve">└── README.md</w:t>
      </w:r>
    </w:p>
    <w:p>
      <w:r>
        <w:br w:type="page"/>
      </w:r>
    </w:p>
    <w:p>
      <w:pPr>
        <w:pStyle w:val="Heading1"/>
        <w:pBdr>
          <w:bottom w:val="single" w:color="0E7490" w:sz="10" w:space="6"/>
        </w:pBdr>
        <w:spacing w:after="200" w:before="360"/>
      </w:pPr>
      <w:r>
        <w:t xml:space="preserve">2. Technology Stack</w:t>
      </w:r>
    </w:p>
    <w:p>
      <w:pPr>
        <w:spacing w:after="80" w:before="160"/>
      </w:pPr>
      <w:r>
        <w:rPr>
          <w:rFonts w:ascii="Calibri" w:cs="Calibri" w:eastAsia="Calibri" w:hAnsi="Calibri"/>
          <w:b/>
          <w:bCs/>
          <w:sz w:val="19"/>
          <w:szCs w:val="19"/>
        </w:rPr>
        <w:t xml:space="preserve">Table 1: </w:t>
      </w:r>
      <w:r>
        <w:rPr>
          <w:rFonts w:ascii="Calibri" w:cs="Calibri" w:eastAsia="Calibri" w:hAnsi="Calibri"/>
          <w:i/>
          <w:iCs/>
          <w:sz w:val="19"/>
          <w:szCs w:val="19"/>
        </w:rPr>
        <w:t xml:space="preserve">Confirmed technology stack</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300"/>
      </w:tblGrid>
      <w:tr>
        <w:trPr>
          <w:tblHeader/>
        </w:trPr>
        <w:tc>
          <w:tcPr>
            <w:tcW w:type="dxa" w:w="32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Layer</w:t>
            </w:r>
          </w:p>
        </w:tc>
        <w:tc>
          <w:tcPr>
            <w:tcW w:type="dxa" w:w="63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Technology</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Frontend</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React + Web Audio API</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Backend</w:t>
            </w:r>
          </w:p>
        </w:tc>
        <w:tc>
          <w:tcPr>
            <w:tcW w:type="dxa" w:w="6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FastAPI (Python, async)</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Primary ML engine</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YAMNet embeddings + SVM + CNN (Librosa features)</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Comparison ML engine</w:t>
            </w:r>
          </w:p>
        </w:tc>
        <w:tc>
          <w:tcPr>
            <w:tcW w:type="dxa" w:w="6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Google Teachable Machine (AudioNet, TensorFlow.js)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Database</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MongoDB Atlas (primary) / SQLite (baseline model store — confirm scope)</w:t>
            </w:r>
          </w:p>
        </w:tc>
      </w:tr>
    </w:tbl>
    <w:p>
      <w:pPr>
        <w:pStyle w:val="Heading1"/>
        <w:pBdr>
          <w:bottom w:val="single" w:color="0E7490" w:sz="10" w:space="6"/>
        </w:pBdr>
        <w:spacing w:after="200" w:before="360"/>
      </w:pPr>
      <w:r>
        <w:t xml:space="preserve">3. Environment Setup</w:t>
      </w:r>
    </w:p>
    <w:p>
      <w:pPr>
        <w:pStyle w:val="Heading2"/>
        <w:spacing w:after="140" w:before="280"/>
      </w:pPr>
      <w:r>
        <w:t xml:space="preserve">3.1 Prerequisites</w:t>
      </w:r>
    </w:p>
    <w:p>
      <w:pPr>
        <w:pStyle w:val="ListParagraph"/>
        <w:numPr>
          <w:ilvl w:val="0"/>
          <w:numId w:val="1"/>
        </w:numPr>
        <w:spacing w:after="90"/>
        <w:rPr>
          <w:rFonts w:ascii="Calibri" w:cs="Calibri" w:eastAsia="Calibri" w:hAnsi="Calibri"/>
          <w:sz w:val="22"/>
          <w:szCs w:val="22"/>
        </w:rPr>
      </w:pPr>
      <w:r>
        <w:t xml:space="preserve">Python 3.10+</w:t>
      </w:r>
    </w:p>
    <w:p>
      <w:pPr>
        <w:pStyle w:val="ListParagraph"/>
        <w:numPr>
          <w:ilvl w:val="0"/>
          <w:numId w:val="1"/>
        </w:numPr>
        <w:spacing w:after="90"/>
        <w:rPr>
          <w:rFonts w:ascii="Calibri" w:cs="Calibri" w:eastAsia="Calibri" w:hAnsi="Calibri"/>
          <w:sz w:val="22"/>
          <w:szCs w:val="22"/>
        </w:rPr>
      </w:pPr>
      <w:r>
        <w:t xml:space="preserve">Node.js 18+ (for the React frontend)</w:t>
      </w:r>
    </w:p>
    <w:p>
      <w:pPr>
        <w:pStyle w:val="ListParagraph"/>
        <w:numPr>
          <w:ilvl w:val="0"/>
          <w:numId w:val="1"/>
        </w:numPr>
        <w:spacing w:after="90"/>
        <w:rPr>
          <w:rFonts w:ascii="Calibri" w:cs="Calibri" w:eastAsia="Calibri" w:hAnsi="Calibri"/>
          <w:sz w:val="22"/>
          <w:szCs w:val="22"/>
        </w:rPr>
      </w:pPr>
      <w:r>
        <w:t xml:space="preserve">A MongoDB Atlas connection string (or local MongoDB instance for development)</w:t>
      </w:r>
    </w:p>
    <w:p>
      <w:pPr>
        <w:pStyle w:val="ListParagraph"/>
        <w:numPr>
          <w:ilvl w:val="0"/>
          <w:numId w:val="1"/>
        </w:numPr>
        <w:spacing w:after="90"/>
        <w:rPr>
          <w:rFonts w:ascii="Calibri" w:cs="Calibri" w:eastAsia="Calibri" w:hAnsi="Calibri"/>
          <w:sz w:val="22"/>
          <w:szCs w:val="22"/>
        </w:rPr>
      </w:pPr>
      <w:r>
        <w:t xml:space="preserve">ffmpeg installed on the system PATH (required by librosa/audioread for MP3/M4A decoding)</w:t>
      </w:r>
    </w:p>
    <w:p>
      <w:pPr>
        <w:pStyle w:val="Heading2"/>
        <w:spacing w:after="140" w:before="280"/>
      </w:pPr>
      <w:r>
        <w:t xml:space="preserve">3.2 Backend Setup</w:t>
      </w:r>
    </w:p>
    <w:p>
      <w:pPr>
        <w:pBdr>
          <w:top w:val="single" w:color="CBD5E1" w:sz="4" w:space="6"/>
          <w:bottom w:val="single" w:color="CBD5E1" w:sz="4" w:space="6"/>
          <w:left w:val="single" w:color="CBD5E1" w:sz="4" w:space="6"/>
          <w:right w:val="single" w:color="CBD5E1" w:sz="4" w:space="6"/>
        </w:pBdr>
        <w:shd w:fill="F1F5F9" w:val="clear"/>
        <w:spacing w:after="200" w:before="100"/>
      </w:pPr>
      <w:r>
        <w:rPr>
          <w:rFonts w:ascii="Consolas" w:cs="Consolas" w:eastAsia="Consolas" w:hAnsi="Consolas"/>
          <w:sz w:val="18"/>
          <w:szCs w:val="18"/>
        </w:rPr>
        <w:t xml:space="preserve">python -m venv venv</w:t>
      </w:r>
      <w:r>
        <w:rPr>
          <w:rFonts w:ascii="Consolas" w:cs="Consolas" w:eastAsia="Consolas" w:hAnsi="Consolas"/>
          <w:sz w:val="18"/>
          <w:szCs w:val="18"/>
        </w:rPr>
        <w:br/>
        <w:t xml:space="preserve">source venv/bin/activate        # Windows: venv\Scripts\activate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cp .env.example .env            # fill in MONGODB_URI, SECRET_KEY, etc.</w:t>
      </w:r>
      <w:r>
        <w:rPr>
          <w:rFonts w:ascii="Consolas" w:cs="Consolas" w:eastAsia="Consolas" w:hAnsi="Consolas"/>
          <w:sz w:val="18"/>
          <w:szCs w:val="18"/>
        </w:rPr>
        <w:br/>
        <w:t xml:space="preserve">uvicorn backend.main:app --reload</w:t>
      </w:r>
    </w:p>
    <w:p>
      <w:pPr>
        <w:pStyle w:val="Heading2"/>
        <w:spacing w:after="140" w:before="280"/>
      </w:pPr>
      <w:r>
        <w:t xml:space="preserve">3.3 Frontend Setup</w:t>
      </w:r>
    </w:p>
    <w:p>
      <w:pPr>
        <w:pBdr>
          <w:top w:val="single" w:color="CBD5E1" w:sz="4" w:space="6"/>
          <w:bottom w:val="single" w:color="CBD5E1" w:sz="4" w:space="6"/>
          <w:left w:val="single" w:color="CBD5E1" w:sz="4" w:space="6"/>
          <w:right w:val="single" w:color="CBD5E1" w:sz="4" w:space="6"/>
        </w:pBdr>
        <w:shd w:fill="F1F5F9" w:val="clear"/>
        <w:spacing w:after="200" w:before="100"/>
      </w:pPr>
      <w:r>
        <w:rPr>
          <w:rFonts w:ascii="Consolas" w:cs="Consolas" w:eastAsia="Consolas" w:hAnsi="Consolas"/>
          <w:sz w:val="18"/>
          <w:szCs w:val="18"/>
        </w:rPr>
        <w:t xml:space="preserve">cd frontend</w:t>
      </w:r>
      <w:r>
        <w:rPr>
          <w:rFonts w:ascii="Consolas" w:cs="Consolas" w:eastAsia="Consolas" w:hAnsi="Consolas"/>
          <w:sz w:val="18"/>
          <w:szCs w:val="18"/>
        </w:rPr>
        <w:br/>
        <w:t xml:space="preserve">npm install</w:t>
      </w:r>
      <w:r>
        <w:rPr>
          <w:rFonts w:ascii="Consolas" w:cs="Consolas" w:eastAsia="Consolas" w:hAnsi="Consolas"/>
          <w:sz w:val="18"/>
          <w:szCs w:val="18"/>
        </w:rPr>
        <w:br/>
        <w:t xml:space="preserve">npm run dev</w:t>
      </w:r>
    </w:p>
    <w:p>
      <w:pPr>
        <w:pStyle w:val="Heading2"/>
        <w:spacing w:after="140" w:before="280"/>
      </w:pPr>
      <w:r>
        <w:t xml:space="preserve">3.4 Environment Variables</w:t>
      </w:r>
    </w:p>
    <w:p>
      <w:pPr>
        <w:spacing w:after="80" w:before="160"/>
      </w:pPr>
      <w:r>
        <w:rPr>
          <w:rFonts w:ascii="Calibri" w:cs="Calibri" w:eastAsia="Calibri" w:hAnsi="Calibri"/>
          <w:b/>
          <w:bCs/>
          <w:sz w:val="19"/>
          <w:szCs w:val="19"/>
        </w:rPr>
        <w:t xml:space="preserve">Table 2: </w:t>
      </w:r>
      <w:r>
        <w:rPr>
          <w:rFonts w:ascii="Calibri" w:cs="Calibri" w:eastAsia="Calibri" w:hAnsi="Calibri"/>
          <w:i/>
          <w:iCs/>
          <w:sz w:val="19"/>
          <w:szCs w:val="19"/>
        </w:rPr>
        <w:t xml:space="preserve">Environment variables (confirm exact names against .env.example)</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3600"/>
        <w:gridCol w:w="5900"/>
      </w:tblGrid>
      <w:tr>
        <w:trPr>
          <w:tblHeader/>
        </w:trPr>
        <w:tc>
          <w:tcPr>
            <w:tcW w:type="dxa" w:w="3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Variable</w:t>
            </w:r>
          </w:p>
        </w:tc>
        <w:tc>
          <w:tcPr>
            <w:tcW w:type="dxa" w:w="59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Purpose</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MONGODB_URI</w:t>
            </w:r>
          </w:p>
        </w:tc>
        <w:tc>
          <w:tcPr>
            <w:tcW w:type="dxa" w:w="5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MongoDB Atlas connection string</w:t>
            </w:r>
          </w:p>
        </w:tc>
      </w:tr>
      <w:tr>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SECRET_KEY / JWT_SECRET</w:t>
            </w:r>
          </w:p>
        </w:tc>
        <w:tc>
          <w:tcPr>
            <w:tcW w:type="dxa" w:w="5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Session / token signing secret</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MODEL_PATH</w:t>
            </w:r>
          </w:p>
        </w:tc>
        <w:tc>
          <w:tcPr>
            <w:tcW w:type="dxa" w:w="5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Path to the saved Python ML model artifact</w:t>
            </w:r>
          </w:p>
        </w:tc>
      </w:tr>
      <w:tr>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TEACHABLE_MACHINE_MODEL_URL</w:t>
            </w:r>
          </w:p>
        </w:tc>
        <w:tc>
          <w:tcPr>
            <w:tcW w:type="dxa" w:w="5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Shareable link to the exported Teachable Machine model</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ALLOWED_ORIGINS</w:t>
            </w:r>
          </w:p>
        </w:tc>
        <w:tc>
          <w:tcPr>
            <w:tcW w:type="dxa" w:w="5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CORS allow-list for the frontend origin</w:t>
            </w:r>
          </w:p>
        </w:tc>
      </w:tr>
    </w:tbl>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Confirm the exact variable names against the project's .env.example / config module — the names above follow the conventions implied by the architecture but were not directly visible in the supplied evidence.</w:t>
      </w:r>
    </w:p>
    <w:p>
      <w:r>
        <w:br w:type="page"/>
      </w:r>
    </w:p>
    <w:p>
      <w:pPr>
        <w:pStyle w:val="Heading1"/>
        <w:pBdr>
          <w:bottom w:val="single" w:color="0E7490" w:sz="10" w:space="6"/>
        </w:pBdr>
        <w:spacing w:after="200" w:before="360"/>
      </w:pPr>
      <w:r>
        <w:t xml:space="preserve">4. Dataset Preparation</w:t>
      </w:r>
    </w:p>
    <w:p>
      <w:pPr>
        <w:spacing w:after="160" w:line="276"/>
        <w:jc w:val="both"/>
      </w:pPr>
      <w:r>
        <w:rPr>
          <w:rFonts w:ascii="Calibri" w:cs="Calibri" w:eastAsia="Calibri" w:hAnsi="Calibri"/>
          <w:i w:val="false"/>
          <w:iCs w:val="false"/>
          <w:sz w:val="22"/>
          <w:szCs w:val="22"/>
        </w:rPr>
        <w:t xml:space="preserve">Training data lives under Dataset/&lt;ClassName&gt;/ with one subfolder per class (see the repository structure in Section 1.1). The current dataset contains 6,211 valid audio files with 0 corrupt files across the 10 classes, sourced from Freesound.org, UrbanSound8K, Pixabay Sound Effects, and ElevenLabs synthetic speech (see the Project Report, Section 4.2, for details).</w:t>
      </w:r>
    </w:p>
    <w:p>
      <w:pPr>
        <w:pStyle w:val="Heading2"/>
        <w:spacing w:after="140" w:before="280"/>
      </w:pPr>
      <w:r>
        <w:t xml:space="preserve">4.1 Adding New Samples</w:t>
      </w:r>
    </w:p>
    <w:p>
      <w:pPr>
        <w:pStyle w:val="ListParagraph"/>
        <w:numPr>
          <w:ilvl w:val="0"/>
          <w:numId w:val="1"/>
        </w:numPr>
        <w:spacing w:after="90"/>
        <w:rPr>
          <w:rFonts w:ascii="Calibri" w:cs="Calibri" w:eastAsia="Calibri" w:hAnsi="Calibri"/>
          <w:sz w:val="22"/>
          <w:szCs w:val="22"/>
        </w:rPr>
      </w:pPr>
      <w:r>
        <w:t xml:space="preserve">Place new audio files into the correct Dataset/&lt;ClassName&gt;/ folder.</w:t>
      </w:r>
    </w:p>
    <w:p>
      <w:pPr>
        <w:pStyle w:val="ListParagraph"/>
        <w:numPr>
          <w:ilvl w:val="0"/>
          <w:numId w:val="1"/>
        </w:numPr>
        <w:spacing w:after="90"/>
        <w:rPr>
          <w:rFonts w:ascii="Calibri" w:cs="Calibri" w:eastAsia="Calibri" w:hAnsi="Calibri"/>
          <w:sz w:val="22"/>
          <w:szCs w:val="22"/>
        </w:rPr>
      </w:pPr>
      <w:r>
        <w:t xml:space="preserve">Keep a consistent sample rate and mono channel where possible — the preprocessing stage will resample/convert, but starting clean reduces artifacts.</w:t>
      </w:r>
    </w:p>
    <w:p>
      <w:pPr>
        <w:pStyle w:val="ListParagraph"/>
        <w:numPr>
          <w:ilvl w:val="0"/>
          <w:numId w:val="1"/>
        </w:numPr>
        <w:spacing w:after="90"/>
        <w:rPr>
          <w:rFonts w:ascii="Calibri" w:cs="Calibri" w:eastAsia="Calibri" w:hAnsi="Calibri"/>
          <w:sz w:val="22"/>
          <w:szCs w:val="22"/>
        </w:rPr>
      </w:pPr>
      <w:r>
        <w:t xml:space="preserve">Re-run the dataset validation step to confirm 0 corrupt files before retraining.</w:t>
      </w:r>
    </w:p>
    <w:p>
      <w:pPr>
        <w:pStyle w:val="ListParagraph"/>
        <w:numPr>
          <w:ilvl w:val="0"/>
          <w:numId w:val="1"/>
        </w:numPr>
        <w:spacing w:after="90"/>
        <w:rPr>
          <w:rFonts w:ascii="Calibri" w:cs="Calibri" w:eastAsia="Calibri" w:hAnsi="Calibri"/>
          <w:sz w:val="22"/>
          <w:szCs w:val="22"/>
        </w:rPr>
      </w:pPr>
      <w:r>
        <w:t xml:space="preserve">Log new sources and licences in the dataset manifest (see Project Report, Appendix A).</w:t>
      </w:r>
    </w:p>
    <w:p>
      <w:pPr>
        <w:pStyle w:val="Heading1"/>
        <w:pBdr>
          <w:bottom w:val="single" w:color="0E7490" w:sz="10" w:space="6"/>
        </w:pBdr>
        <w:spacing w:after="200" w:before="360"/>
      </w:pPr>
      <w:r>
        <w:t xml:space="preserve">5. Training the Python ML Model</w:t>
      </w:r>
    </w:p>
    <w:p>
      <w:pPr>
        <w:spacing w:after="160" w:line="276"/>
        <w:jc w:val="both"/>
      </w:pPr>
      <w:r>
        <w:rPr>
          <w:rFonts w:ascii="Calibri" w:cs="Calibri" w:eastAsia="Calibri" w:hAnsi="Calibri"/>
          <w:i w:val="false"/>
          <w:iCs w:val="false"/>
          <w:sz w:val="22"/>
          <w:szCs w:val="22"/>
        </w:rPr>
        <w:t xml:space="preserve">The Python ML engine extracts 40 MFCCs, Chroma STFT, Spectral Centroid, Zero-Crossing Rate, and RMS Energy per clip, then trains the SVM/CNN classifiers (benchmarked against YAMNet embeddings).</w:t>
      </w:r>
    </w:p>
    <w:p>
      <w:pPr>
        <w:pStyle w:val="Heading2"/>
        <w:spacing w:after="140" w:before="280"/>
      </w:pPr>
      <w:r>
        <w:t xml:space="preserve">5.1 Typical Workflow</w:t>
      </w:r>
    </w:p>
    <w:p>
      <w:pPr>
        <w:pStyle w:val="ListParagraph"/>
        <w:numPr>
          <w:ilvl w:val="0"/>
          <w:numId w:val="1"/>
        </w:numPr>
        <w:spacing w:after="90"/>
        <w:rPr>
          <w:rFonts w:ascii="Calibri" w:cs="Calibri" w:eastAsia="Calibri" w:hAnsi="Calibri"/>
          <w:sz w:val="22"/>
          <w:szCs w:val="22"/>
        </w:rPr>
      </w:pPr>
      <w:r>
        <w:t xml:space="preserve">Extract features for every file in Dataset/&lt;ClassName&gt;/.</w:t>
      </w:r>
    </w:p>
    <w:p>
      <w:pPr>
        <w:pStyle w:val="ListParagraph"/>
        <w:numPr>
          <w:ilvl w:val="0"/>
          <w:numId w:val="1"/>
        </w:numPr>
        <w:spacing w:after="90"/>
        <w:rPr>
          <w:rFonts w:ascii="Calibri" w:cs="Calibri" w:eastAsia="Calibri" w:hAnsi="Calibri"/>
          <w:sz w:val="22"/>
          <w:szCs w:val="22"/>
        </w:rPr>
      </w:pPr>
      <w:r>
        <w:t xml:space="preserve">Split into train / validation / test sets (log the split ratio and random seed used).</w:t>
      </w:r>
    </w:p>
    <w:p>
      <w:pPr>
        <w:pStyle w:val="ListParagraph"/>
        <w:numPr>
          <w:ilvl w:val="0"/>
          <w:numId w:val="1"/>
        </w:numPr>
        <w:spacing w:after="90"/>
        <w:rPr>
          <w:rFonts w:ascii="Calibri" w:cs="Calibri" w:eastAsia="Calibri" w:hAnsi="Calibri"/>
          <w:sz w:val="22"/>
          <w:szCs w:val="22"/>
        </w:rPr>
      </w:pPr>
      <w:r>
        <w:t xml:space="preserve">Train the SVM and CNN components of the ensemble.</w:t>
      </w:r>
    </w:p>
    <w:p>
      <w:pPr>
        <w:pStyle w:val="ListParagraph"/>
        <w:numPr>
          <w:ilvl w:val="0"/>
          <w:numId w:val="1"/>
        </w:numPr>
        <w:spacing w:after="90"/>
        <w:rPr>
          <w:rFonts w:ascii="Calibri" w:cs="Calibri" w:eastAsia="Calibri" w:hAnsi="Calibri"/>
          <w:sz w:val="22"/>
          <w:szCs w:val="22"/>
        </w:rPr>
      </w:pPr>
      <w:r>
        <w:t xml:space="preserve">Evaluate on the held-out test set and record Accuracy, Precision, Recall, and Macro F1 — the currently verified figures (96.7% / 95.8% / 96.2% / 0.960) are shown on the live Models screen and should be reproduced from the training script's own output.</w:t>
      </w:r>
    </w:p>
    <w:p>
      <w:pPr>
        <w:pStyle w:val="ListParagraph"/>
        <w:numPr>
          <w:ilvl w:val="0"/>
          <w:numId w:val="1"/>
        </w:numPr>
        <w:spacing w:after="90"/>
        <w:rPr>
          <w:rFonts w:ascii="Calibri" w:cs="Calibri" w:eastAsia="Calibri" w:hAnsi="Calibri"/>
          <w:sz w:val="22"/>
          <w:szCs w:val="22"/>
        </w:rPr>
      </w:pPr>
      <w:r>
        <w:t xml:space="preserve">Save the trained model artifact to the path referenced by MODEL_PATH.</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The exact training script name/location and hyperparameters (epochs, batch size, learning rate) were not visible from the supplied evidence. Document them here directly from the training code, including the random seed, so results are reproducible.</w:t>
      </w:r>
    </w:p>
    <w:p>
      <w:pPr>
        <w:pStyle w:val="Heading1"/>
        <w:pBdr>
          <w:bottom w:val="single" w:color="0E7490" w:sz="10" w:space="6"/>
        </w:pBdr>
        <w:spacing w:after="200" w:before="360"/>
      </w:pPr>
      <w:r>
        <w:t xml:space="preserve">6. Teachable Machine Integration</w:t>
      </w:r>
    </w:p>
    <w:p>
      <w:pPr>
        <w:spacing w:after="160" w:line="276"/>
        <w:jc w:val="both"/>
      </w:pPr>
      <w:r>
        <w:rPr>
          <w:rFonts w:ascii="Calibri" w:cs="Calibri" w:eastAsia="Calibri" w:hAnsi="Calibri"/>
          <w:i w:val="false"/>
          <w:iCs w:val="false"/>
          <w:sz w:val="22"/>
          <w:szCs w:val="22"/>
        </w:rPr>
        <w:t xml:space="preserve">The Teachable Machine adapter runs client-side (AudioNet, 1024-bin FFT) and reports inference times under 35 ms. It is described on the platform as fully decoupled from the Python ML engine — outputs are compared, not merged, so neither model biases the other.</w:t>
      </w:r>
    </w:p>
    <w:p>
      <w:pPr>
        <w:pStyle w:val="Heading2"/>
        <w:spacing w:after="140" w:before="280"/>
      </w:pPr>
      <w:r>
        <w:t xml:space="preserve">6.1 Re-training / Updating the Teachable Machine Model</w:t>
      </w:r>
    </w:p>
    <w:p>
      <w:pPr>
        <w:pStyle w:val="ListParagraph"/>
        <w:numPr>
          <w:ilvl w:val="0"/>
          <w:numId w:val="1"/>
        </w:numPr>
        <w:spacing w:after="90"/>
        <w:rPr>
          <w:rFonts w:ascii="Calibri" w:cs="Calibri" w:eastAsia="Calibri" w:hAnsi="Calibri"/>
          <w:sz w:val="22"/>
          <w:szCs w:val="22"/>
        </w:rPr>
      </w:pPr>
      <w:r>
        <w:t xml:space="preserve">Open the project at teachablemachine.withgoogle.com and select the existing Audio Project (or create a new one for the 10 SonicSentinel classes).</w:t>
      </w:r>
    </w:p>
    <w:p>
      <w:pPr>
        <w:pStyle w:val="ListParagraph"/>
        <w:numPr>
          <w:ilvl w:val="0"/>
          <w:numId w:val="1"/>
        </w:numPr>
        <w:spacing w:after="90"/>
        <w:rPr>
          <w:rFonts w:ascii="Calibri" w:cs="Calibri" w:eastAsia="Calibri" w:hAnsi="Calibri"/>
          <w:sz w:val="22"/>
          <w:szCs w:val="22"/>
        </w:rPr>
      </w:pPr>
      <w:r>
        <w:t xml:space="preserve">Record or re-record samples per class using the microphone (see the Project Report and course materials for the recommended workaround for bulk existing datasets).</w:t>
      </w:r>
    </w:p>
    <w:p>
      <w:pPr>
        <w:pStyle w:val="ListParagraph"/>
        <w:numPr>
          <w:ilvl w:val="0"/>
          <w:numId w:val="1"/>
        </w:numPr>
        <w:spacing w:after="90"/>
        <w:rPr>
          <w:rFonts w:ascii="Calibri" w:cs="Calibri" w:eastAsia="Calibri" w:hAnsi="Calibri"/>
          <w:sz w:val="22"/>
          <w:szCs w:val="22"/>
        </w:rPr>
      </w:pPr>
      <w:r>
        <w:t xml:space="preserve">Train, preview, and export as TensorFlow.js.</w:t>
      </w:r>
    </w:p>
    <w:p>
      <w:pPr>
        <w:pStyle w:val="ListParagraph"/>
        <w:numPr>
          <w:ilvl w:val="0"/>
          <w:numId w:val="1"/>
        </w:numPr>
        <w:spacing w:after="90"/>
        <w:rPr>
          <w:rFonts w:ascii="Calibri" w:cs="Calibri" w:eastAsia="Calibri" w:hAnsi="Calibri"/>
          <w:sz w:val="22"/>
          <w:szCs w:val="22"/>
        </w:rPr>
      </w:pPr>
      <w:r>
        <w:t xml:space="preserve">Update TEACHABLE_MACHINE_MODEL_URL (or the equivalent config value) with the new shareable link.</w:t>
      </w:r>
    </w:p>
    <w:p>
      <w:r>
        <w:br w:type="page"/>
      </w:r>
    </w:p>
    <w:p>
      <w:pPr>
        <w:pStyle w:val="Heading1"/>
        <w:pBdr>
          <w:bottom w:val="single" w:color="0E7490" w:sz="10" w:space="6"/>
        </w:pBdr>
        <w:spacing w:after="200" w:before="360"/>
      </w:pPr>
      <w:r>
        <w:t xml:space="preserve">7. Backend / API Reference</w:t>
      </w:r>
    </w:p>
    <w:p>
      <w:pPr>
        <w:spacing w:after="160" w:line="276"/>
        <w:jc w:val="both"/>
      </w:pPr>
      <w:r>
        <w:rPr>
          <w:rFonts w:ascii="Calibri" w:cs="Calibri" w:eastAsia="Calibri" w:hAnsi="Calibri"/>
          <w:i w:val="false"/>
          <w:iCs w:val="false"/>
          <w:sz w:val="22"/>
          <w:szCs w:val="22"/>
        </w:rPr>
        <w:t xml:space="preserve">The FastAPI service exposes the endpoints needed to support upload, live monitoring, dashboards, alerts, and reporting. Exact route paths were not visible from the supplied UI evidence — generate the authoritative list from the running service's OpenAPI schema (typically available at /docs or /openapi.json) and replace the placeholder table below.</w:t>
      </w:r>
    </w:p>
    <w:p>
      <w:pPr>
        <w:spacing w:after="80" w:before="160"/>
      </w:pPr>
      <w:r>
        <w:rPr>
          <w:rFonts w:ascii="Calibri" w:cs="Calibri" w:eastAsia="Calibri" w:hAnsi="Calibri"/>
          <w:b/>
          <w:bCs/>
          <w:sz w:val="19"/>
          <w:szCs w:val="19"/>
        </w:rPr>
        <w:t xml:space="preserve">Table 3: </w:t>
      </w:r>
      <w:r>
        <w:rPr>
          <w:rFonts w:ascii="Calibri" w:cs="Calibri" w:eastAsia="Calibri" w:hAnsi="Calibri"/>
          <w:i/>
          <w:iCs/>
          <w:sz w:val="19"/>
          <w:szCs w:val="19"/>
        </w:rPr>
        <w:t xml:space="preserve">API surface — to be completed from /docs (placeholder structure)</w:t>
      </w:r>
    </w:p>
    <w:tbl>
      <w:tblPr>
        <w:tblW w:type="dxa" w:w="930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3800"/>
        <w:gridCol w:w="3100"/>
      </w:tblGrid>
      <w:tr>
        <w:trPr>
          <w:tblHeader/>
        </w:trPr>
        <w:tc>
          <w:tcPr>
            <w:tcW w:type="dxa" w:w="24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Area</w:t>
            </w:r>
          </w:p>
        </w:tc>
        <w:tc>
          <w:tcPr>
            <w:tcW w:type="dxa" w:w="38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Likely endpoint group</w:t>
            </w:r>
          </w:p>
        </w:tc>
        <w:tc>
          <w:tcPr>
            <w:tcW w:type="dxa" w:w="31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Authentication</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/auth/*</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 upload</w:t>
            </w:r>
          </w:p>
        </w:tc>
        <w:tc>
          <w:tcPr>
            <w:tcW w:type="dxa" w:w="3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/audio/upload</w:t>
            </w:r>
          </w:p>
        </w:tc>
        <w:tc>
          <w:tcPr>
            <w:tcW w:type="dxa" w:w="3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Live monitoring</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/audio/stream (WebSocket)</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Detections / history</w:t>
            </w:r>
          </w:p>
        </w:tc>
        <w:tc>
          <w:tcPr>
            <w:tcW w:type="dxa" w:w="3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/detections/*</w:t>
            </w:r>
          </w:p>
        </w:tc>
        <w:tc>
          <w:tcPr>
            <w:tcW w:type="dxa" w:w="3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Alerts</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/alerts/*</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Admin — users</w:t>
            </w:r>
          </w:p>
        </w:tc>
        <w:tc>
          <w:tcPr>
            <w:tcW w:type="dxa" w:w="3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/admin/users</w:t>
            </w:r>
          </w:p>
        </w:tc>
        <w:tc>
          <w:tcPr>
            <w:tcW w:type="dxa" w:w="3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Admin — reports</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/admin/reports</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bl>
    <w:p>
      <w:pPr>
        <w:pStyle w:val="Heading1"/>
        <w:pBdr>
          <w:bottom w:val="single" w:color="0E7490" w:sz="10" w:space="6"/>
        </w:pBdr>
        <w:spacing w:after="200" w:before="360"/>
      </w:pPr>
      <w:r>
        <w:t xml:space="preserve">8. Database Schema</w:t>
      </w:r>
    </w:p>
    <w:p>
      <w:pPr>
        <w:spacing w:after="160" w:line="276"/>
        <w:jc w:val="both"/>
      </w:pPr>
      <w:r>
        <w:rPr>
          <w:rFonts w:ascii="Calibri" w:cs="Calibri" w:eastAsia="Calibri" w:hAnsi="Calibri"/>
          <w:i w:val="false"/>
          <w:iCs w:val="false"/>
          <w:sz w:val="22"/>
          <w:szCs w:val="22"/>
        </w:rPr>
        <w:t xml:space="preserve">MongoDB Atlas is the primary store for detections, alerts, users, and audit history. The Admin Models/Reports screens separately reference a "sqlite" baseline store — confirm and document the exact split (e.g. sqlite for local model metadata vs. MongoDB for live operational data) before finalising this section.</w:t>
      </w:r>
    </w:p>
    <w:p>
      <w:pPr>
        <w:spacing w:after="80" w:before="160"/>
      </w:pPr>
      <w:r>
        <w:rPr>
          <w:rFonts w:ascii="Calibri" w:cs="Calibri" w:eastAsia="Calibri" w:hAnsi="Calibri"/>
          <w:b/>
          <w:bCs/>
          <w:sz w:val="19"/>
          <w:szCs w:val="19"/>
        </w:rPr>
        <w:t xml:space="preserve">Table 4: </w:t>
      </w:r>
      <w:r>
        <w:rPr>
          <w:rFonts w:ascii="Calibri" w:cs="Calibri" w:eastAsia="Calibri" w:hAnsi="Calibri"/>
          <w:i/>
          <w:iCs/>
          <w:sz w:val="19"/>
          <w:szCs w:val="19"/>
        </w:rPr>
        <w:t xml:space="preserve">Suggested detection record schema (placeholder — confirm against actual code)</w:t>
      </w:r>
    </w:p>
    <w:tbl>
      <w:tblPr>
        <w:tblW w:type="dxa" w:w="930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2000"/>
        <w:gridCol w:w="4900"/>
      </w:tblGrid>
      <w:tr>
        <w:trPr>
          <w:tblHeader/>
        </w:trPr>
        <w:tc>
          <w:tcPr>
            <w:tcW w:type="dxa" w:w="24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Field</w:t>
            </w:r>
          </w:p>
        </w:tc>
        <w:tc>
          <w:tcPr>
            <w:tcW w:type="dxa" w:w="20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Type</w:t>
            </w:r>
          </w:p>
        </w:tc>
        <w:tc>
          <w:tcPr>
            <w:tcW w:type="dxa" w:w="49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_id</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ObjectId</w:t>
            </w:r>
          </w:p>
        </w:tc>
        <w:tc>
          <w:tcPr>
            <w:tcW w:type="dxa" w:w="4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Primary key</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user_id</w:t>
            </w:r>
          </w:p>
        </w:tc>
        <w:tc>
          <w:tcPr>
            <w:tcW w:type="dxa" w:w="2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ObjectId / string</w:t>
            </w:r>
          </w:p>
        </w:tc>
        <w:tc>
          <w:tcPr>
            <w:tcW w:type="dxa" w:w="4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Owning account</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timestamp</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datetime</w:t>
            </w:r>
          </w:p>
        </w:tc>
        <w:tc>
          <w:tcPr>
            <w:tcW w:type="dxa" w:w="4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When the audio was captured/uploaded</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predicted_class</w:t>
            </w:r>
          </w:p>
        </w:tc>
        <w:tc>
          <w:tcPr>
            <w:tcW w:type="dxa" w:w="2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string</w:t>
            </w:r>
          </w:p>
        </w:tc>
        <w:tc>
          <w:tcPr>
            <w:tcW w:type="dxa" w:w="4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One of the 10 defined classes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confidence</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float</w:t>
            </w:r>
          </w:p>
        </w:tc>
        <w:tc>
          <w:tcPr>
            <w:tcW w:type="dxa" w:w="4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0–1 or 0–100 depending on convention</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engine</w:t>
            </w:r>
          </w:p>
        </w:tc>
        <w:tc>
          <w:tcPr>
            <w:tcW w:type="dxa" w:w="2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string</w:t>
            </w:r>
          </w:p>
        </w:tc>
        <w:tc>
          <w:tcPr>
            <w:tcW w:type="dxa" w:w="4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"python_ml" or "teachable_machine"</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severity</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string</w:t>
            </w:r>
          </w:p>
        </w:tc>
        <w:tc>
          <w:tcPr>
            <w:tcW w:type="dxa" w:w="4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low / medium / high / critical</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status</w:t>
            </w:r>
          </w:p>
        </w:tc>
        <w:tc>
          <w:tcPr>
            <w:tcW w:type="dxa" w:w="2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string</w:t>
            </w:r>
          </w:p>
        </w:tc>
        <w:tc>
          <w:tcPr>
            <w:tcW w:type="dxa" w:w="4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acknowledged / unacknowledged</w:t>
            </w:r>
          </w:p>
        </w:tc>
      </w:tr>
    </w:tbl>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This schema is a suggested starting point, not a verified one — replace it with the actual MongoDB collection schema from the codebase.</w:t>
      </w:r>
    </w:p>
    <w:p>
      <w:pPr>
        <w:pStyle w:val="Heading1"/>
        <w:pBdr>
          <w:bottom w:val="single" w:color="0E7490" w:sz="10" w:space="6"/>
        </w:pBdr>
        <w:spacing w:after="200" w:before="360"/>
      </w:pPr>
      <w:r>
        <w:t xml:space="preserve">9. Deployment</w:t>
      </w:r>
    </w:p>
    <w:p>
      <w:pPr>
        <w:pStyle w:val="ListParagraph"/>
        <w:numPr>
          <w:ilvl w:val="0"/>
          <w:numId w:val="1"/>
        </w:numPr>
        <w:spacing w:after="90"/>
        <w:rPr>
          <w:rFonts w:ascii="Calibri" w:cs="Calibri" w:eastAsia="Calibri" w:hAnsi="Calibri"/>
          <w:sz w:val="22"/>
          <w:szCs w:val="22"/>
        </w:rPr>
      </w:pPr>
      <w:r>
        <w:t xml:space="preserve">Provision a MongoDB Atlas cluster and record the connection string as MONGODB_URI.</w:t>
      </w:r>
    </w:p>
    <w:p>
      <w:pPr>
        <w:pStyle w:val="ListParagraph"/>
        <w:numPr>
          <w:ilvl w:val="0"/>
          <w:numId w:val="1"/>
        </w:numPr>
        <w:spacing w:after="90"/>
        <w:rPr>
          <w:rFonts w:ascii="Calibri" w:cs="Calibri" w:eastAsia="Calibri" w:hAnsi="Calibri"/>
          <w:sz w:val="22"/>
          <w:szCs w:val="22"/>
        </w:rPr>
      </w:pPr>
      <w:r>
        <w:t xml:space="preserve">Deploy the FastAPI backend (e.g. to a container platform or PaaS of your choice).</w:t>
      </w:r>
    </w:p>
    <w:p>
      <w:pPr>
        <w:pStyle w:val="ListParagraph"/>
        <w:numPr>
          <w:ilvl w:val="0"/>
          <w:numId w:val="1"/>
        </w:numPr>
        <w:spacing w:after="90"/>
        <w:rPr>
          <w:rFonts w:ascii="Calibri" w:cs="Calibri" w:eastAsia="Calibri" w:hAnsi="Calibri"/>
          <w:sz w:val="22"/>
          <w:szCs w:val="22"/>
        </w:rPr>
      </w:pPr>
      <w:r>
        <w:t xml:space="preserve">Deploy the React frontend as a static build, pointing API calls at the deployed backend URL.</w:t>
      </w:r>
    </w:p>
    <w:p>
      <w:pPr>
        <w:pStyle w:val="ListParagraph"/>
        <w:numPr>
          <w:ilvl w:val="0"/>
          <w:numId w:val="1"/>
        </w:numPr>
        <w:spacing w:after="90"/>
        <w:rPr>
          <w:rFonts w:ascii="Calibri" w:cs="Calibri" w:eastAsia="Calibri" w:hAnsi="Calibri"/>
          <w:sz w:val="22"/>
          <w:szCs w:val="22"/>
        </w:rPr>
      </w:pPr>
      <w:r>
        <w:t xml:space="preserve">Set ALLOWED_ORIGINS on the backend to the deployed frontend's URL for CORS.</w:t>
      </w:r>
    </w:p>
    <w:p>
      <w:pPr>
        <w:pStyle w:val="ListParagraph"/>
        <w:numPr>
          <w:ilvl w:val="0"/>
          <w:numId w:val="1"/>
        </w:numPr>
        <w:spacing w:after="90"/>
        <w:rPr>
          <w:rFonts w:ascii="Calibri" w:cs="Calibri" w:eastAsia="Calibri" w:hAnsi="Calibri"/>
          <w:sz w:val="22"/>
          <w:szCs w:val="22"/>
        </w:rPr>
      </w:pPr>
      <w:r>
        <w:t xml:space="preserve">Publish the public URL together with evaluator/admin test credentials, as required by the assignment's submission checklist.</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Exact hosting provider(s), CI/CD pipeline, and environment-specific configuration were not confirmed in the evidence supplied. Document the real deployment steps and public URL here before final submission.</w:t>
      </w:r>
    </w:p>
    <w:p>
      <w:pPr>
        <w:pStyle w:val="Heading1"/>
        <w:pBdr>
          <w:bottom w:val="single" w:color="0E7490" w:sz="10" w:space="6"/>
        </w:pBdr>
        <w:spacing w:after="200" w:before="360"/>
      </w:pPr>
      <w:r>
        <w:t xml:space="preserve">10. Testing Guide</w:t>
      </w:r>
    </w:p>
    <w:p>
      <w:pPr>
        <w:spacing w:after="160" w:line="276"/>
        <w:jc w:val="both"/>
      </w:pPr>
      <w:r>
        <w:rPr>
          <w:rFonts w:ascii="Calibri" w:cs="Calibri" w:eastAsia="Calibri" w:hAnsi="Calibri"/>
          <w:i w:val="false"/>
          <w:iCs w:val="false"/>
          <w:sz w:val="22"/>
          <w:szCs w:val="22"/>
        </w:rPr>
        <w:t xml:space="preserve">See the Project Report, Section 11, for the full functional/model test-case table. From a developer's perspective:</w:t>
      </w:r>
    </w:p>
    <w:p>
      <w:pPr>
        <w:pStyle w:val="ListParagraph"/>
        <w:numPr>
          <w:ilvl w:val="0"/>
          <w:numId w:val="1"/>
        </w:numPr>
        <w:spacing w:after="90"/>
        <w:rPr>
          <w:rFonts w:ascii="Calibri" w:cs="Calibri" w:eastAsia="Calibri" w:hAnsi="Calibri"/>
          <w:sz w:val="22"/>
          <w:szCs w:val="22"/>
        </w:rPr>
      </w:pPr>
      <w:r>
        <w:t xml:space="preserve">Unit-test feature extraction functions with known-good sample clips.</w:t>
      </w:r>
    </w:p>
    <w:p>
      <w:pPr>
        <w:pStyle w:val="ListParagraph"/>
        <w:numPr>
          <w:ilvl w:val="0"/>
          <w:numId w:val="1"/>
        </w:numPr>
        <w:spacing w:after="90"/>
        <w:rPr>
          <w:rFonts w:ascii="Calibri" w:cs="Calibri" w:eastAsia="Calibri" w:hAnsi="Calibri"/>
          <w:sz w:val="22"/>
          <w:szCs w:val="22"/>
        </w:rPr>
      </w:pPr>
      <w:r>
        <w:t xml:space="preserve">Integration-test the upload → classification → alert pipeline end to end.</w:t>
      </w:r>
    </w:p>
    <w:p>
      <w:pPr>
        <w:pStyle w:val="ListParagraph"/>
        <w:numPr>
          <w:ilvl w:val="0"/>
          <w:numId w:val="1"/>
        </w:numPr>
        <w:spacing w:after="90"/>
        <w:rPr>
          <w:rFonts w:ascii="Calibri" w:cs="Calibri" w:eastAsia="Calibri" w:hAnsi="Calibri"/>
          <w:sz w:val="22"/>
          <w:szCs w:val="22"/>
        </w:rPr>
      </w:pPr>
      <w:r>
        <w:t xml:space="preserve">Add boundary tests for unsupported formats, empty files, and oversized uploads.</w:t>
      </w:r>
    </w:p>
    <w:p>
      <w:pPr>
        <w:pStyle w:val="ListParagraph"/>
        <w:numPr>
          <w:ilvl w:val="0"/>
          <w:numId w:val="1"/>
        </w:numPr>
        <w:spacing w:after="90"/>
        <w:rPr>
          <w:rFonts w:ascii="Calibri" w:cs="Calibri" w:eastAsia="Calibri" w:hAnsi="Calibri"/>
          <w:sz w:val="22"/>
          <w:szCs w:val="22"/>
        </w:rPr>
      </w:pPr>
      <w:r>
        <w:t xml:space="preserve">Add negative tests for unauthorized access to Admin-only routes.</w:t>
      </w:r>
    </w:p>
    <w:p>
      <w:pPr>
        <w:pStyle w:val="ListParagraph"/>
        <w:numPr>
          <w:ilvl w:val="0"/>
          <w:numId w:val="1"/>
        </w:numPr>
        <w:spacing w:after="90"/>
        <w:rPr>
          <w:rFonts w:ascii="Calibri" w:cs="Calibri" w:eastAsia="Calibri" w:hAnsi="Calibri"/>
          <w:sz w:val="22"/>
          <w:szCs w:val="22"/>
        </w:rPr>
      </w:pPr>
      <w:r>
        <w:t xml:space="preserve">Record actual results (not assumptions) in the Project Report's test-case table before submission.</w:t>
      </w:r>
    </w:p>
    <w:p>
      <w:pPr>
        <w:pStyle w:val="Heading1"/>
        <w:pBdr>
          <w:bottom w:val="single" w:color="0E7490" w:sz="10" w:space="6"/>
        </w:pBdr>
        <w:spacing w:after="200" w:before="360"/>
      </w:pPr>
      <w:r>
        <w:t xml:space="preserve">11. Troubleshooting</w:t>
      </w:r>
    </w:p>
    <w:p>
      <w:pPr>
        <w:pStyle w:val="Heading3"/>
        <w:spacing w:after="100" w:before="200"/>
      </w:pPr>
      <w:r>
        <w:t xml:space="preserve">librosa / audioread fails to load MP3 or M4A files</w:t>
      </w:r>
    </w:p>
    <w:p>
      <w:pPr>
        <w:spacing w:after="160" w:line="276"/>
        <w:jc w:val="both"/>
      </w:pPr>
      <w:r>
        <w:rPr>
          <w:rFonts w:ascii="Calibri" w:cs="Calibri" w:eastAsia="Calibri" w:hAnsi="Calibri"/>
          <w:i w:val="false"/>
          <w:iCs w:val="false"/>
          <w:sz w:val="22"/>
          <w:szCs w:val="22"/>
        </w:rPr>
        <w:t xml:space="preserve">Confirm ffmpeg is installed and available on the system PATH.</w:t>
      </w:r>
    </w:p>
    <w:p>
      <w:pPr>
        <w:pStyle w:val="Heading3"/>
        <w:spacing w:after="100" w:before="200"/>
      </w:pPr>
      <w:r>
        <w:t xml:space="preserve">Teachable Machine predictions look inconsistent with the Python engine</w:t>
      </w:r>
    </w:p>
    <w:p>
      <w:pPr>
        <w:spacing w:after="160" w:line="276"/>
        <w:jc w:val="both"/>
      </w:pPr>
      <w:r>
        <w:rPr>
          <w:rFonts w:ascii="Calibri" w:cs="Calibri" w:eastAsia="Calibri" w:hAnsi="Calibri"/>
          <w:i w:val="false"/>
          <w:iCs w:val="false"/>
          <w:sz w:val="22"/>
          <w:szCs w:val="22"/>
        </w:rPr>
        <w:t xml:space="preserve">Confirm both engines were evaluated on the same held-out test set — see Project Report Section 5.3.</w:t>
      </w:r>
    </w:p>
    <w:p>
      <w:pPr>
        <w:pStyle w:val="Heading3"/>
        <w:spacing w:after="100" w:before="200"/>
      </w:pPr>
      <w:r>
        <w:t xml:space="preserve">MongoDB connection errors on startup</w:t>
      </w:r>
    </w:p>
    <w:p>
      <w:pPr>
        <w:spacing w:after="160" w:line="276"/>
        <w:jc w:val="both"/>
      </w:pPr>
      <w:r>
        <w:rPr>
          <w:rFonts w:ascii="Calibri" w:cs="Calibri" w:eastAsia="Calibri" w:hAnsi="Calibri"/>
          <w:i w:val="false"/>
          <w:iCs w:val="false"/>
          <w:sz w:val="22"/>
          <w:szCs w:val="22"/>
        </w:rPr>
        <w:t xml:space="preserve">Double-check MONGODB_URI and that the deployment environment's IP is allow-listed in Atlas.</w:t>
      </w:r>
    </w:p>
    <w:p>
      <w:pPr>
        <w:pStyle w:val="Heading1"/>
        <w:pBdr>
          <w:bottom w:val="single" w:color="0E7490" w:sz="10" w:space="6"/>
        </w:pBdr>
        <w:spacing w:after="200" w:before="360"/>
      </w:pPr>
      <w:r>
        <w:t xml:space="preserve">12. AI Usage Declaration</w:t>
      </w:r>
    </w:p>
    <w:p>
      <w:pPr>
        <w:spacing w:after="160" w:line="276"/>
        <w:jc w:val="both"/>
      </w:pPr>
      <w:r>
        <w:rPr>
          <w:rFonts w:ascii="Calibri" w:cs="Calibri" w:eastAsia="Calibri" w:hAnsi="Calibri"/>
          <w:i w:val="false"/>
          <w:iCs w:val="false"/>
          <w:sz w:val="22"/>
          <w:szCs w:val="22"/>
        </w:rPr>
        <w:t xml:space="preserve">Per the assignment brief, document every AI tool used during development in AI_USAGE.md, including its purpose, which files it touched, what was modified, and how the output was reviewed and tested by the team. Do not submit AI-generated code without understanding, reviewing, modifying, and testing it — the final classification logic must come from the team's own implemented models and rules, not an external generative-AI API call at runtime.</w:t>
      </w:r>
    </w:p>
    <w:p>
      <w:pPr>
        <w:spacing w:after="80" w:before="160"/>
      </w:pPr>
      <w:r>
        <w:rPr>
          <w:rFonts w:ascii="Calibri" w:cs="Calibri" w:eastAsia="Calibri" w:hAnsi="Calibri"/>
          <w:b/>
          <w:bCs/>
          <w:sz w:val="19"/>
          <w:szCs w:val="19"/>
        </w:rPr>
        <w:t xml:space="preserve">Table 5: </w:t>
      </w:r>
      <w:r>
        <w:rPr>
          <w:rFonts w:ascii="Calibri" w:cs="Calibri" w:eastAsia="Calibri" w:hAnsi="Calibri"/>
          <w:i/>
          <w:iCs/>
          <w:sz w:val="19"/>
          <w:szCs w:val="19"/>
        </w:rPr>
        <w:t xml:space="preserve">AI_USAGE.md — suggested structure</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2600"/>
        <w:gridCol w:w="6900"/>
      </w:tblGrid>
      <w:tr>
        <w:trPr>
          <w:tblHeader/>
        </w:trPr>
        <w:tc>
          <w:tcPr>
            <w:tcW w:type="dxa" w:w="2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Field</w:t>
            </w:r>
          </w:p>
        </w:tc>
        <w:tc>
          <w:tcPr>
            <w:tcW w:type="dxa" w:w="69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Tool</w:t>
            </w:r>
          </w:p>
        </w:tc>
        <w:tc>
          <w:tcPr>
            <w:tcW w:type="dxa" w:w="6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Name of the AI tool used (e.g. Claude, ChatGPT, Copilot)</w:t>
            </w:r>
          </w:p>
        </w:tc>
      </w:tr>
      <w:tr>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Purpose</w:t>
            </w:r>
          </w:p>
        </w:tc>
        <w:tc>
          <w:tcPr>
            <w:tcW w:type="dxa" w:w="6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What it was used for (e.g. drafting documentation, boilerplate code)</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Files affected</w:t>
            </w:r>
          </w:p>
        </w:tc>
        <w:tc>
          <w:tcPr>
            <w:tcW w:type="dxa" w:w="6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List of files touched</w:t>
            </w:r>
          </w:p>
        </w:tc>
      </w:tr>
      <w:tr>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Modifications made</w:t>
            </w:r>
          </w:p>
        </w:tc>
        <w:tc>
          <w:tcPr>
            <w:tcW w:type="dxa" w:w="6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How the team changed/reviewed the output</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Testing performed</w:t>
            </w:r>
          </w:p>
        </w:tc>
        <w:tc>
          <w:tcPr>
            <w:tcW w:type="dxa" w:w="6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How correctness was verified before merging</w:t>
            </w:r>
          </w:p>
        </w:tc>
      </w:tr>
    </w:tbl>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Calibri" w:cs="Calibri" w:eastAsia="Calibri" w:hAnsi="Calibri"/>
        <w:color w:val="4B5563"/>
        <w:sz w:val="16"/>
        <w:szCs w:val="16"/>
      </w:rPr>
      <w:t xml:space="preserve">Page </w:t>
    </w:r>
    <w:r>
      <w:rPr>
        <w:rFonts w:ascii="Calibri" w:cs="Calibri" w:eastAsia="Calibri" w:hAnsi="Calibri"/>
        <w:color w:val="4B5563"/>
        <w:sz w:val="16"/>
        <w:szCs w:val="16"/>
      </w:rPr>
      <w:fldChar w:fldCharType="begin"/>
      <w:instrText xml:space="preserve">PAGE</w:instrText>
      <w:fldChar w:fldCharType="separate"/>
      <w:fldChar w:fldCharType="end"/>
    </w:r>
    <w:r>
      <w:rPr>
        <w:rFonts w:ascii="Calibri" w:cs="Calibri" w:eastAsia="Calibri" w:hAnsi="Calibri"/>
        <w:color w:val="4B5563"/>
        <w:sz w:val="16"/>
        <w:szCs w:val="16"/>
      </w:rPr>
      <w:t xml:space="preserve"> of </w:t>
    </w:r>
    <w:r>
      <w:rPr>
        <w:rFonts w:ascii="Calibri" w:cs="Calibri" w:eastAsia="Calibri" w:hAnsi="Calibri"/>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0E7490"/>
        <w:sz w:val="16"/>
        <w:szCs w:val="16"/>
      </w:rPr>
      <w:t xml:space="preserve">SonicSentinel AI</w:t>
    </w:r>
    <w:r>
      <w:rPr>
        <w:rFonts w:ascii="Calibri" w:cs="Calibri" w:eastAsia="Calibri" w:hAnsi="Calibri"/>
        <w:color w:val="4B5563"/>
        <w:sz w:val="16"/>
        <w:szCs w:val="16"/>
      </w:rPr>
      <w:t xml:space="preserve">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2026-09-28T19:36:10.095Z</dcterms:created>
  <dcterms:modified xsi:type="dcterms:W3CDTF">2026-09-28T19:36:10.095Z</dcterms:modified>
</cp:coreProperties>
</file>

<file path=docProps/custom.xml><?xml version="1.0" encoding="utf-8"?>
<Properties xmlns="http://schemas.openxmlformats.org/officeDocument/2006/custom-properties" xmlns:vt="http://schemas.openxmlformats.org/officeDocument/2006/docPropsVTypes"/>
</file>