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DOI: 10.26618</w:t>
      </w:r>
    </w:p>
    <w:p>
      <w:pPr>
        <w:pStyle w:val="BodyText"/>
      </w:pPr>
      <w:r>
        <w:t xml:space="preserve">Equilibrium: Jurnal Pendidikan</w:t>
      </w:r>
      <w:r>
        <w:t xml:space="preserve"> </w:t>
      </w:r>
      <w:r>
        <w:t xml:space="preserve">Vol. XIV. Issu 1. Januari-April 2026</w:t>
      </w:r>
    </w:p>
    <w:p>
      <w:r>
        <w:pict>
          <v:rect style="width:0;height:1.5pt" o:hralign="center" o:hrstd="t" o:hr="t"/>
        </w:pict>
      </w:r>
    </w:p>
    <w:bookmarkStart w:id="33" w:name="X098e730905a2d24c2c4356e6569e926ab4bb972"/>
    <w:p>
      <w:pPr>
        <w:pStyle w:val="Heading1"/>
      </w:pPr>
      <w:r>
        <w:t xml:space="preserve">Perbandingan Agen LLM</w:t>
      </w:r>
      <w:r>
        <w:t xml:space="preserve"> </w:t>
      </w:r>
      <w:r>
        <w:rPr>
          <w:i/>
          <w:iCs/>
        </w:rPr>
        <w:t xml:space="preserve">Open-Weight</w:t>
      </w:r>
      <w:r>
        <w:t xml:space="preserve"> </w:t>
      </w:r>
      <w:r>
        <w:t xml:space="preserve">untuk Penilaian Otomatis Indikator Kurikulum Akreditasi LAM Teknik</w:t>
      </w:r>
    </w:p>
    <w:p>
      <w:pPr>
        <w:pStyle w:val="FirstParagraph"/>
      </w:pPr>
      <w:r>
        <w:rPr>
          <w:b/>
          <w:bCs/>
        </w:rPr>
        <w:t xml:space="preserve">[Nama Penulis]¹, [Nama Pembimbing]²</w:t>
      </w:r>
    </w:p>
    <w:p>
      <w:pPr>
        <w:pStyle w:val="BodyText"/>
      </w:pPr>
      <w:r>
        <w:t xml:space="preserve">¹ Program Studi […], [Institusi/Universitas]</w:t>
      </w:r>
      <w:r>
        <w:t xml:space="preserve"> </w:t>
      </w:r>
      <w:r>
        <w:t xml:space="preserve">E-mail: [author@email.ac.id]</w:t>
      </w:r>
      <w:r>
        <w:t xml:space="preserve"> </w:t>
      </w:r>
      <w:r>
        <w:t xml:space="preserve">² Program Studi […], [Institusi/Universitas]</w:t>
      </w:r>
      <w:r>
        <w:t xml:space="preserve"> </w:t>
      </w:r>
      <w:r>
        <w:t xml:space="preserve">E-mail: [author@email.ac.id]</w:t>
      </w:r>
    </w:p>
    <w:p>
      <w:pPr>
        <w:pStyle w:val="BodyText"/>
      </w:pPr>
      <w:r>
        <w:t xml:space="preserve">Submitted: ……….. ; Accepted: …………. ; Published: ………….</w:t>
      </w:r>
    </w:p>
    <w:p>
      <w:r>
        <w:pict>
          <v:rect style="width:0;height:1.5pt" o:hralign="center" o:hrstd="t" o:hr="t"/>
        </w:pict>
      </w:r>
    </w:p>
    <w:bookmarkStart w:id="20" w:name="abstract-in-english"/>
    <w:p>
      <w:pPr>
        <w:pStyle w:val="Heading2"/>
      </w:pPr>
      <w:r>
        <w:t xml:space="preserve">ABSTRACT (IN ENGLISH)</w:t>
      </w:r>
    </w:p>
    <w:p>
      <w:pPr>
        <w:pStyle w:val="FirstParagraph"/>
      </w:pPr>
      <w:r>
        <w:t xml:space="preserve">Internal Quality Audit (Audit Mutu Internal, AMI) of higher education</w:t>
      </w:r>
      <w:r>
        <w:t xml:space="preserve"> </w:t>
      </w:r>
      <w:r>
        <w:t xml:space="preserve">in Indonesia requires manual scoring of dozens of indicators against a</w:t>
      </w:r>
      <w:r>
        <w:t xml:space="preserve"> </w:t>
      </w:r>
      <w:r>
        <w:t xml:space="preserve">complex rubric using two heterogeneous evidence sources: a qualitative</w:t>
      </w:r>
      <w:r>
        <w:t xml:space="preserve"> </w:t>
      </w:r>
      <w:r>
        <w:t xml:space="preserve">Self-Evaluation Report (LED) and a quantitative Performance Report</w:t>
      </w:r>
      <w:r>
        <w:t xml:space="preserve"> </w:t>
      </w:r>
      <w:r>
        <w:t xml:space="preserve">(LKPS). This study examines whether open-weight Large Language Model</w:t>
      </w:r>
      <w:r>
        <w:t xml:space="preserve"> </w:t>
      </w:r>
      <w:r>
        <w:t xml:space="preserve">(LLM) agents can automate cross-modal scoring on seven core</w:t>
      </w:r>
      <w:r>
        <w:t xml:space="preserve"> </w:t>
      </w:r>
      <w:r>
        <w:t xml:space="preserve">process-and-curriculum indicators, and how the agent paradigm — native</w:t>
      </w:r>
      <w:r>
        <w:t xml:space="preserve"> </w:t>
      </w:r>
      <w:r>
        <w:t xml:space="preserve">function calling versus prompt-based JSON dispatch — affects performance.</w:t>
      </w:r>
      <w:r>
        <w:t xml:space="preserve"> </w:t>
      </w:r>
      <w:r>
        <w:t xml:space="preserve">We implement a Retrieval-Augmented Generation (RAG) agent that</w:t>
      </w:r>
      <w:r>
        <w:t xml:space="preserve"> </w:t>
      </w:r>
      <w:r>
        <w:t xml:space="preserve">cross-references vector-indexed LED chunks with structured LKPS tables</w:t>
      </w:r>
      <w:r>
        <w:t xml:space="preserve"> </w:t>
      </w:r>
      <w:r>
        <w:t xml:space="preserve">through four specialized tools, and benchmark three open-weight models</w:t>
      </w:r>
      <w:r>
        <w:t xml:space="preserve"> </w:t>
      </w:r>
      <w:r>
        <w:t xml:space="preserve">of comparable size (24–35 B parameters): qwen3.5:35b, deepseek-r1:32b,</w:t>
      </w:r>
      <w:r>
        <w:t xml:space="preserve"> </w:t>
      </w:r>
      <w:r>
        <w:t xml:space="preserve">and mistral-small3.2:24b, against Claude-derived reference scores.</w:t>
      </w:r>
      <w:r>
        <w:t xml:space="preserve"> </w:t>
      </w:r>
      <w:r>
        <w:t xml:space="preserve">Results reveal a trade-off: deepseek-r1 leads exact match (57.1%) due</w:t>
      </w:r>
      <w:r>
        <w:t xml:space="preserve"> </w:t>
      </w:r>
      <w:r>
        <w:t xml:space="preserve">to perfect performance on composite indicators (100% exact);</w:t>
      </w:r>
      <w:r>
        <w:t xml:space="preserve"> </w:t>
      </w:r>
      <w:r>
        <w:t xml:space="preserve">qwen3.5 dominates reliability with 100% within-±1 accuracy and zero</w:t>
      </w:r>
      <w:r>
        <w:t xml:space="preserve"> </w:t>
      </w:r>
      <w:r>
        <w:t xml:space="preserve">false refusals; mistral-small3.2 performs poorly with four out of seven</w:t>
      </w:r>
      <w:r>
        <w:t xml:space="preserve"> </w:t>
      </w:r>
      <w:r>
        <w:t xml:space="preserve">outputs as false refusals. We recommend qwen3.5:35b as a reliable AI</w:t>
      </w:r>
      <w:r>
        <w:t xml:space="preserve"> </w:t>
      </w:r>
      <w:r>
        <w:t xml:space="preserve">draft scorer for assisting human assessors in higher-education</w:t>
      </w:r>
      <w:r>
        <w:t xml:space="preserve"> </w:t>
      </w:r>
      <w:r>
        <w:t xml:space="preserve">accreditation.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rPr>
          <w:i/>
          <w:iCs/>
        </w:rPr>
        <w:t xml:space="preserve">automated assessment; large language models;</w:t>
      </w:r>
      <w:r>
        <w:rPr>
          <w:i/>
          <w:iCs/>
        </w:rPr>
        <w:t xml:space="preserve"> </w:t>
      </w:r>
      <w:r>
        <w:rPr>
          <w:i/>
          <w:iCs/>
        </w:rPr>
        <w:t xml:space="preserve">retrieval-augmented generation; higher education accreditation</w:t>
      </w:r>
    </w:p>
    <w:p>
      <w:r>
        <w:pict>
          <v:rect style="width:0;height:1.5pt" o:hralign="center" o:hrstd="t" o:hr="t"/>
        </w:pict>
      </w:r>
    </w:p>
    <w:bookmarkEnd w:id="20"/>
    <w:bookmarkStart w:id="21" w:name="abstrak-dalam-bahasa-indonesia"/>
    <w:p>
      <w:pPr>
        <w:pStyle w:val="Heading2"/>
      </w:pPr>
      <w:r>
        <w:t xml:space="preserve">ABSTRAK (DALAM BAHASA INDONESIA)</w:t>
      </w:r>
    </w:p>
    <w:p>
      <w:pPr>
        <w:pStyle w:val="FirstParagraph"/>
      </w:pPr>
      <w:r>
        <w:t xml:space="preserve">Audit Mutu Internal (AMI) pendidikan tinggi di Indonesia memerlukan</w:t>
      </w:r>
      <w:r>
        <w:t xml:space="preserve"> </w:t>
      </w:r>
      <w:r>
        <w:t xml:space="preserve">penilaian manual terhadap puluhan indikator berdasarkan rubrik yang</w:t>
      </w:r>
      <w:r>
        <w:t xml:space="preserve"> </w:t>
      </w:r>
      <w:r>
        <w:t xml:space="preserve">kompleks dengan dua sumber bukti heterogen: Laporan Evaluasi Diri (LED)</w:t>
      </w:r>
      <w:r>
        <w:t xml:space="preserve"> </w:t>
      </w:r>
      <w:r>
        <w:t xml:space="preserve">yang kualitatif dan Laporan Kinerja Program Studi (LKPS) yang</w:t>
      </w:r>
      <w:r>
        <w:t xml:space="preserve"> </w:t>
      </w:r>
      <w:r>
        <w:t xml:space="preserve">kuantitatif. Penelitian ini menguji apakah agen</w:t>
      </w:r>
      <w:r>
        <w:t xml:space="preserve"> </w:t>
      </w:r>
      <w:r>
        <w:rPr>
          <w:i/>
          <w:iCs/>
        </w:rPr>
        <w:t xml:space="preserve">Large Language Model</w:t>
      </w:r>
      <w:r>
        <w:t xml:space="preserve"> </w:t>
      </w:r>
      <w:r>
        <w:t xml:space="preserve">(LLM)</w:t>
      </w:r>
      <w:r>
        <w:t xml:space="preserve"> </w:t>
      </w:r>
      <w:r>
        <w:rPr>
          <w:i/>
          <w:iCs/>
        </w:rPr>
        <w:t xml:space="preserve">open-weight</w:t>
      </w:r>
      <w:r>
        <w:t xml:space="preserve"> </w:t>
      </w:r>
      <w:r>
        <w:t xml:space="preserve">dapat mengotomatisasi penilaian lintas-modal pada</w:t>
      </w:r>
      <w:r>
        <w:t xml:space="preserve"> </w:t>
      </w:r>
      <w:r>
        <w:t xml:space="preserve">tujuh indikator inti proses pembelajaran dan kurikulum, serta bagaimana</w:t>
      </w:r>
      <w:r>
        <w:t xml:space="preserve"> </w:t>
      </w:r>
      <w:r>
        <w:t xml:space="preserve">paradigma agen —</w:t>
      </w:r>
      <w:r>
        <w:t xml:space="preserve"> </w:t>
      </w:r>
      <w:r>
        <w:rPr>
          <w:i/>
          <w:iCs/>
        </w:rPr>
        <w:t xml:space="preserve">native function calling</w:t>
      </w:r>
      <w:r>
        <w:t xml:space="preserve"> </w:t>
      </w:r>
      <w:r>
        <w:t xml:space="preserve">dibanding</w:t>
      </w:r>
      <w:r>
        <w:t xml:space="preserve"> </w:t>
      </w:r>
      <w:r>
        <w:rPr>
          <w:i/>
          <w:iCs/>
        </w:rPr>
        <w:t xml:space="preserve">dispatch</w:t>
      </w:r>
      <w:r>
        <w:t xml:space="preserve"> </w:t>
      </w:r>
      <w:r>
        <w:t xml:space="preserve">JSON</w:t>
      </w:r>
      <w:r>
        <w:t xml:space="preserve"> </w:t>
      </w:r>
      <w:r>
        <w:t xml:space="preserve">berbasis</w:t>
      </w:r>
      <w:r>
        <w:t xml:space="preserve"> </w:t>
      </w:r>
      <w:r>
        <w:rPr>
          <w:i/>
          <w:iCs/>
        </w:rPr>
        <w:t xml:space="preserve">prompt</w:t>
      </w:r>
      <w:r>
        <w:t xml:space="preserve"> </w:t>
      </w:r>
      <w:r>
        <w:t xml:space="preserve">— memengaruhi performa. Kami mengimplementasikan</w:t>
      </w:r>
      <w:r>
        <w:t xml:space="preserve"> </w:t>
      </w:r>
      <w:r>
        <w:t xml:space="preserve">agen</w:t>
      </w:r>
      <w:r>
        <w:t xml:space="preserve"> </w:t>
      </w:r>
      <w:r>
        <w:rPr>
          <w:i/>
          <w:iCs/>
        </w:rPr>
        <w:t xml:space="preserve">Retrieval-Augmented Generation</w:t>
      </w:r>
      <w:r>
        <w:t xml:space="preserve"> </w:t>
      </w:r>
      <w:r>
        <w:t xml:space="preserve">(RAG) yang melakukan</w:t>
      </w:r>
      <w:r>
        <w:t xml:space="preserve"> </w:t>
      </w:r>
      <w:r>
        <w:rPr>
          <w:i/>
          <w:iCs/>
        </w:rPr>
        <w:t xml:space="preserve">cross-referencing</w:t>
      </w:r>
      <w:r>
        <w:t xml:space="preserve"> </w:t>
      </w:r>
      <w:r>
        <w:t xml:space="preserve">antara</w:t>
      </w:r>
      <w:r>
        <w:t xml:space="preserve"> </w:t>
      </w:r>
      <w:r>
        <w:rPr>
          <w:i/>
          <w:iCs/>
        </w:rPr>
        <w:t xml:space="preserve">chunk</w:t>
      </w:r>
      <w:r>
        <w:t xml:space="preserve"> </w:t>
      </w:r>
      <w:r>
        <w:t xml:space="preserve">LED ter-indeks vektor dengan tabel</w:t>
      </w:r>
      <w:r>
        <w:t xml:space="preserve"> </w:t>
      </w:r>
      <w:r>
        <w:t xml:space="preserve">LKPS terstruktur melalui empat</w:t>
      </w:r>
      <w:r>
        <w:t xml:space="preserve"> </w:t>
      </w:r>
      <w:r>
        <w:rPr>
          <w:i/>
          <w:iCs/>
        </w:rPr>
        <w:t xml:space="preserve">tool</w:t>
      </w:r>
      <w:r>
        <w:t xml:space="preserve"> </w:t>
      </w:r>
      <w:r>
        <w:t xml:space="preserve">khusus, kemudian melakukan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tiga model</w:t>
      </w:r>
      <w:r>
        <w:t xml:space="preserve"> </w:t>
      </w:r>
      <w:r>
        <w:rPr>
          <w:i/>
          <w:iCs/>
        </w:rPr>
        <w:t xml:space="preserve">open-weight</w:t>
      </w:r>
      <w:r>
        <w:t xml:space="preserve"> </w:t>
      </w:r>
      <w:r>
        <w:t xml:space="preserve">berukuran sebanding (24–35 miliar</w:t>
      </w:r>
      <w:r>
        <w:t xml:space="preserve"> </w:t>
      </w:r>
      <w:r>
        <w:t xml:space="preserve">parameter): qwen3.5:35b, deepseek-r1:32b, dan mistral-small3.2:24b,</w:t>
      </w:r>
      <w:r>
        <w:t xml:space="preserve"> </w:t>
      </w:r>
      <w:r>
        <w:t xml:space="preserve">terhadap skor referensi yang dihasilkan Claude. Hasil mengungkap</w:t>
      </w:r>
      <w:r>
        <w:t xml:space="preserve"> </w:t>
      </w:r>
      <w:r>
        <w:t xml:space="preserve">sebuah</w:t>
      </w:r>
      <w:r>
        <w:t xml:space="preserve"> </w:t>
      </w:r>
      <w:r>
        <w:rPr>
          <w:i/>
          <w:iCs/>
        </w:rPr>
        <w:t xml:space="preserve">trade-off</w:t>
      </w:r>
      <w:r>
        <w:t xml:space="preserve">: deepseek-r1 unggul</w:t>
      </w:r>
      <w:r>
        <w:t xml:space="preserve"> </w:t>
      </w:r>
      <w:r>
        <w:rPr>
          <w:i/>
          <w:iCs/>
        </w:rPr>
        <w:t xml:space="preserve">exact match</w:t>
      </w:r>
      <w:r>
        <w:t xml:space="preserve"> </w:t>
      </w:r>
      <w:r>
        <w:t xml:space="preserve">(57,1%) karena</w:t>
      </w:r>
      <w:r>
        <w:t xml:space="preserve"> </w:t>
      </w:r>
      <w:r>
        <w:t xml:space="preserve">performa sempurna pada indikator komposit (100%</w:t>
      </w:r>
      <w:r>
        <w:t xml:space="preserve"> </w:t>
      </w:r>
      <w:r>
        <w:rPr>
          <w:i/>
          <w:iCs/>
        </w:rPr>
        <w:t xml:space="preserve">exact</w:t>
      </w:r>
      <w:r>
        <w:t xml:space="preserve">); qwen3.5</w:t>
      </w:r>
      <w:r>
        <w:t xml:space="preserve"> </w:t>
      </w:r>
      <w:r>
        <w:t xml:space="preserve">mendominasi reliabilitas dengan akurasi</w:t>
      </w:r>
      <w:r>
        <w:t xml:space="preserve"> </w:t>
      </w:r>
      <w:r>
        <w:rPr>
          <w:i/>
          <w:iCs/>
        </w:rPr>
        <w:t xml:space="preserve">within-</w:t>
      </w:r>
      <w:r>
        <w:t xml:space="preserve">±1 sebesar 100% dan</w:t>
      </w:r>
      <w:r>
        <w:t xml:space="preserve"> </w:t>
      </w:r>
      <w:r>
        <w:t xml:space="preserve">tanpa</w:t>
      </w:r>
      <w:r>
        <w:t xml:space="preserve"> </w:t>
      </w:r>
      <w:r>
        <w:rPr>
          <w:i/>
          <w:iCs/>
        </w:rPr>
        <w:t xml:space="preserve">false refusal</w:t>
      </w:r>
      <w:r>
        <w:t xml:space="preserve">; mistral-small3.2 berperforma buruk dengan empat</w:t>
      </w:r>
      <w:r>
        <w:t xml:space="preserve"> </w:t>
      </w:r>
      <w:r>
        <w:t xml:space="preserve">dari tujuh keluaran sebagai</w:t>
      </w:r>
      <w:r>
        <w:t xml:space="preserve"> </w:t>
      </w:r>
      <w:r>
        <w:rPr>
          <w:i/>
          <w:iCs/>
        </w:rPr>
        <w:t xml:space="preserve">false refusal</w:t>
      </w:r>
      <w:r>
        <w:t xml:space="preserve">. Kami merekomendasikan</w:t>
      </w:r>
      <w:r>
        <w:t xml:space="preserve"> </w:t>
      </w:r>
      <w:r>
        <w:t xml:space="preserve">qwen3.5:35b sebagai</w:t>
      </w:r>
      <w:r>
        <w:t xml:space="preserve"> </w:t>
      </w:r>
      <w:r>
        <w:rPr>
          <w:i/>
          <w:iCs/>
        </w:rPr>
        <w:t xml:space="preserve">AI draft scorer</w:t>
      </w:r>
      <w:r>
        <w:t xml:space="preserve"> </w:t>
      </w:r>
      <w:r>
        <w:t xml:space="preserve">yang andal bagi asesor manusia</w:t>
      </w:r>
      <w:r>
        <w:t xml:space="preserve"> </w:t>
      </w:r>
      <w:r>
        <w:t xml:space="preserve">dalam akreditasi pendidikan tinggi.</w:t>
      </w:r>
    </w:p>
    <w:p>
      <w:pPr>
        <w:pStyle w:val="BodyText"/>
      </w:pPr>
      <w:r>
        <w:rPr>
          <w:b/>
          <w:bCs/>
        </w:rPr>
        <w:t xml:space="preserve">Kata kunci:</w:t>
      </w:r>
      <w:r>
        <w:t xml:space="preserve"> </w:t>
      </w:r>
      <w:r>
        <w:rPr>
          <w:i/>
          <w:iCs/>
        </w:rPr>
        <w:t xml:space="preserve">penilaian otomatis; large language models;</w:t>
      </w:r>
      <w:r>
        <w:rPr>
          <w:i/>
          <w:iCs/>
        </w:rPr>
        <w:t xml:space="preserve"> </w:t>
      </w:r>
      <w:r>
        <w:rPr>
          <w:i/>
          <w:iCs/>
        </w:rPr>
        <w:t xml:space="preserve">retrieval-augmented generation; akreditasi pendidikan tinggi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Akreditasi program studi merupakan instrumen utama penjaminan mutu</w:t>
      </w:r>
      <w:r>
        <w:t xml:space="preserve"> </w:t>
      </w:r>
      <w:r>
        <w:t xml:space="preserve">pendidikan tinggi di Indonesia. Pada bidang teknik, akreditasi</w:t>
      </w:r>
      <w:r>
        <w:t xml:space="preserve"> </w:t>
      </w:r>
      <w:r>
        <w:t xml:space="preserve">dilakukan melalui Lembaga Akreditasi Mandiri Teknik (LAM Teknik)</w:t>
      </w:r>
      <w:r>
        <w:t xml:space="preserve"> </w:t>
      </w:r>
      <w:r>
        <w:t xml:space="preserve">dengan rubrik 60+ indikator yang dinilai pada skala 0–4 oleh asesor</w:t>
      </w:r>
      <w:r>
        <w:t xml:space="preserve"> </w:t>
      </w:r>
      <w:r>
        <w:t xml:space="preserve">tersertifikasi. Penilaian dilakukan dengan</w:t>
      </w:r>
      <w:r>
        <w:t xml:space="preserve"> </w:t>
      </w:r>
      <w:r>
        <w:rPr>
          <w:i/>
          <w:iCs/>
        </w:rPr>
        <w:t xml:space="preserve">cross-referencing</w:t>
      </w:r>
      <w:r>
        <w:t xml:space="preserve"> </w:t>
      </w:r>
      <w:r>
        <w:t xml:space="preserve">manual</w:t>
      </w:r>
      <w:r>
        <w:t xml:space="preserve"> </w:t>
      </w:r>
      <w:r>
        <w:t xml:space="preserve">antara dua dokumen yang sangat berbeda: Laporan Evaluasi Diri (LED)</w:t>
      </w:r>
      <w:r>
        <w:t xml:space="preserve"> </w:t>
      </w:r>
      <w:r>
        <w:t xml:space="preserve">berupa PDF naratif sepanjang 150–200 halaman yang berisi narasi</w:t>
      </w:r>
      <w:r>
        <w:t xml:space="preserve"> </w:t>
      </w:r>
      <w:r>
        <w:t xml:space="preserve">kualitatif, serta Laporan Kinerja Program Studi (LKPS) berupa berkas</w:t>
      </w:r>
      <w:r>
        <w:t xml:space="preserve"> </w:t>
      </w:r>
      <w:r>
        <w:t xml:space="preserve">Excel dengan 50</w:t>
      </w:r>
      <w:r>
        <w:t xml:space="preserve"> </w:t>
      </w:r>
      <w:r>
        <w:rPr>
          <w:i/>
          <w:iCs/>
        </w:rPr>
        <w:t xml:space="preserve">sheet</w:t>
      </w:r>
      <w:r>
        <w:t xml:space="preserve"> </w:t>
      </w:r>
      <w:r>
        <w:t xml:space="preserve">yang memuat data kuantitatif. Proses ini</w:t>
      </w:r>
      <w:r>
        <w:t xml:space="preserve"> </w:t>
      </w:r>
      <w:r>
        <w:t xml:space="preserve">membutuhkan waktu beberapa hari per program studi, melibatkan biaya</w:t>
      </w:r>
      <w:r>
        <w:t xml:space="preserve"> </w:t>
      </w:r>
      <w:r>
        <w:t xml:space="preserve">asesor yang tinggi, dan rentan terhadap inkonsistensi antar penilai.</w:t>
      </w:r>
    </w:p>
    <w:p>
      <w:pPr>
        <w:pStyle w:val="BodyText"/>
      </w:pPr>
      <w:r>
        <w:t xml:space="preserve">Pemanfaatan teknologi</w:t>
      </w:r>
      <w:r>
        <w:t xml:space="preserve"> </w:t>
      </w:r>
      <w:r>
        <w:rPr>
          <w:i/>
          <w:iCs/>
        </w:rPr>
        <w:t xml:space="preserve">Large Language Model</w:t>
      </w:r>
      <w:r>
        <w:t xml:space="preserve"> </w:t>
      </w:r>
      <w:r>
        <w:t xml:space="preserve">(LLM) untuk membantu</w:t>
      </w:r>
      <w:r>
        <w:t xml:space="preserve"> </w:t>
      </w:r>
      <w:r>
        <w:t xml:space="preserve">penilaian akademik telah menjadi area riset yang aktif berkembang.</w:t>
      </w:r>
      <w:r>
        <w:t xml:space="preserve"> </w:t>
      </w:r>
      <w:r>
        <w:t xml:space="preserve">Yao, Zhao, Yu, Du, Shafran, Narasimhan, &amp; Cao (2023) memperkenalkan</w:t>
      </w:r>
      <w:r>
        <w:t xml:space="preserve"> </w:t>
      </w:r>
      <w:r>
        <w:t xml:space="preserve">paradigma ReAct yang memungkinkan LLM berinteraksi dengan</w:t>
      </w:r>
      <w:r>
        <w:t xml:space="preserve"> </w:t>
      </w:r>
      <w:r>
        <w:rPr>
          <w:i/>
          <w:iCs/>
        </w:rPr>
        <w:t xml:space="preserve">tool</w:t>
      </w:r>
      <w:r>
        <w:t xml:space="preserve"> </w:t>
      </w:r>
      <w:r>
        <w:t xml:space="preserve">secara iteratif, sementara Lewis et al. (2020) memperkenalkan</w:t>
      </w:r>
      <w:r>
        <w:t xml:space="preserve"> </w:t>
      </w:r>
      <w:r>
        <w:rPr>
          <w:i/>
          <w:iCs/>
        </w:rPr>
        <w:t xml:space="preserve">Retrieval-Augmented Generation</w:t>
      </w:r>
      <w:r>
        <w:t xml:space="preserve"> </w:t>
      </w:r>
      <w:r>
        <w:t xml:space="preserve">(RAG) yang memungkinkan penalaran</w:t>
      </w:r>
      <w:r>
        <w:t xml:space="preserve"> </w:t>
      </w:r>
      <w:r>
        <w:t xml:space="preserve">LLM tetap</w:t>
      </w:r>
      <w:r>
        <w:t xml:space="preserve"> </w:t>
      </w:r>
      <w:r>
        <w:rPr>
          <w:i/>
          <w:iCs/>
        </w:rPr>
        <w:t xml:space="preserve">grounded</w:t>
      </w:r>
      <w:r>
        <w:t xml:space="preserve"> </w:t>
      </w:r>
      <w:r>
        <w:t xml:space="preserve">pada bukti dokumen. Zheng et al. (2023)</w:t>
      </w:r>
      <w:r>
        <w:t xml:space="preserve"> </w:t>
      </w:r>
      <w:r>
        <w:t xml:space="preserve">menunjukkan bahwa LLM dapat berperan sebagai</w:t>
      </w:r>
      <w:r>
        <w:t xml:space="preserve"> </w:t>
      </w:r>
      <w:r>
        <w:rPr>
          <w:i/>
          <w:iCs/>
        </w:rPr>
        <w:t xml:space="preserve">judge</w:t>
      </w:r>
      <w:r>
        <w:t xml:space="preserve"> </w:t>
      </w:r>
      <w:r>
        <w:t xml:space="preserve">untuk evaluasi</w:t>
      </w:r>
      <w:r>
        <w:t xml:space="preserve"> </w:t>
      </w:r>
      <w:r>
        <w:t xml:space="preserve">otomatis dengan korelasi kuat terhadap penilai manusia.</w:t>
      </w:r>
      <w:r>
        <w:t xml:space="preserve"> </w:t>
      </w:r>
      <w:r>
        <w:t xml:space="preserve">Es, James, Espinosa-Anke, &amp; Schockaert (2024) memperluas pendekatan</w:t>
      </w:r>
      <w:r>
        <w:t xml:space="preserve"> </w:t>
      </w:r>
      <w:r>
        <w:t xml:space="preserve">ini melalui</w:t>
      </w:r>
      <w:r>
        <w:t xml:space="preserve"> </w:t>
      </w:r>
      <w:r>
        <w:rPr>
          <w:i/>
          <w:iCs/>
        </w:rPr>
        <w:t xml:space="preserve">framework</w:t>
      </w:r>
      <w:r>
        <w:t xml:space="preserve"> </w:t>
      </w:r>
      <w:r>
        <w:t xml:space="preserve">RAGAS yang spesifik untuk sistem RAG.</w:t>
      </w:r>
    </w:p>
    <w:p>
      <w:pPr>
        <w:pStyle w:val="BodyText"/>
      </w:pPr>
      <w:r>
        <w:t xml:space="preserve">Beberapa studi terkini telah memanfaatkan LLM dalam konteks pendidikan</w:t>
      </w:r>
      <w:r>
        <w:t xml:space="preserve"> </w:t>
      </w:r>
      <w:r>
        <w:t xml:space="preserve">tinggi, mulai dari penilaian esai (Dutt &amp; Ismail, 2019), prediksi</w:t>
      </w:r>
      <w:r>
        <w:t xml:space="preserve"> </w:t>
      </w:r>
      <w:r>
        <w:t xml:space="preserve">kinerja mahasiswa, hingga</w:t>
      </w:r>
      <w:r>
        <w:t xml:space="preserve"> </w:t>
      </w:r>
      <w:r>
        <w:rPr>
          <w:i/>
          <w:iCs/>
        </w:rPr>
        <w:t xml:space="preserve">chatbot</w:t>
      </w:r>
      <w:r>
        <w:t xml:space="preserve"> </w:t>
      </w:r>
      <w:r>
        <w:t xml:space="preserve">layanan akademik. Namun, sejauh</w:t>
      </w:r>
      <w:r>
        <w:t xml:space="preserve"> </w:t>
      </w:r>
      <w:r>
        <w:t xml:space="preserve">pengetahuan kami, belum ada penelitian yang fokus pada otomasi proses</w:t>
      </w:r>
      <w:r>
        <w:t xml:space="preserve"> </w:t>
      </w:r>
      <w:r>
        <w:t xml:space="preserve">akreditasi pendidikan tinggi Indonesia berbasis LLM, terutama yang</w:t>
      </w:r>
      <w:r>
        <w:t xml:space="preserve"> </w:t>
      </w:r>
      <w:r>
        <w:t xml:space="preserve">menggabungkan dua dokumen heterogen seperti LED dan LKPS. Studi yang</w:t>
      </w:r>
      <w:r>
        <w:t xml:space="preserve"> </w:t>
      </w:r>
      <w:r>
        <w:t xml:space="preserve">ada juga umumnya memanfaatkan LLM komersial (GPT, Claude, Gemini)</w:t>
      </w:r>
      <w:r>
        <w:t xml:space="preserve"> </w:t>
      </w:r>
      <w:r>
        <w:t xml:space="preserve">yang berisiko tinggi terhadap kerahasiaan data institusional, padahal</w:t>
      </w:r>
      <w:r>
        <w:t xml:space="preserve"> </w:t>
      </w:r>
      <w:r>
        <w:t xml:space="preserve">dokumen akreditasi sering bersifat sensitif dan harus tetap berada</w:t>
      </w:r>
      <w:r>
        <w:t xml:space="preserve"> </w:t>
      </w:r>
      <w:r>
        <w:t xml:space="preserve">dalam</w:t>
      </w:r>
      <w:r>
        <w:t xml:space="preserve"> </w:t>
      </w:r>
      <w:r>
        <w:rPr>
          <w:i/>
          <w:iCs/>
        </w:rPr>
        <w:t xml:space="preserve">perimeter</w:t>
      </w:r>
      <w:r>
        <w:t xml:space="preserve"> </w:t>
      </w:r>
      <w:r>
        <w:t xml:space="preserve">institusi.</w:t>
      </w:r>
    </w:p>
    <w:p>
      <w:pPr>
        <w:pStyle w:val="BodyText"/>
      </w:pPr>
      <w:r>
        <w:t xml:space="preserve">Riset terbaru pada model</w:t>
      </w:r>
      <w:r>
        <w:t xml:space="preserve"> </w:t>
      </w:r>
      <w:r>
        <w:rPr>
          <w:i/>
          <w:iCs/>
        </w:rPr>
        <w:t xml:space="preserve">open-weight</w:t>
      </w:r>
      <w:r>
        <w:t xml:space="preserve"> </w:t>
      </w:r>
      <w:r>
        <w:t xml:space="preserve">berukuran 20–35 miliar</w:t>
      </w:r>
      <w:r>
        <w:t xml:space="preserve"> </w:t>
      </w:r>
      <w:r>
        <w:t xml:space="preserve">parameter — seperti Qwen, DeepSeek, dan Mistral — menunjukkan bahwa</w:t>
      </w:r>
      <w:r>
        <w:t xml:space="preserve"> </w:t>
      </w:r>
      <w:r>
        <w:t xml:space="preserve">model dengan kapasitas moderat dapat menangani tugas berbasis</w:t>
      </w:r>
      <w:r>
        <w:t xml:space="preserve"> </w:t>
      </w:r>
      <w:r>
        <w:rPr>
          <w:i/>
          <w:iCs/>
        </w:rPr>
        <w:t xml:space="preserve">tool</w:t>
      </w:r>
      <w:r>
        <w:t xml:space="preserve"> </w:t>
      </w:r>
      <w:r>
        <w:t xml:space="preserve">dengan biaya komputasi yang dapat diakses lembaga pendidikan. Lebih</w:t>
      </w:r>
      <w:r>
        <w:t xml:space="preserve"> </w:t>
      </w:r>
      <w:r>
        <w:t xml:space="preserve">lanjut, agen LLM dapat dibangun dengan dua paradigma</w:t>
      </w:r>
      <w:r>
        <w:t xml:space="preserve"> </w:t>
      </w:r>
      <w:r>
        <w:rPr>
          <w:i/>
          <w:iCs/>
        </w:rPr>
        <w:t xml:space="preserve">tool-dispatch</w:t>
      </w:r>
      <w:r>
        <w:t xml:space="preserve">:</w:t>
      </w:r>
      <w:r>
        <w:t xml:space="preserve"> </w:t>
      </w:r>
      <w:r>
        <w:rPr>
          <w:i/>
          <w:iCs/>
        </w:rPr>
        <w:t xml:space="preserve">native function calling</w:t>
      </w:r>
      <w:r>
        <w:t xml:space="preserve"> </w:t>
      </w:r>
      <w:r>
        <w:t xml:space="preserve">untuk model dengan dukungan</w:t>
      </w:r>
      <w:r>
        <w:t xml:space="preserve"> </w:t>
      </w:r>
      <w:r>
        <w:rPr>
          <w:i/>
          <w:iCs/>
        </w:rPr>
        <w:t xml:space="preserve">tool</w:t>
      </w:r>
      <w:r>
        <w:t xml:space="preserve"> </w:t>
      </w:r>
      <w:r>
        <w:t xml:space="preserve">bawaan</w:t>
      </w:r>
      <w:r>
        <w:t xml:space="preserve"> </w:t>
      </w:r>
      <w:r>
        <w:t xml:space="preserve">(Qwen, Mistral), dan</w:t>
      </w:r>
      <w:r>
        <w:t xml:space="preserve"> </w:t>
      </w:r>
      <w:r>
        <w:rPr>
          <w:i/>
          <w:iCs/>
        </w:rPr>
        <w:t xml:space="preserve">prompt-based JSON dispatch</w:t>
      </w:r>
      <w:r>
        <w:t xml:space="preserve"> </w:t>
      </w:r>
      <w:r>
        <w:t xml:space="preserve">untuk model</w:t>
      </w:r>
      <w:r>
        <w:t xml:space="preserve"> </w:t>
      </w:r>
      <w:r>
        <w:rPr>
          <w:i/>
          <w:iCs/>
        </w:rPr>
        <w:t xml:space="preserve">reasoning</w:t>
      </w:r>
      <w:r>
        <w:t xml:space="preserve"> </w:t>
      </w:r>
      <w:r>
        <w:t xml:space="preserve">(DeepSeek-R1) yang menghasilkan blok</w:t>
      </w:r>
      <w:r>
        <w:t xml:space="preserve"> </w:t>
      </w:r>
      <w:r>
        <w:rPr>
          <w:rStyle w:val="VerbatimChar"/>
        </w:rPr>
        <w:t xml:space="preserve">&lt;think&gt;...&lt;/think&gt;</w:t>
      </w:r>
      <w:r>
        <w:t xml:space="preserve"> </w:t>
      </w:r>
      <w:r>
        <w:t xml:space="preserve">sehingga tidak dapat menggunakan</w:t>
      </w:r>
      <w:r>
        <w:t xml:space="preserve"> </w:t>
      </w:r>
      <w:r>
        <w:rPr>
          <w:i/>
          <w:iCs/>
        </w:rPr>
        <w:t xml:space="preserve">function calling</w:t>
      </w:r>
      <w:r>
        <w:t xml:space="preserve"> </w:t>
      </w:r>
      <w:r>
        <w:t xml:space="preserve">native pada</w:t>
      </w:r>
      <w:r>
        <w:t xml:space="preserve"> </w:t>
      </w:r>
      <w:r>
        <w:t xml:space="preserve">infrastruktur Ollama (Yu, Wang, &amp; Liu, 2024). Pertanyaan yang belum</w:t>
      </w:r>
      <w:r>
        <w:t xml:space="preserve"> </w:t>
      </w:r>
      <w:r>
        <w:t xml:space="preserve">terjawab adalah model dan paradigma mana yang paling sesuai untuk</w:t>
      </w:r>
      <w:r>
        <w:t xml:space="preserve"> </w:t>
      </w:r>
      <w:r>
        <w:t xml:space="preserve">penilaian akreditasi yang didominasi indikator kualitatif dan</w:t>
      </w:r>
      <w:r>
        <w:t xml:space="preserve"> </w:t>
      </w:r>
      <w:r>
        <w:t xml:space="preserve">komposit.</w:t>
      </w:r>
    </w:p>
    <w:p>
      <w:pPr>
        <w:pStyle w:val="BodyText"/>
      </w:pPr>
      <w:r>
        <w:t xml:space="preserve">Penelitian ini bertujuan: (1) merancang agen RAG lintas-modal</w:t>
      </w:r>
      <w:r>
        <w:t xml:space="preserve"> </w:t>
      </w:r>
      <w:r>
        <w:rPr>
          <w:i/>
          <w:iCs/>
        </w:rPr>
        <w:t xml:space="preserve">open-source</w:t>
      </w:r>
      <w:r>
        <w:t xml:space="preserve"> </w:t>
      </w:r>
      <w:r>
        <w:t xml:space="preserve">yang memadukan</w:t>
      </w:r>
      <w:r>
        <w:t xml:space="preserve"> </w:t>
      </w:r>
      <w:r>
        <w:rPr>
          <w:i/>
          <w:iCs/>
        </w:rPr>
        <w:t xml:space="preserve">vector retrieval</w:t>
      </w:r>
      <w:r>
        <w:t xml:space="preserve"> </w:t>
      </w:r>
      <w:r>
        <w:t xml:space="preserve">atas LED dengan</w:t>
      </w:r>
      <w:r>
        <w:t xml:space="preserve"> </w:t>
      </w:r>
      <w:r>
        <w:rPr>
          <w:i/>
          <w:iCs/>
        </w:rPr>
        <w:t xml:space="preserve">table lookup</w:t>
      </w:r>
      <w:r>
        <w:t xml:space="preserve"> </w:t>
      </w:r>
      <w:r>
        <w:t xml:space="preserve">atas LKPS melalui empat</w:t>
      </w:r>
      <w:r>
        <w:t xml:space="preserve"> </w:t>
      </w:r>
      <w:r>
        <w:rPr>
          <w:i/>
          <w:iCs/>
        </w:rPr>
        <w:t xml:space="preserve">tool</w:t>
      </w:r>
      <w:r>
        <w:t xml:space="preserve"> </w:t>
      </w:r>
      <w:r>
        <w:t xml:space="preserve">khusus; (2) melakukan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tiga model</w:t>
      </w:r>
      <w:r>
        <w:t xml:space="preserve"> </w:t>
      </w:r>
      <w:r>
        <w:rPr>
          <w:i/>
          <w:iCs/>
        </w:rPr>
        <w:t xml:space="preserve">open-weight</w:t>
      </w:r>
      <w:r>
        <w:t xml:space="preserve"> </w:t>
      </w:r>
      <w:r>
        <w:t xml:space="preserve">(qwen3.5:35b, deepseek-r1:32b,</w:t>
      </w:r>
      <w:r>
        <w:t xml:space="preserve"> </w:t>
      </w:r>
      <w:r>
        <w:t xml:space="preserve">mistral-small3.2:24b) pada tujuh indikator inti proses pembelajaran</w:t>
      </w:r>
      <w:r>
        <w:t xml:space="preserve"> </w:t>
      </w:r>
      <w:r>
        <w:t xml:space="preserve">dan kurikulum dari rubrik LAM Teknik; serta (3) menganalisis</w:t>
      </w:r>
      <w:r>
        <w:t xml:space="preserve"> </w:t>
      </w:r>
      <w:r>
        <w:rPr>
          <w:i/>
          <w:iCs/>
        </w:rPr>
        <w:t xml:space="preserve">trade-off exact-match versus reliability</w:t>
      </w:r>
      <w:r>
        <w:t xml:space="preserve"> </w:t>
      </w:r>
      <w:r>
        <w:t xml:space="preserve">antar model dan</w:t>
      </w:r>
      <w:r>
        <w:t xml:space="preserve"> </w:t>
      </w:r>
      <w:r>
        <w:t xml:space="preserve">mengidentifikasi</w:t>
      </w:r>
      <w:r>
        <w:t xml:space="preserve"> </w:t>
      </w:r>
      <w:r>
        <w:rPr>
          <w:i/>
          <w:iCs/>
        </w:rPr>
        <w:t xml:space="preserve">failure mode</w:t>
      </w:r>
      <w:r>
        <w:t xml:space="preserve"> </w:t>
      </w:r>
      <w:r>
        <w:t xml:space="preserve">yang muncul pada konteks penilaian</w:t>
      </w:r>
      <w:r>
        <w:t xml:space="preserve"> </w:t>
      </w:r>
      <w:r>
        <w:t xml:space="preserve">akreditasi pendidikan Indonesia. Hasil penelitian diharapkan</w:t>
      </w:r>
      <w:r>
        <w:t xml:space="preserve"> </w:t>
      </w:r>
      <w:r>
        <w:t xml:space="preserve">memberikan rekomendasi konkret bagi institusi pendidikan tinggi yang</w:t>
      </w:r>
      <w:r>
        <w:t xml:space="preserve"> </w:t>
      </w:r>
      <w:r>
        <w:t xml:space="preserve">ingin memanfaatkan agen LLM sebagai</w:t>
      </w:r>
      <w:r>
        <w:t xml:space="preserve"> </w:t>
      </w:r>
      <w:r>
        <w:rPr>
          <w:i/>
          <w:iCs/>
        </w:rPr>
        <w:t xml:space="preserve">AI draft scorer</w:t>
      </w:r>
      <w:r>
        <w:t xml:space="preserve"> </w:t>
      </w:r>
      <w:r>
        <w:t xml:space="preserve">yang</w:t>
      </w:r>
      <w:r>
        <w:t xml:space="preserve"> </w:t>
      </w:r>
      <w:r>
        <w:t xml:space="preserve">mempercepat proses audit mutu internal tanpa menggantikan peran</w:t>
      </w:r>
      <w:r>
        <w:t xml:space="preserve"> </w:t>
      </w:r>
      <w:r>
        <w:t xml:space="preserve">asesor manusia sebagai</w:t>
      </w:r>
      <w:r>
        <w:t xml:space="preserve"> </w:t>
      </w:r>
      <w:r>
        <w:rPr>
          <w:i/>
          <w:iCs/>
        </w:rPr>
        <w:t xml:space="preserve">final decision-maker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methods"/>
    <w:p>
      <w:pPr>
        <w:pStyle w:val="Heading2"/>
      </w:pPr>
      <w:r>
        <w:t xml:space="preserve">METHODS</w:t>
      </w:r>
    </w:p>
    <w:p>
      <w:pPr>
        <w:pStyle w:val="FirstParagraph"/>
      </w:pPr>
      <w:r>
        <w:rPr>
          <w:b/>
          <w:bCs/>
        </w:rPr>
        <w:t xml:space="preserve">Pendekatan dan ruang lingkup.</w:t>
      </w:r>
      <w:r>
        <w:t xml:space="preserve"> </w:t>
      </w:r>
      <w:r>
        <w:t xml:space="preserve">Penelitian ini menggunakan</w:t>
      </w:r>
      <w:r>
        <w:t xml:space="preserve"> </w:t>
      </w:r>
      <w:r>
        <w:t xml:space="preserve">pendekatan</w:t>
      </w:r>
      <w:r>
        <w:t xml:space="preserve"> </w:t>
      </w:r>
      <w:r>
        <w:rPr>
          <w:i/>
          <w:iCs/>
        </w:rPr>
        <w:t xml:space="preserve">quantitative experimental</w:t>
      </w:r>
      <w:r>
        <w:t xml:space="preserve"> </w:t>
      </w:r>
      <w:r>
        <w:t xml:space="preserve">dengan metode</w:t>
      </w:r>
      <w:r>
        <w:t xml:space="preserve"> </w:t>
      </w:r>
      <w:r>
        <w:rPr>
          <w:i/>
          <w:iCs/>
        </w:rPr>
        <w:t xml:space="preserve">benchmarking</w:t>
      </w:r>
      <w:r>
        <w:t xml:space="preserve">.</w:t>
      </w:r>
      <w:r>
        <w:t xml:space="preserve"> </w:t>
      </w:r>
      <w:r>
        <w:t xml:space="preserve">Ruang lingkup terbatas pada tujuh indikator inti proses pembelajaran</w:t>
      </w:r>
      <w:r>
        <w:t xml:space="preserve"> </w:t>
      </w:r>
      <w:r>
        <w:t xml:space="preserve">dan kurikulum dari rubrik LAM Teknik, yaitu: Indikator 14 (Kesesuaian</w:t>
      </w:r>
      <w:r>
        <w:t xml:space="preserve"> </w:t>
      </w:r>
      <w:r>
        <w:t xml:space="preserve">dan tinjauan CPL), 15 (Rencana Proses Pembelajaran/RPS), 16 (Proses</w:t>
      </w:r>
      <w:r>
        <w:t xml:space="preserve"> </w:t>
      </w:r>
      <w:r>
        <w:t xml:space="preserve">Pembelajaran), 17 (Integrasi Penelitian dan PkM dalam pembelajaran),</w:t>
      </w:r>
      <w:r>
        <w:t xml:space="preserve"> </w:t>
      </w:r>
      <w:r>
        <w:t xml:space="preserve">20 (Capstone Design), 22 (Penelitian), dan 24 (Pengabdian kepada</w:t>
      </w:r>
      <w:r>
        <w:t xml:space="preserve"> </w:t>
      </w:r>
      <w:r>
        <w:t xml:space="preserve">Masyarakat). Subset ini terdiri dari tiga indikator komposit (14, 15,</w:t>
      </w:r>
      <w:r>
        <w:t xml:space="preserve"> </w:t>
      </w:r>
      <w:r>
        <w:t xml:space="preserve">16) dan empat indikator kualitatif (17, 20, 22, 24), menyediakan</w:t>
      </w:r>
      <w:r>
        <w:t xml:space="preserve"> </w:t>
      </w:r>
      <w:r>
        <w:rPr>
          <w:i/>
          <w:iCs/>
        </w:rPr>
        <w:t xml:space="preserve">coverage</w:t>
      </w:r>
      <w:r>
        <w:t xml:space="preserve"> </w:t>
      </w:r>
      <w:r>
        <w:t xml:space="preserve">seimbang antara</w:t>
      </w:r>
      <w:r>
        <w:t xml:space="preserve"> </w:t>
      </w:r>
      <w:r>
        <w:rPr>
          <w:i/>
          <w:iCs/>
        </w:rPr>
        <w:t xml:space="preserve">judgment</w:t>
      </w:r>
      <w:r>
        <w:t xml:space="preserve"> </w:t>
      </w:r>
      <w:r>
        <w:t xml:space="preserve">teks dan kombinasi</w:t>
      </w:r>
      <w:r>
        <w:t xml:space="preserve"> </w:t>
      </w:r>
      <w:r>
        <w:rPr>
          <w:i/>
          <w:iCs/>
        </w:rPr>
        <w:t xml:space="preserve">judgment</w:t>
      </w:r>
      <w:r>
        <w:t xml:space="preserve"> </w:t>
      </w:r>
      <w:r>
        <w:t xml:space="preserve">+ formula bobot.</w:t>
      </w:r>
    </w:p>
    <w:p>
      <w:pPr>
        <w:pStyle w:val="BodyText"/>
      </w:pPr>
      <w:r>
        <w:rPr>
          <w:b/>
          <w:bCs/>
        </w:rPr>
        <w:t xml:space="preserve">Definisi operasional variabel.</w:t>
      </w:r>
      <w:r>
        <w:t xml:space="preserve"> </w:t>
      </w:r>
      <w:r>
        <w:t xml:space="preserve">Variabel utama adalah skor model</w:t>
      </w:r>
      <w:r>
        <w:t xml:space="preserve"> </w:t>
      </w:r>
      <w:r>
        <w:t xml:space="preserve">LLM (skala 0–4) untuk setiap indikator, dibandingkan terhadap skor</w:t>
      </w:r>
      <w:r>
        <w:t xml:space="preserve"> </w:t>
      </w:r>
      <w:r>
        <w:t xml:space="preserve">referensi yang dihasilkan Claude (Anthropic) sebagai</w:t>
      </w:r>
      <w:r>
        <w:t xml:space="preserve"> </w:t>
      </w:r>
      <w:r>
        <w:rPr>
          <w:i/>
          <w:iCs/>
        </w:rPr>
        <w:t xml:space="preserve">LLM-as-annotator</w:t>
      </w:r>
      <w:r>
        <w:t xml:space="preserve">.</w:t>
      </w:r>
      <w:r>
        <w:t xml:space="preserve"> </w:t>
      </w:r>
      <w:r>
        <w:t xml:space="preserve">Variabel pendukung meliputi</w:t>
      </w:r>
      <w:r>
        <w:t xml:space="preserve"> </w:t>
      </w:r>
      <w:r>
        <w:rPr>
          <w:i/>
          <w:iCs/>
        </w:rPr>
        <w:t xml:space="preserve">justification</w:t>
      </w:r>
      <w:r>
        <w:t xml:space="preserve"> </w:t>
      </w:r>
      <w:r>
        <w:t xml:space="preserve">(teks penjelasan skor),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(rentang 0,0–1,0 yang dihasilkan model),</w:t>
      </w:r>
      <w:r>
        <w:t xml:space="preserve"> </w:t>
      </w:r>
      <w:r>
        <w:rPr>
          <w:i/>
          <w:iCs/>
        </w:rPr>
        <w:t xml:space="preserve">runtime</w:t>
      </w:r>
      <w:r>
        <w:t xml:space="preserve"> </w:t>
      </w:r>
      <w:r>
        <w:t xml:space="preserve">(detik per indikator), serta</w:t>
      </w:r>
      <w:r>
        <w:t xml:space="preserve"> </w:t>
      </w:r>
      <w:r>
        <w:rPr>
          <w:i/>
          <w:iCs/>
        </w:rPr>
        <w:t xml:space="preserve">tipe indikator</w:t>
      </w:r>
      <w:r>
        <w:t xml:space="preserve"> </w:t>
      </w:r>
      <w:r>
        <w:t xml:space="preserve">(kualitatif, komposit).</w:t>
      </w:r>
    </w:p>
    <w:p>
      <w:pPr>
        <w:pStyle w:val="BodyText"/>
      </w:pPr>
      <w:r>
        <w:rPr>
          <w:b/>
          <w:bCs/>
        </w:rPr>
        <w:t xml:space="preserve">Lokasi dan sampel.</w:t>
      </w:r>
      <w:r>
        <w:t xml:space="preserve"> </w:t>
      </w:r>
      <w:r>
        <w:t xml:space="preserve">Penelitian dilakukan pada satu program studi</w:t>
      </w:r>
      <w:r>
        <w:t xml:space="preserve"> </w:t>
      </w:r>
      <w:r>
        <w:t xml:space="preserve">sarjana terapan jarak jauh bidang teknik di sebuah politeknik negeri</w:t>
      </w:r>
      <w:r>
        <w:t xml:space="preserve"> </w:t>
      </w:r>
      <w:r>
        <w:t xml:space="preserve">Indonesia, yang dianonimkan sebagai</w:t>
      </w:r>
      <w:r>
        <w:t xml:space="preserve"> </w:t>
      </w:r>
      <w:r>
        <w:rPr>
          <w:i/>
          <w:iCs/>
        </w:rPr>
        <w:t xml:space="preserve">Program A</w:t>
      </w:r>
      <w:r>
        <w:t xml:space="preserve">. Dokumen LED dan LKPS</w:t>
      </w:r>
      <w:r>
        <w:t xml:space="preserve"> </w:t>
      </w:r>
      <w:r>
        <w:t xml:space="preserve">yang digunakan adalah dokumen versi</w:t>
      </w:r>
      <w:r>
        <w:t xml:space="preserve"> </w:t>
      </w:r>
      <w:r>
        <w:rPr>
          <w:i/>
          <w:iCs/>
        </w:rPr>
        <w:t xml:space="preserve">post-audit</w:t>
      </w:r>
      <w:r>
        <w:t xml:space="preserve"> </w:t>
      </w:r>
      <w:r>
        <w:t xml:space="preserve">dari periode 2024.</w:t>
      </w:r>
      <w:r>
        <w:t xml:space="preserve"> </w:t>
      </w:r>
      <w:r>
        <w:t xml:space="preserve">Penggunaan satu program disengaja sebagai studi awal yang</w:t>
      </w:r>
      <w:r>
        <w:t xml:space="preserve"> </w:t>
      </w:r>
      <w:r>
        <w:rPr>
          <w:i/>
          <w:iCs/>
        </w:rPr>
        <w:t xml:space="preserve">tractable</w:t>
      </w:r>
      <w:r>
        <w:t xml:space="preserve">, sementara generalisasi ke program lain merupakan</w:t>
      </w:r>
      <w:r>
        <w:t xml:space="preserve"> </w:t>
      </w:r>
      <w:r>
        <w:rPr>
          <w:i/>
          <w:iCs/>
        </w:rPr>
        <w:t xml:space="preserve">future work</w:t>
      </w:r>
      <w:r>
        <w:t xml:space="preserve"> </w:t>
      </w:r>
      <w:r>
        <w:t xml:space="preserve">yang diakui sebagai keterbatasan.</w:t>
      </w:r>
    </w:p>
    <w:p>
      <w:pPr>
        <w:pStyle w:val="BodyText"/>
      </w:pPr>
      <w:r>
        <w:rPr>
          <w:b/>
          <w:bCs/>
        </w:rPr>
        <w:t xml:space="preserve">Material dan tool utama.</w:t>
      </w:r>
      <w:r>
        <w:t xml:space="preserve"> </w:t>
      </w:r>
      <w:r>
        <w:t xml:space="preserve">Sistem dibangun dengan komponen utama:</w:t>
      </w:r>
      <w:r>
        <w:t xml:space="preserve"> </w:t>
      </w:r>
      <w:r>
        <w:t xml:space="preserve">(1)</w:t>
      </w:r>
      <w:r>
        <w:t xml:space="preserve"> </w:t>
      </w:r>
      <w:r>
        <w:rPr>
          <w:i/>
          <w:iCs/>
        </w:rPr>
        <w:t xml:space="preserve">Embedding model</w:t>
      </w:r>
      <w:r>
        <w:t xml:space="preserve"> </w:t>
      </w:r>
      <w:r>
        <w:rPr>
          <w:rStyle w:val="VerbatimChar"/>
        </w:rPr>
        <w:t xml:space="preserve">paraphrase-multilingual-MiniLM-L12-v2</w:t>
      </w:r>
      <w:r>
        <w:t xml:space="preserve"> </w:t>
      </w:r>
      <w:r>
        <w:t xml:space="preserve">(384-dimensi) untuk indeksasi LED; (2) ChromaDB sebagai</w:t>
      </w:r>
      <w:r>
        <w:t xml:space="preserve"> </w:t>
      </w:r>
      <w:r>
        <w:rPr>
          <w:i/>
          <w:iCs/>
        </w:rPr>
        <w:t xml:space="preserve">vector</w:t>
      </w:r>
      <w:r>
        <w:rPr>
          <w:i/>
          <w:iCs/>
        </w:rPr>
        <w:t xml:space="preserve"> </w:t>
      </w:r>
      <w:r>
        <w:rPr>
          <w:i/>
          <w:iCs/>
        </w:rPr>
        <w:t xml:space="preserve">database</w:t>
      </w:r>
      <w:r>
        <w:t xml:space="preserve"> </w:t>
      </w:r>
      <w:r>
        <w:t xml:space="preserve">dengan HNSW</w:t>
      </w:r>
      <w:r>
        <w:t xml:space="preserve"> </w:t>
      </w:r>
      <w:r>
        <w:rPr>
          <w:i/>
          <w:iCs/>
        </w:rPr>
        <w:t xml:space="preserve">cosine similarity</w:t>
      </w:r>
      <w:r>
        <w:t xml:space="preserve">; (3) LangGraph sebagai</w:t>
      </w:r>
      <w:r>
        <w:t xml:space="preserve"> </w:t>
      </w:r>
      <w:r>
        <w:rPr>
          <w:i/>
          <w:iCs/>
        </w:rPr>
        <w:t xml:space="preserve">framework agent state machine</w:t>
      </w:r>
      <w:r>
        <w:t xml:space="preserve">; (4) Ollama sebagai</w:t>
      </w:r>
      <w:r>
        <w:t xml:space="preserve"> </w:t>
      </w:r>
      <w:r>
        <w:rPr>
          <w:i/>
          <w:iCs/>
        </w:rPr>
        <w:t xml:space="preserve">inference</w:t>
      </w:r>
      <w:r>
        <w:rPr>
          <w:i/>
          <w:iCs/>
        </w:rP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model lokal pada server GPU 24 GB VRAM yang diakses melalui</w:t>
      </w:r>
      <w:r>
        <w:t xml:space="preserve"> </w:t>
      </w:r>
      <w:r>
        <w:rPr>
          <w:i/>
          <w:iCs/>
        </w:rPr>
        <w:t xml:space="preserve">Cloudflare-tunneled HTTPS endpoint</w:t>
      </w:r>
      <w:r>
        <w:t xml:space="preserve">; serta (5) Claude (Anthropic)</w:t>
      </w:r>
      <w:r>
        <w:t xml:space="preserve"> </w:t>
      </w:r>
      <w:r>
        <w:t xml:space="preserve">sebagai</w:t>
      </w:r>
      <w:r>
        <w:t xml:space="preserve"> </w:t>
      </w:r>
      <w:r>
        <w:rPr>
          <w:i/>
          <w:iCs/>
        </w:rPr>
        <w:t xml:space="preserve">reference annotator</w:t>
      </w:r>
      <w:r>
        <w:t xml:space="preserve"> </w:t>
      </w:r>
      <w:r>
        <w:t xml:space="preserve">awal.</w:t>
      </w:r>
    </w:p>
    <w:p>
      <w:pPr>
        <w:pStyle w:val="BodyText"/>
      </w:pPr>
      <w:r>
        <w:rPr>
          <w:b/>
          <w:bCs/>
        </w:rPr>
        <w:t xml:space="preserve">Empat tool yang dipaparkan ke agen</w:t>
      </w:r>
      <w:r>
        <w:t xml:space="preserve"> </w:t>
      </w:r>
      <w:r>
        <w:t xml:space="preserve">adalah: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</w:rPr>
        <w:t xml:space="preserve">get_indicator_rubric(indicator_no)</w:t>
      </w:r>
      <w:r>
        <w:t xml:space="preserve"> </w:t>
      </w:r>
      <w:r>
        <w:t xml:space="preserve">— mengembalikan kriteria</w:t>
      </w:r>
      <w:r>
        <w:t xml:space="preserve"> </w:t>
      </w:r>
      <w:r>
        <w:t xml:space="preserve">skor, formula, dan referensi tabel LKPS;</w:t>
      </w:r>
      <w:r>
        <w:t xml:space="preserve"> </w:t>
      </w:r>
      <w:r>
        <w:t xml:space="preserve">(b)</w:t>
      </w:r>
      <w:r>
        <w:t xml:space="preserve"> </w:t>
      </w:r>
      <w:r>
        <w:rPr>
          <w:rStyle w:val="VerbatimChar"/>
        </w:rPr>
        <w:t xml:space="preserve">search_led_evidence(query, n_results)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vector search</w:t>
      </w:r>
      <w:r>
        <w:t xml:space="preserve"> </w:t>
      </w:r>
      <w:r>
        <w:t xml:space="preserve">atas</w:t>
      </w:r>
      <w:r>
        <w:t xml:space="preserve"> </w:t>
      </w:r>
      <w:r>
        <w:rPr>
          <w:i/>
          <w:iCs/>
        </w:rPr>
        <w:t xml:space="preserve">chunk</w:t>
      </w:r>
      <w:r>
        <w:t xml:space="preserve"> </w:t>
      </w:r>
      <w:r>
        <w:t xml:space="preserve">LED;</w:t>
      </w:r>
      <w:r>
        <w:t xml:space="preserve"> </w:t>
      </w:r>
      <w:r>
        <w:t xml:space="preserve">(c)</w:t>
      </w:r>
      <w:r>
        <w:t xml:space="preserve"> </w:t>
      </w:r>
      <w:r>
        <w:rPr>
          <w:rStyle w:val="VerbatimChar"/>
        </w:rPr>
        <w:t xml:space="preserve">get_lkps_table(table_reference)</w:t>
      </w:r>
      <w:r>
        <w:t xml:space="preserve"> </w:t>
      </w:r>
      <w:r>
        <w:t xml:space="preserve">— mengembalikan tabel LKPS</w:t>
      </w:r>
      <w:r>
        <w:t xml:space="preserve"> </w:t>
      </w:r>
      <w:r>
        <w:t xml:space="preserve">sebagai</w:t>
      </w:r>
      <w:r>
        <w:t xml:space="preserve"> </w:t>
      </w:r>
      <w:r>
        <w:rPr>
          <w:i/>
          <w:iCs/>
        </w:rPr>
        <w:t xml:space="preserve">markdown</w:t>
      </w:r>
      <w:r>
        <w:t xml:space="preserve">;</w:t>
      </w:r>
      <w:r>
        <w:t xml:space="preserve"> </w:t>
      </w:r>
      <w:r>
        <w:t xml:space="preserve">(d)</w:t>
      </w:r>
      <w:r>
        <w:t xml:space="preserve"> </w:t>
      </w:r>
      <w:r>
        <w:rPr>
          <w:rStyle w:val="VerbatimChar"/>
        </w:rPr>
        <w:t xml:space="preserve">compute_formula_score(formula_expression, variables)</w:t>
      </w:r>
      <w:r>
        <w:t xml:space="preserve"> </w:t>
      </w:r>
      <w:r>
        <w:t xml:space="preserve">— eval</w:t>
      </w:r>
      <w:r>
        <w:t xml:space="preserve"> </w:t>
      </w:r>
      <w:r>
        <w:t xml:space="preserve">Python tersandbox untuk indikator berbasis formula.</w:t>
      </w:r>
    </w:p>
    <w:p>
      <w:pPr>
        <w:pStyle w:val="BodyText"/>
      </w:pPr>
      <w:r>
        <w:rPr>
          <w:b/>
          <w:bCs/>
        </w:rPr>
        <w:t xml:space="preserve">Dua paradigma agen</w:t>
      </w:r>
      <w:r>
        <w:t xml:space="preserve"> </w:t>
      </w:r>
      <w:r>
        <w:t xml:space="preserve">diterapkan secara otomatis berdasarkan pola</w:t>
      </w:r>
      <w:r>
        <w:t xml:space="preserve"> </w:t>
      </w:r>
      <w:r>
        <w:t xml:space="preserve">nama model. Paradigma</w:t>
      </w:r>
      <w:r>
        <w:t xml:space="preserve"> </w:t>
      </w:r>
      <w:r>
        <w:rPr>
          <w:i/>
          <w:iCs/>
        </w:rPr>
        <w:t xml:space="preserve">native</w:t>
      </w:r>
      <w:r>
        <w:t xml:space="preserve"> </w:t>
      </w:r>
      <w:r>
        <w:t xml:space="preserve">(untuk qwen3.5:35b dan</w:t>
      </w:r>
      <w:r>
        <w:t xml:space="preserve"> </w:t>
      </w:r>
      <w:r>
        <w:t xml:space="preserve">mistral-small3.2:24b) menggunakan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terstruktur yang</w:t>
      </w:r>
      <w:r>
        <w:t xml:space="preserve"> </w:t>
      </w:r>
      <w:r>
        <w:t xml:space="preserve">langsung dieksekusi</w:t>
      </w:r>
      <w:r>
        <w:t xml:space="preserve"> </w:t>
      </w:r>
      <w:r>
        <w:rPr>
          <w:rStyle w:val="VerbatimChar"/>
        </w:rPr>
        <w:t xml:space="preserve">ToolNode</w:t>
      </w:r>
      <w:r>
        <w:t xml:space="preserve"> </w:t>
      </w:r>
      <w:r>
        <w:t xml:space="preserve">LangGraph. Paradigma</w:t>
      </w:r>
      <w:r>
        <w:t xml:space="preserve"> </w:t>
      </w:r>
      <w:r>
        <w:rPr>
          <w:i/>
          <w:iCs/>
        </w:rPr>
        <w:t xml:space="preserve">prompt-based</w:t>
      </w:r>
      <w:r>
        <w:t xml:space="preserve"> </w:t>
      </w:r>
      <w:r>
        <w:t xml:space="preserve">(untuk deepseek-r1:32b) meminta model menghasilkan JSON satu baris</w:t>
      </w:r>
      <w:r>
        <w:t xml:space="preserve"> </w:t>
      </w:r>
      <w:r>
        <w:t xml:space="preserve">dengan format</w:t>
      </w:r>
      <w:r>
        <w:t xml:space="preserve"> </w:t>
      </w:r>
      <w:r>
        <w:rPr>
          <w:rStyle w:val="VerbatimChar"/>
        </w:rPr>
        <w:t xml:space="preserve">{"action": ..., "args": ...}</w:t>
      </w:r>
      <w:r>
        <w:t xml:space="preserve"> </w:t>
      </w:r>
      <w:r>
        <w:t xml:space="preserve">untuk panggilan</w:t>
      </w:r>
      <w:r>
        <w:t xml:space="preserve"> </w:t>
      </w:r>
      <w:r>
        <w:rPr>
          <w:i/>
          <w:iCs/>
        </w:rPr>
        <w:t xml:space="preserve">tool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{"action": "final", "score": ..., "justification": ..., "confidence": ...}</w:t>
      </w:r>
      <w:r>
        <w:t xml:space="preserve"> </w:t>
      </w:r>
      <w:r>
        <w:t xml:space="preserve">untuk jawaban final, dengan blok</w:t>
      </w:r>
      <w:r>
        <w:t xml:space="preserve"> </w:t>
      </w:r>
      <w:r>
        <w:rPr>
          <w:rStyle w:val="VerbatimChar"/>
        </w:rPr>
        <w:t xml:space="preserve">&lt;think&gt;...&lt;/think&gt;</w:t>
      </w:r>
      <w:r>
        <w:t xml:space="preserve"> </w:t>
      </w:r>
      <w:r>
        <w:t xml:space="preserve">di-</w:t>
      </w:r>
      <w:r>
        <w:rPr>
          <w:i/>
          <w:iCs/>
        </w:rPr>
        <w:t xml:space="preserve">strip</w:t>
      </w:r>
      <w:r>
        <w:t xml:space="preserve"> </w:t>
      </w:r>
      <w:r>
        <w:t xml:space="preserve">terlebih dahulu sebelum ekstraksi</w:t>
      </w:r>
      <w:r>
        <w:t xml:space="preserve"> </w:t>
      </w:r>
      <w:r>
        <w:t xml:space="preserve">JSON.</w:t>
      </w:r>
    </w:p>
    <w:p>
      <w:pPr>
        <w:pStyle w:val="BodyText"/>
      </w:pPr>
      <w:r>
        <w:rPr>
          <w:b/>
          <w:bCs/>
        </w:rPr>
        <w:t xml:space="preserve">Teknik pengumpulan data.</w:t>
      </w:r>
      <w:r>
        <w:t xml:space="preserve"> </w:t>
      </w:r>
      <w:r>
        <w:t xml:space="preserve">Setiap indikator dievaluasi sekali per</w:t>
      </w:r>
      <w:r>
        <w:t xml:space="preserve"> </w:t>
      </w:r>
      <w:r>
        <w:t xml:space="preserve">model dengan parameter</w:t>
      </w:r>
      <w:r>
        <w:t xml:space="preserve"> </w:t>
      </w:r>
      <w:r>
        <w:rPr>
          <w:i/>
          <w:iCs/>
        </w:rPr>
        <w:t xml:space="preserve">sampling</w:t>
      </w:r>
      <w:r>
        <w:t xml:space="preserve"> </w:t>
      </w:r>
      <w:r>
        <w:t xml:space="preserve">yang sama (temperatur 0,1) untuk</w:t>
      </w:r>
      <w:r>
        <w:t xml:space="preserve"> </w:t>
      </w:r>
      <w:r>
        <w:t xml:space="preserve">menghasilkan total 21 invokasi agen (tiga model × tujuh indikator).</w:t>
      </w:r>
      <w:r>
        <w:t xml:space="preserve"> </w:t>
      </w:r>
      <w:r>
        <w:t xml:space="preserve">Hasil di-</w:t>
      </w:r>
      <w:r>
        <w:rPr>
          <w:i/>
          <w:iCs/>
        </w:rPr>
        <w:t xml:space="preserve">stream</w:t>
      </w:r>
      <w:r>
        <w:t xml:space="preserve"> </w:t>
      </w:r>
      <w:r>
        <w:t xml:space="preserve">langsung ke berkas CSV untuk menjaga</w:t>
      </w:r>
      <w:r>
        <w:t xml:space="preserve"> </w:t>
      </w:r>
      <w:r>
        <w:rPr>
          <w:i/>
          <w:iCs/>
        </w:rPr>
        <w:t xml:space="preserve">durability</w:t>
      </w:r>
      <w:r>
        <w:t xml:space="preserve"> </w:t>
      </w:r>
      <w:r>
        <w:t xml:space="preserve">data terhadap kegagalan koneksi. Skor referensi Claude dihasilkan</w:t>
      </w:r>
      <w:r>
        <w:t xml:space="preserve"> </w:t>
      </w:r>
      <w:r>
        <w:t xml:space="preserve">secara terpisah menggunakan rubrik lengkap, top-2</w:t>
      </w:r>
      <w:r>
        <w:t xml:space="preserve"> </w:t>
      </w:r>
      <w:r>
        <w:rPr>
          <w:i/>
          <w:iCs/>
        </w:rPr>
        <w:t xml:space="preserve">chunk</w:t>
      </w:r>
      <w:r>
        <w:t xml:space="preserve"> </w:t>
      </w:r>
      <w:r>
        <w:t xml:space="preserve">LED dari</w:t>
      </w:r>
      <w:r>
        <w:t xml:space="preserve"> </w:t>
      </w:r>
      <w:r>
        <w:rPr>
          <w:i/>
          <w:iCs/>
        </w:rPr>
        <w:t xml:space="preserve">vector search</w:t>
      </w:r>
      <w:r>
        <w:t xml:space="preserve">, dan ekstrak tabel LKPS yang relevan.</w:t>
      </w:r>
    </w:p>
    <w:p>
      <w:pPr>
        <w:pStyle w:val="BodyText"/>
      </w:pPr>
      <w:r>
        <w:rPr>
          <w:b/>
          <w:bCs/>
        </w:rPr>
        <w:t xml:space="preserve">Teknik analisis data.</w:t>
      </w:r>
      <w:r>
        <w:t xml:space="preserve"> </w:t>
      </w:r>
      <w:r>
        <w:t xml:space="preserve">Analisis kuantitatif menggunakan enam</w:t>
      </w:r>
      <w:r>
        <w:t xml:space="preserve"> </w:t>
      </w:r>
      <w:r>
        <w:t xml:space="preserve">metrik: (1) Mean Absolute Error (MAE); (2) Root Mean Squared Error</w:t>
      </w:r>
      <w:r>
        <w:t xml:space="preserve"> </w:t>
      </w:r>
      <w:r>
        <w:t xml:space="preserve">(RMSE); (3)</w:t>
      </w:r>
      <w:r>
        <w:t xml:space="preserve"> </w:t>
      </w:r>
      <w:r>
        <w:rPr>
          <w:i/>
          <w:iCs/>
        </w:rPr>
        <w:t xml:space="preserve">exact match</w:t>
      </w:r>
      <w:r>
        <w:t xml:space="preserve"> </w:t>
      </w:r>
      <w:r>
        <w:t xml:space="preserve">(rasio skor identik dengan referensi);</w:t>
      </w:r>
      <w:r>
        <w:t xml:space="preserve"> </w:t>
      </w:r>
      <w:r>
        <w:t xml:space="preserve">(4) akurasi</w:t>
      </w:r>
      <w:r>
        <w:t xml:space="preserve"> </w:t>
      </w:r>
      <w:r>
        <w:rPr>
          <w:i/>
          <w:iCs/>
        </w:rPr>
        <w:t xml:space="preserve">within-</w:t>
      </w:r>
      <w:r>
        <w:t xml:space="preserve">±1 (rasio kasus dengan |selisih| ≤ 1, ambang</w:t>
      </w:r>
      <w:r>
        <w:t xml:space="preserve"> </w:t>
      </w:r>
      <w:r>
        <w:t xml:space="preserve">batas yang umum diterima sebagai kesepakatan antar asesor);</w:t>
      </w:r>
      <w:r>
        <w:t xml:space="preserve"> </w:t>
      </w:r>
      <w:r>
        <w:t xml:space="preserve">(5) korelasi linier Pearson r; (6)</w:t>
      </w:r>
      <w:r>
        <w:t xml:space="preserve"> </w:t>
      </w:r>
      <w:r>
        <w:rPr>
          <w:i/>
          <w:iCs/>
        </w:rPr>
        <w:t xml:space="preserve">score-zero rate</w:t>
      </w:r>
      <w:r>
        <w:t xml:space="preserve"> </w:t>
      </w:r>
      <w:r>
        <w:t xml:space="preserve">sebagai proksi</w:t>
      </w:r>
      <w:r>
        <w:t xml:space="preserve"> </w:t>
      </w:r>
      <w:r>
        <w:rPr>
          <w:i/>
          <w:iCs/>
        </w:rPr>
        <w:t xml:space="preserve">failure mode false refusal</w:t>
      </w:r>
      <w:r>
        <w:t xml:space="preserve">. Analisis dilakukan terpisah untuk</w:t>
      </w:r>
      <w:r>
        <w:t xml:space="preserve"> </w:t>
      </w:r>
      <w:r>
        <w:t xml:space="preserve">indikator kualitatif dan komposit untuk mengungkap profil performa</w:t>
      </w:r>
      <w:r>
        <w:t xml:space="preserve"> </w:t>
      </w:r>
      <w:r>
        <w:t xml:space="preserve">per tipe.</w:t>
      </w:r>
    </w:p>
    <w:p>
      <w:r>
        <w:pict>
          <v:rect style="width:0;height:1.5pt" o:hralign="center" o:hrstd="t" o:hr="t"/>
        </w:pict>
      </w:r>
    </w:p>
    <w:bookmarkEnd w:id="23"/>
    <w:bookmarkStart w:id="30" w:name="results-and-discussion"/>
    <w:p>
      <w:pPr>
        <w:pStyle w:val="Heading2"/>
      </w:pPr>
      <w:r>
        <w:t xml:space="preserve">RESULTS AND DISCUSSION</w:t>
      </w:r>
    </w:p>
    <w:bookmarkStart w:id="24" w:name="performa-agregat"/>
    <w:p>
      <w:pPr>
        <w:pStyle w:val="Heading3"/>
      </w:pPr>
      <w:r>
        <w:t xml:space="preserve">Performa Agregat</w:t>
      </w:r>
    </w:p>
    <w:p>
      <w:pPr>
        <w:pStyle w:val="FirstParagraph"/>
      </w:pPr>
      <w:r>
        <w:t xml:space="preserve">Tabel 1 merangkum performa agregat ketiga model pada tujuh indikator</w:t>
      </w:r>
      <w:r>
        <w:t xml:space="preserve"> </w:t>
      </w:r>
      <w:r>
        <w:t xml:space="preserve">proses pembelajaran dan kurikulum. Dua temuan utama menonjol.</w:t>
      </w:r>
      <w:r>
        <w:t xml:space="preserve"> </w:t>
      </w:r>
      <w:r>
        <w:rPr>
          <w:i/>
          <w:iCs/>
        </w:rPr>
        <w:t xml:space="preserve">Pertama</w:t>
      </w:r>
      <w:r>
        <w:t xml:space="preserve">, deepseek-r1:32b memimpin metrik</w:t>
      </w:r>
      <w:r>
        <w:t xml:space="preserve"> </w:t>
      </w:r>
      <w:r>
        <w:rPr>
          <w:i/>
          <w:iCs/>
        </w:rPr>
        <w:t xml:space="preserve">exact match</w:t>
      </w:r>
      <w:r>
        <w:t xml:space="preserve"> </w:t>
      </w:r>
      <w:r>
        <w:t xml:space="preserve">sebesar</w:t>
      </w:r>
      <w:r>
        <w:t xml:space="preserve"> </w:t>
      </w:r>
      <w:r>
        <w:t xml:space="preserve">57,1% dengan MAE yang kompetitif (0,71).</w:t>
      </w:r>
      <w:r>
        <w:t xml:space="preserve"> </w:t>
      </w:r>
      <w:r>
        <w:rPr>
          <w:i/>
          <w:iCs/>
        </w:rPr>
        <w:t xml:space="preserve">Kedua</w:t>
      </w:r>
      <w:r>
        <w:t xml:space="preserve">, qwen3.5:35b</w:t>
      </w:r>
      <w:r>
        <w:t xml:space="preserve"> </w:t>
      </w:r>
      <w:r>
        <w:t xml:space="preserve">mendominasi reliabilitas dengan akurasi</w:t>
      </w:r>
      <w:r>
        <w:t xml:space="preserve"> </w:t>
      </w:r>
      <w:r>
        <w:rPr>
          <w:i/>
          <w:iCs/>
        </w:rPr>
        <w:t xml:space="preserve">within-</w:t>
      </w:r>
      <w:r>
        <w:t xml:space="preserve">±1 sempurna 100%</w:t>
      </w:r>
      <w:r>
        <w:t xml:space="preserve"> </w:t>
      </w:r>
      <w:r>
        <w:t xml:space="preserve">dan MAE terbaik (0,57), meskipun</w:t>
      </w:r>
      <w:r>
        <w:t xml:space="preserve"> </w:t>
      </w:r>
      <w:r>
        <w:rPr>
          <w:i/>
          <w:iCs/>
        </w:rPr>
        <w:t xml:space="preserve">exact match</w:t>
      </w:r>
      <w:r>
        <w:t xml:space="preserve">-nya lebih rendah</w:t>
      </w:r>
      <w:r>
        <w:t xml:space="preserve"> </w:t>
      </w:r>
      <w:r>
        <w:t xml:space="preserve">(42,9%).</w:t>
      </w:r>
    </w:p>
    <w:p>
      <w:pPr>
        <w:pStyle w:val="BodyText"/>
      </w:pPr>
      <w:r>
        <w:rPr>
          <w:b/>
          <w:bCs/>
        </w:rPr>
        <w:t xml:space="preserve">Tabel 1.</w:t>
      </w:r>
      <w:r>
        <w:t xml:space="preserve"> </w:t>
      </w:r>
      <w:r>
        <w:t xml:space="preserve">Performa Agregat Tiga Model pada Tujuh Indikator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MAE ↓</w:t>
            </w:r>
          </w:p>
        </w:tc>
        <w:tc>
          <w:tcPr/>
          <w:p>
            <w:pPr>
              <w:pStyle w:val="Compact"/>
            </w:pPr>
            <w:r>
              <w:t xml:space="preserve">RMSE ↓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Exact</w:t>
            </w:r>
            <w:r>
              <w:t xml:space="preserve"> </w:t>
            </w: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Within</w:t>
            </w:r>
            <w:r>
              <w:t xml:space="preserve">-±1 ↑</w:t>
            </w:r>
          </w:p>
        </w:tc>
        <w:tc>
          <w:tcPr/>
          <w:p>
            <w:pPr>
              <w:pStyle w:val="Compact"/>
            </w:pPr>
            <w:r>
              <w:t xml:space="preserve">Pearson r</w:t>
            </w:r>
          </w:p>
        </w:tc>
        <w:tc>
          <w:tcPr/>
          <w:p>
            <w:pPr>
              <w:pStyle w:val="Compact"/>
            </w:pPr>
            <w:r>
              <w:t xml:space="preserve">Conf.</w:t>
            </w:r>
          </w:p>
        </w:tc>
        <w:tc>
          <w:tcPr/>
          <w:p>
            <w:pPr>
              <w:pStyle w:val="Compact"/>
            </w:pPr>
            <w:r>
              <w:t xml:space="preserve">RT/ind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qwen3.5:35b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0,76</w:t>
            </w:r>
          </w:p>
        </w:tc>
        <w:tc>
          <w:tcPr/>
          <w:p>
            <w:pPr>
              <w:pStyle w:val="Compact"/>
            </w:pPr>
            <w:r>
              <w:t xml:space="preserve">42,9%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0,35</w:t>
            </w:r>
          </w:p>
        </w:tc>
        <w:tc>
          <w:tcPr/>
          <w:p>
            <w:pPr>
              <w:pStyle w:val="Compact"/>
            </w:pPr>
            <w:r>
              <w:t xml:space="preserve">0,78</w:t>
            </w:r>
          </w:p>
        </w:tc>
        <w:tc>
          <w:tcPr/>
          <w:p>
            <w:pPr>
              <w:pStyle w:val="Compact"/>
            </w:pPr>
            <w:r>
              <w:t xml:space="preserve">30,2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deepseek-r1:32b</w:t>
            </w:r>
          </w:p>
        </w:tc>
        <w:tc>
          <w:tcPr/>
          <w:p>
            <w:pPr>
              <w:pStyle w:val="Compact"/>
            </w:pPr>
            <w:r>
              <w:t xml:space="preserve">0,71</w:t>
            </w:r>
          </w:p>
        </w:tc>
        <w:tc>
          <w:tcPr/>
          <w:p>
            <w:pPr>
              <w:pStyle w:val="Compact"/>
            </w:pPr>
            <w:r>
              <w:t xml:space="preserve">1,25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57,1%</w:t>
            </w:r>
          </w:p>
        </w:tc>
        <w:tc>
          <w:tcPr/>
          <w:p>
            <w:pPr>
              <w:pStyle w:val="Compact"/>
            </w:pPr>
            <w:r>
              <w:t xml:space="preserve">85,7%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0,41</w:t>
            </w:r>
          </w:p>
        </w:tc>
        <w:tc>
          <w:tcPr/>
          <w:p>
            <w:pPr>
              <w:pStyle w:val="Compact"/>
            </w:pPr>
            <w:r>
              <w:t xml:space="preserve">0,74</w:t>
            </w:r>
          </w:p>
        </w:tc>
        <w:tc>
          <w:tcPr/>
          <w:p>
            <w:pPr>
              <w:pStyle w:val="Compact"/>
            </w:pPr>
            <w:r>
              <w:t xml:space="preserve">68,2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mistral-small3.2:24b</w:t>
            </w:r>
          </w:p>
        </w:tc>
        <w:tc>
          <w:tcPr/>
          <w:p>
            <w:pPr>
              <w:pStyle w:val="Compact"/>
            </w:pPr>
            <w:r>
              <w:t xml:space="preserve">1,81</w:t>
            </w:r>
          </w:p>
        </w:tc>
        <w:tc>
          <w:tcPr/>
          <w:p>
            <w:pPr>
              <w:pStyle w:val="Compact"/>
            </w:pPr>
            <w:r>
              <w:t xml:space="preserve">2,15</w:t>
            </w:r>
          </w:p>
        </w:tc>
        <w:tc>
          <w:tcPr/>
          <w:p>
            <w:pPr>
              <w:pStyle w:val="Compact"/>
            </w:pPr>
            <w:r>
              <w:t xml:space="preserve">14,3%</w:t>
            </w:r>
          </w:p>
        </w:tc>
        <w:tc>
          <w:tcPr/>
          <w:p>
            <w:pPr>
              <w:pStyle w:val="Compact"/>
            </w:pPr>
            <w:r>
              <w:t xml:space="preserve">42,9%</w:t>
            </w:r>
          </w:p>
        </w:tc>
        <w:tc>
          <w:tcPr/>
          <w:p>
            <w:pPr>
              <w:pStyle w:val="Compact"/>
            </w:pPr>
            <w:r>
              <w:t xml:space="preserve">0,34</w:t>
            </w:r>
          </w:p>
        </w:tc>
        <w:tc>
          <w:tcPr/>
          <w:p>
            <w:pPr>
              <w:pStyle w:val="Compact"/>
            </w:pPr>
            <w:r>
              <w:t xml:space="preserve">0,88</w:t>
            </w:r>
          </w:p>
        </w:tc>
        <w:tc>
          <w:tcPr/>
          <w:p>
            <w:pPr>
              <w:pStyle w:val="Compact"/>
            </w:pPr>
            <w:r>
              <w:t xml:space="preserve">14,1 d</w:t>
            </w:r>
          </w:p>
        </w:tc>
      </w:tr>
    </w:tbl>
    <w:p>
      <w:pPr>
        <w:pStyle w:val="BodyText"/>
      </w:pPr>
      <w:r>
        <w:t xml:space="preserve">Mistral-small3.2:24b berperforma jauh di bawah dua model lainnya</w:t>
      </w:r>
      <w:r>
        <w:t xml:space="preserve"> </w:t>
      </w:r>
      <w:r>
        <w:t xml:space="preserve">dengan MAE 1,81 dan akurasi</w:t>
      </w:r>
      <w:r>
        <w:t xml:space="preserve"> </w:t>
      </w:r>
      <w:r>
        <w:rPr>
          <w:i/>
          <w:iCs/>
        </w:rPr>
        <w:t xml:space="preserve">within-</w:t>
      </w:r>
      <w:r>
        <w:t xml:space="preserve">±1 hanya 42,9%. Menariknya,</w:t>
      </w:r>
      <w:r>
        <w:t xml:space="preserve"> </w:t>
      </w:r>
      <w:r>
        <w:t xml:space="preserve">model ini justru memiliki rerata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tertinggi (0,88) —</w:t>
      </w:r>
      <w:r>
        <w:t xml:space="preserve"> </w:t>
      </w:r>
      <w:r>
        <w:t xml:space="preserve">sebuah pola</w:t>
      </w:r>
      <w:r>
        <w:t xml:space="preserve"> </w:t>
      </w:r>
      <w:r>
        <w:rPr>
          <w:i/>
          <w:iCs/>
        </w:rPr>
        <w:t xml:space="preserve">overconfidence</w:t>
      </w:r>
      <w:r>
        <w:t xml:space="preserve"> </w:t>
      </w:r>
      <w:r>
        <w:t xml:space="preserve">yang juga muncul pada perilaku</w:t>
      </w:r>
      <w:r>
        <w:t xml:space="preserve"> </w:t>
      </w:r>
      <w:r>
        <w:rPr>
          <w:i/>
          <w:iCs/>
        </w:rPr>
        <w:t xml:space="preserve">false refusal</w:t>
      </w:r>
      <w:r>
        <w:t xml:space="preserve">-nya. Pola serupa pernah dilaporkan oleh</w:t>
      </w:r>
      <w:r>
        <w:t xml:space="preserve"> </w:t>
      </w:r>
      <w:r>
        <w:t xml:space="preserve">Yu et al. (2024) pada model</w:t>
      </w:r>
      <w:r>
        <w:t xml:space="preserve"> </w:t>
      </w:r>
      <w:r>
        <w:rPr>
          <w:i/>
          <w:iCs/>
        </w:rPr>
        <w:t xml:space="preserve">chat</w:t>
      </w:r>
      <w:r>
        <w:t xml:space="preserve"> </w:t>
      </w:r>
      <w:r>
        <w:t xml:space="preserve">berukuran menengah yang</w:t>
      </w:r>
      <w:r>
        <w:t xml:space="preserve"> </w:t>
      </w:r>
      <w:r>
        <w:rPr>
          <w:i/>
          <w:iCs/>
        </w:rPr>
        <w:t xml:space="preserve">instruction-tuning</w:t>
      </w:r>
      <w:r>
        <w:t xml:space="preserve">-nya menekankan</w:t>
      </w:r>
      <w:r>
        <w:t xml:space="preserve"> </w:t>
      </w:r>
      <w:r>
        <w:rPr>
          <w:i/>
          <w:iCs/>
        </w:rPr>
        <w:t xml:space="preserve">helpfulness</w:t>
      </w:r>
      <w:r>
        <w:t xml:space="preserve"> </w:t>
      </w:r>
      <w:r>
        <w:t xml:space="preserve">tanpa</w:t>
      </w:r>
      <w:r>
        <w:t xml:space="preserve"> </w:t>
      </w:r>
      <w:r>
        <w:rPr>
          <w:i/>
          <w:iCs/>
        </w:rPr>
        <w:t xml:space="preserve">epistemic</w:t>
      </w:r>
      <w:r>
        <w:rPr>
          <w:i/>
          <w:iCs/>
        </w:rPr>
        <w:t xml:space="preserve"> </w:t>
      </w:r>
      <w:r>
        <w:rPr>
          <w:i/>
          <w:iCs/>
        </w:rPr>
        <w:t xml:space="preserve">calibration</w:t>
      </w:r>
      <w:r>
        <w:t xml:space="preserve"> </w:t>
      </w:r>
      <w:r>
        <w:t xml:space="preserve">yang memadai.</w:t>
      </w:r>
    </w:p>
    <w:bookmarkEnd w:id="24"/>
    <w:bookmarkStart w:id="25" w:name="Xd02c2ac33efee014b6ef0a243e25557cd4c8e5d"/>
    <w:p>
      <w:pPr>
        <w:pStyle w:val="Heading3"/>
      </w:pPr>
      <w:r>
        <w:t xml:space="preserve">Per-Type Breakdown: Trade-off Komposit vs Kualitatif</w:t>
      </w:r>
    </w:p>
    <w:p>
      <w:pPr>
        <w:pStyle w:val="FirstParagraph"/>
      </w:pPr>
      <w:r>
        <w:t xml:space="preserve">Tabel 2 mengungkap</w:t>
      </w:r>
      <w:r>
        <w:t xml:space="preserve"> </w:t>
      </w:r>
      <w:r>
        <w:rPr>
          <w:b/>
          <w:bCs/>
        </w:rPr>
        <w:t xml:space="preserve">temuan utama</w:t>
      </w:r>
      <w:r>
        <w:t xml:space="preserve"> </w:t>
      </w:r>
      <w:r>
        <w:t xml:space="preserve">penelitian ini: ketiga model</w:t>
      </w:r>
      <w:r>
        <w:t xml:space="preserve"> </w:t>
      </w:r>
      <w:r>
        <w:t xml:space="preserve">menunjukkan profil performa yang sangat berbeda pada indikator</w:t>
      </w:r>
      <w:r>
        <w:t xml:space="preserve"> </w:t>
      </w:r>
      <w:r>
        <w:t xml:space="preserve">komposit dibandingkan kualitatif murni.</w:t>
      </w:r>
    </w:p>
    <w:p>
      <w:pPr>
        <w:pStyle w:val="BodyText"/>
      </w:pPr>
      <w:r>
        <w:rPr>
          <w:b/>
          <w:bCs/>
        </w:rPr>
        <w:t xml:space="preserve">Tabel 2.</w:t>
      </w:r>
      <w:r>
        <w:t xml:space="preserve"> </w:t>
      </w:r>
      <w:r>
        <w:rPr>
          <w:i/>
          <w:iCs/>
        </w:rPr>
        <w:t xml:space="preserve">Per-Type Breakdown</w:t>
      </w:r>
      <w:r>
        <w:t xml:space="preserve"> </w:t>
      </w:r>
      <w:r>
        <w:t xml:space="preserve">Performa per Tipe Indikator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MAE ↓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Exact</w:t>
            </w:r>
            <w:r>
              <w:t xml:space="preserve"> </w:t>
            </w: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±1 ↑</w:t>
            </w:r>
          </w:p>
        </w:tc>
        <w:tc>
          <w:tcPr/>
          <w:p>
            <w:pPr>
              <w:pStyle w:val="Compact"/>
            </w:pPr>
            <w:r>
              <w:t xml:space="preserve">Skor=0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qwen3.5:35b</w:t>
            </w:r>
          </w:p>
        </w:tc>
        <w:tc>
          <w:tcPr/>
          <w:p>
            <w:pPr>
              <w:pStyle w:val="Compact"/>
            </w:pPr>
            <w:r>
              <w:t xml:space="preserve">Kualitatif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0,75</w:t>
            </w:r>
          </w:p>
        </w:tc>
        <w:tc>
          <w:tcPr/>
          <w:p>
            <w:pPr>
              <w:pStyle w:val="Compact"/>
            </w:pPr>
            <w:r>
              <w:t xml:space="preserve">25,0%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qwen3.5:35b</w:t>
            </w:r>
          </w:p>
        </w:tc>
        <w:tc>
          <w:tcPr/>
          <w:p>
            <w:pPr>
              <w:pStyle w:val="Compact"/>
            </w:pPr>
            <w:r>
              <w:t xml:space="preserve">Komposit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0,33</w:t>
            </w:r>
          </w:p>
        </w:tc>
        <w:tc>
          <w:tcPr/>
          <w:p>
            <w:pPr>
              <w:pStyle w:val="Compact"/>
            </w:pPr>
            <w:r>
              <w:t xml:space="preserve">66,7%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deepseek-r1:32b</w:t>
            </w:r>
          </w:p>
        </w:tc>
        <w:tc>
          <w:tcPr/>
          <w:p>
            <w:pPr>
              <w:pStyle w:val="Compact"/>
            </w:pPr>
            <w:r>
              <w:t xml:space="preserve">Kualitatif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1,25</w:t>
            </w:r>
          </w:p>
        </w:tc>
        <w:tc>
          <w:tcPr/>
          <w:p>
            <w:pPr>
              <w:pStyle w:val="Compact"/>
            </w:pPr>
            <w:r>
              <w:t xml:space="preserve">25,0%</w:t>
            </w:r>
          </w:p>
        </w:tc>
        <w:tc>
          <w:tcPr/>
          <w:p>
            <w:pPr>
              <w:pStyle w:val="Compact"/>
            </w:pPr>
            <w:r>
              <w:t xml:space="preserve">75,0%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deepseek-r1:32b</w:t>
            </w:r>
          </w:p>
        </w:tc>
        <w:tc>
          <w:tcPr/>
          <w:p>
            <w:pPr>
              <w:pStyle w:val="Compact"/>
            </w:pPr>
            <w:r>
              <w:t xml:space="preserve">Komposit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100,0%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mistral-small3.2:24b</w:t>
            </w:r>
          </w:p>
        </w:tc>
        <w:tc>
          <w:tcPr/>
          <w:p>
            <w:pPr>
              <w:pStyle w:val="Compact"/>
            </w:pPr>
            <w:r>
              <w:t xml:space="preserve">Kualitatif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2,45</w:t>
            </w:r>
          </w:p>
        </w:tc>
        <w:tc>
          <w:tcPr/>
          <w:p>
            <w:pPr>
              <w:pStyle w:val="Compact"/>
            </w:pPr>
            <w:r>
              <w:t xml:space="preserve">0,0%</w:t>
            </w:r>
          </w:p>
        </w:tc>
        <w:tc>
          <w:tcPr/>
          <w:p>
            <w:pPr>
              <w:pStyle w:val="Compact"/>
            </w:pPr>
            <w:r>
              <w:t xml:space="preserve">25,0%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mistral-small3.2:24b</w:t>
            </w:r>
          </w:p>
        </w:tc>
        <w:tc>
          <w:tcPr/>
          <w:p>
            <w:pPr>
              <w:pStyle w:val="Compact"/>
            </w:pPr>
            <w:r>
              <w:t xml:space="preserve">Komposit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1,22</w:t>
            </w:r>
          </w:p>
        </w:tc>
        <w:tc>
          <w:tcPr/>
          <w:p>
            <w:pPr>
              <w:pStyle w:val="Compact"/>
            </w:pPr>
            <w:r>
              <w:t xml:space="preserve">33,3%</w:t>
            </w:r>
          </w:p>
        </w:tc>
        <w:tc>
          <w:tcPr/>
          <w:p>
            <w:pPr>
              <w:pStyle w:val="Compact"/>
            </w:pPr>
            <w:r>
              <w:t xml:space="preserve">66,7%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Deepseek-r1:32b mencapai performa sempurna pada indikator komposit:</w:t>
      </w:r>
      <w:r>
        <w:t xml:space="preserve"> </w:t>
      </w:r>
      <w:r>
        <w:t xml:space="preserve">100%</w:t>
      </w:r>
      <w:r>
        <w:t xml:space="preserve"> </w:t>
      </w:r>
      <w:r>
        <w:rPr>
          <w:i/>
          <w:iCs/>
        </w:rPr>
        <w:t xml:space="preserve">exact match</w:t>
      </w:r>
      <w:r>
        <w:t xml:space="preserve"> </w:t>
      </w:r>
      <w:r>
        <w:t xml:space="preserve">di seluruh tiga indikator (14, 15, 16) dengan MAE</w:t>
      </w:r>
      <w:r>
        <w:t xml:space="preserve"> </w:t>
      </w:r>
      <w:r>
        <w:t xml:space="preserve">0,00. Pada indikator kualitatif murni, performanya turun signifikan</w:t>
      </w:r>
      <w:r>
        <w:t xml:space="preserve"> </w:t>
      </w:r>
      <w:r>
        <w:t xml:space="preserve">ke MAE 1,25 dengan satu kasus</w:t>
      </w:r>
      <w:r>
        <w:t xml:space="preserve"> </w:t>
      </w:r>
      <w:r>
        <w:rPr>
          <w:i/>
          <w:iCs/>
        </w:rPr>
        <w:t xml:space="preserve">false refusal</w:t>
      </w:r>
      <w:r>
        <w:t xml:space="preserve"> </w:t>
      </w:r>
      <w:r>
        <w:t xml:space="preserve">(Indikator 20: Capstone</w:t>
      </w:r>
      <w:r>
        <w:t xml:space="preserve"> </w:t>
      </w:r>
      <w:r>
        <w:t xml:space="preserve">Design diberi skor 0 padahal LED jelas menyebutkan implementasi).</w:t>
      </w:r>
    </w:p>
    <w:p>
      <w:pPr>
        <w:pStyle w:val="BodyText"/>
      </w:pPr>
      <w:r>
        <w:t xml:space="preserve">Qwen3.5:35b menunjukkan profil paling konsisten: 100% akurasi</w:t>
      </w:r>
      <w:r>
        <w:t xml:space="preserve"> </w:t>
      </w:r>
      <w:r>
        <w:rPr>
          <w:i/>
          <w:iCs/>
        </w:rPr>
        <w:t xml:space="preserve">within-</w:t>
      </w:r>
      <w:r>
        <w:t xml:space="preserve">±1 di kedua tipe, tanpa satupun</w:t>
      </w:r>
      <w:r>
        <w:t xml:space="preserve"> </w:t>
      </w:r>
      <w:r>
        <w:rPr>
          <w:i/>
          <w:iCs/>
        </w:rPr>
        <w:t xml:space="preserve">false refusal</w:t>
      </w:r>
      <w:r>
        <w:t xml:space="preserve">. Walaupun</w:t>
      </w:r>
      <w:r>
        <w:t xml:space="preserve"> </w:t>
      </w:r>
      <w:r>
        <w:rPr>
          <w:i/>
          <w:iCs/>
        </w:rPr>
        <w:t xml:space="preserve">exact match</w:t>
      </w:r>
      <w:r>
        <w:t xml:space="preserve">-nya tidak setinggi deepseek-r1 di komposit (qwen</w:t>
      </w:r>
      <w:r>
        <w:t xml:space="preserve"> </w:t>
      </w:r>
      <w:r>
        <w:t xml:space="preserve">66,7% vs deepseek 100,0%), qwen tidak pernah salah lebih dari satu</w:t>
      </w:r>
      <w:r>
        <w:t xml:space="preserve"> </w:t>
      </w:r>
      <w:r>
        <w:t xml:space="preserve">poin dari referensi.</w:t>
      </w:r>
    </w:p>
    <w:p>
      <w:pPr>
        <w:pStyle w:val="BodyText"/>
      </w:pPr>
      <w:r>
        <w:t xml:space="preserve">Mistral-small3.2:24b gagal pada kategori kualitatif: 0%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dan</w:t>
      </w:r>
      <w:r>
        <w:t xml:space="preserve"> </w:t>
      </w:r>
      <w:r>
        <w:t xml:space="preserve">3 dari 4 indikator menjadi</w:t>
      </w:r>
      <w:r>
        <w:t xml:space="preserve"> </w:t>
      </w:r>
      <w:r>
        <w:rPr>
          <w:i/>
          <w:iCs/>
        </w:rPr>
        <w:t xml:space="preserve">false refusal</w:t>
      </w:r>
      <w:r>
        <w:t xml:space="preserve"> </w:t>
      </w:r>
      <w:r>
        <w:t xml:space="preserve">(skor 0 dengan justifikasi</w:t>
      </w:r>
      <w:r>
        <w:t xml:space="preserve"> </w:t>
      </w:r>
      <w:r>
        <w:t xml:space="preserve">“Tidak ada informasi yang diberikan”</w:t>
      </w:r>
      <w:r>
        <w:t xml:space="preserve"> </w:t>
      </w:r>
      <w:r>
        <w:t xml:space="preserve">meski</w:t>
      </w:r>
      <w:r>
        <w:t xml:space="preserve"> </w:t>
      </w:r>
      <w:r>
        <w:rPr>
          <w:i/>
          <w:iCs/>
        </w:rPr>
        <w:t xml:space="preserve">chunk</w:t>
      </w:r>
      <w:r>
        <w:t xml:space="preserve"> </w:t>
      </w:r>
      <w:r>
        <w:t xml:space="preserve">LED ter-</w:t>
      </w:r>
      <w:r>
        <w:rPr>
          <w:i/>
          <w:iCs/>
        </w:rPr>
        <w:t xml:space="preserve">retrieve</w:t>
      </w:r>
      <w:r>
        <w:t xml:space="preserve">).</w:t>
      </w:r>
    </w:p>
    <w:bookmarkEnd w:id="25"/>
    <w:bookmarkStart w:id="26" w:name="studi-kasus-per-indikator"/>
    <w:p>
      <w:pPr>
        <w:pStyle w:val="Heading3"/>
      </w:pPr>
      <w:r>
        <w:t xml:space="preserve">Studi Kasus per Indikator</w:t>
      </w:r>
    </w:p>
    <w:p>
      <w:pPr>
        <w:pStyle w:val="FirstParagraph"/>
      </w:pPr>
      <w:r>
        <w:t xml:space="preserve">Tabel 3 menampilkan skor model versus referensi untuk seluruh tujuh</w:t>
      </w:r>
      <w:r>
        <w:t xml:space="preserve"> </w:t>
      </w:r>
      <w:r>
        <w:t xml:space="preserve">indikator, dengan</w:t>
      </w:r>
      <w:r>
        <w:t xml:space="preserve"> </w:t>
      </w:r>
      <w:r>
        <w:rPr>
          <w:i/>
          <w:iCs/>
        </w:rPr>
        <w:t xml:space="preserve">marker</w:t>
      </w:r>
      <w:r>
        <w:t xml:space="preserve"> </w:t>
      </w:r>
      <w:r>
        <w:t xml:space="preserve">(✓ =</w:t>
      </w:r>
      <w:r>
        <w:t xml:space="preserve"> </w:t>
      </w:r>
      <w:r>
        <w:rPr>
          <w:i/>
          <w:iCs/>
        </w:rPr>
        <w:t xml:space="preserve">exact</w:t>
      </w:r>
      <w:r>
        <w:t xml:space="preserve">, ~ =</w:t>
      </w:r>
      <w:r>
        <w:t xml:space="preserve"> </w:t>
      </w:r>
      <w:r>
        <w:rPr>
          <w:i/>
          <w:iCs/>
        </w:rPr>
        <w:t xml:space="preserve">within-</w:t>
      </w:r>
      <w:r>
        <w:t xml:space="preserve">±1, ✗ = selisih</w:t>
      </w:r>
      <w:r>
        <w:t xml:space="preserve"> </w:t>
      </w:r>
      <w:r>
        <w:t xml:space="preserve">&gt; 1).</w:t>
      </w:r>
    </w:p>
    <w:p>
      <w:pPr>
        <w:pStyle w:val="BodyText"/>
      </w:pPr>
      <w:r>
        <w:rPr>
          <w:b/>
          <w:bCs/>
        </w:rPr>
        <w:t xml:space="preserve">Tabel 3.</w:t>
      </w:r>
      <w:r>
        <w:t xml:space="preserve"> </w:t>
      </w:r>
      <w:r>
        <w:t xml:space="preserve">Skor per Indikator dan</w:t>
      </w:r>
      <w:r>
        <w:t xml:space="preserve"> </w:t>
      </w:r>
      <w:r>
        <w:rPr>
          <w:i/>
          <w:iCs/>
        </w:rPr>
        <w:t xml:space="preserve">Marker</w:t>
      </w:r>
      <w:r>
        <w:t xml:space="preserve"> </w:t>
      </w:r>
      <w:r>
        <w:rPr>
          <w:i/>
          <w:iCs/>
        </w:rPr>
        <w:t xml:space="preserve">Disagreement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deepseek-r1</w:t>
            </w:r>
          </w:p>
        </w:tc>
        <w:tc>
          <w:tcPr/>
          <w:p>
            <w:pPr>
              <w:pStyle w:val="Compact"/>
            </w:pPr>
            <w:r>
              <w:t xml:space="preserve">mistral-small</w:t>
            </w:r>
          </w:p>
        </w:tc>
        <w:tc>
          <w:tcPr/>
          <w:p>
            <w:pPr>
              <w:pStyle w:val="Compact"/>
            </w:pPr>
            <w:r>
              <w:t xml:space="preserve">qwen3.5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Komposit</w:t>
            </w:r>
          </w:p>
        </w:tc>
        <w:tc>
          <w:tcPr/>
          <w:p>
            <w:pPr>
              <w:pStyle w:val="Compac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  <w:r>
              <w:t xml:space="preserve">3,0 ✓</w:t>
            </w:r>
          </w:p>
        </w:tc>
        <w:tc>
          <w:tcPr/>
          <w:p>
            <w:pPr>
              <w:pStyle w:val="Compact"/>
            </w:pPr>
            <w:r>
              <w:t xml:space="preserve">3,0 ✓</w:t>
            </w:r>
          </w:p>
        </w:tc>
        <w:tc>
          <w:tcPr/>
          <w:p>
            <w:pPr>
              <w:pStyle w:val="Compact"/>
            </w:pPr>
            <w:r>
              <w:t xml:space="preserve">3,0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Komposit</w:t>
            </w:r>
          </w:p>
        </w:tc>
        <w:tc>
          <w:tcPr/>
          <w:p>
            <w:pPr>
              <w:pStyle w:val="Compac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  <w:r>
              <w:t xml:space="preserve">3,0 ✓</w:t>
            </w:r>
          </w:p>
        </w:tc>
        <w:tc>
          <w:tcPr/>
          <w:p>
            <w:pPr>
              <w:pStyle w:val="Compact"/>
            </w:pPr>
            <w:r>
              <w:t xml:space="preserve">2,3 ~</w:t>
            </w:r>
          </w:p>
        </w:tc>
        <w:tc>
          <w:tcPr/>
          <w:p>
            <w:pPr>
              <w:pStyle w:val="Compact"/>
            </w:pPr>
            <w:r>
              <w:t xml:space="preserve">3,0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Komposit</w:t>
            </w:r>
          </w:p>
        </w:tc>
        <w:tc>
          <w:tcPr/>
          <w:p>
            <w:pPr>
              <w:pStyle w:val="Compac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  <w:r>
              <w:t xml:space="preserve">3,0 ✓</w:t>
            </w:r>
          </w:p>
        </w:tc>
        <w:tc>
          <w:tcPr/>
          <w:p>
            <w:pPr>
              <w:pStyle w:val="Compact"/>
            </w:pPr>
            <w:r>
              <w:t xml:space="preserve">0,0 ✗</w:t>
            </w:r>
          </w:p>
        </w:tc>
        <w:tc>
          <w:tcPr/>
          <w:p>
            <w:pPr>
              <w:pStyle w:val="Compact"/>
            </w:pPr>
            <w:r>
              <w:t xml:space="preserve">4,0 ~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Kualitatif</w:t>
            </w:r>
          </w:p>
        </w:tc>
        <w:tc>
          <w:tcPr/>
          <w:p>
            <w:pPr>
              <w:pStyle w:val="Compact"/>
            </w:pPr>
            <w:r>
              <w:t xml:space="preserve">2,0</w:t>
            </w:r>
          </w:p>
        </w:tc>
        <w:tc>
          <w:tcPr/>
          <w:p>
            <w:pPr>
              <w:pStyle w:val="Compact"/>
            </w:pPr>
            <w:r>
              <w:t xml:space="preserve">1,0 ~</w:t>
            </w:r>
          </w:p>
        </w:tc>
        <w:tc>
          <w:tcPr/>
          <w:p>
            <w:pPr>
              <w:pStyle w:val="Compact"/>
            </w:pPr>
            <w:r>
              <w:t xml:space="preserve">0,0 ✗</w:t>
            </w:r>
          </w:p>
        </w:tc>
        <w:tc>
          <w:tcPr/>
          <w:p>
            <w:pPr>
              <w:pStyle w:val="Compact"/>
            </w:pPr>
            <w:r>
              <w:t xml:space="preserve">3,0 ~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Kualitatif</w:t>
            </w:r>
          </w:p>
        </w:tc>
        <w:tc>
          <w:tcPr/>
          <w:p>
            <w:pPr>
              <w:pStyle w:val="Compac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  <w:r>
              <w:t xml:space="preserve">0,0 ✗</w:t>
            </w:r>
          </w:p>
        </w:tc>
        <w:tc>
          <w:tcPr/>
          <w:p>
            <w:pPr>
              <w:pStyle w:val="Compact"/>
            </w:pPr>
            <w:r>
              <w:t xml:space="preserve">0,0 ✗</w:t>
            </w:r>
          </w:p>
        </w:tc>
        <w:tc>
          <w:tcPr/>
          <w:p>
            <w:pPr>
              <w:pStyle w:val="Compact"/>
            </w:pPr>
            <w:r>
              <w:t xml:space="preserve">3,0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Kualitatif</w:t>
            </w:r>
          </w:p>
        </w:tc>
        <w:tc>
          <w:tcPr/>
          <w:p>
            <w:pPr>
              <w:pStyle w:val="Compac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  <w:r>
              <w:t xml:space="preserve">2,0 ~</w:t>
            </w:r>
          </w:p>
        </w:tc>
        <w:tc>
          <w:tcPr/>
          <w:p>
            <w:pPr>
              <w:pStyle w:val="Compact"/>
            </w:pPr>
            <w:r>
              <w:t xml:space="preserve">0,0 ✗</w:t>
            </w:r>
          </w:p>
        </w:tc>
        <w:tc>
          <w:tcPr/>
          <w:p>
            <w:pPr>
              <w:pStyle w:val="Compact"/>
            </w:pPr>
            <w:r>
              <w:t xml:space="preserve">4,0 ~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Kualitatif</w:t>
            </w:r>
          </w:p>
        </w:tc>
        <w:tc>
          <w:tcPr/>
          <w:p>
            <w:pPr>
              <w:pStyle w:val="Compac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  <w:r>
              <w:t xml:space="preserve">3,0 ✓</w:t>
            </w:r>
          </w:p>
        </w:tc>
        <w:tc>
          <w:tcPr/>
          <w:p>
            <w:pPr>
              <w:pStyle w:val="Compact"/>
            </w:pPr>
            <w:r>
              <w:t xml:space="preserve">4,0 ~</w:t>
            </w:r>
          </w:p>
        </w:tc>
        <w:tc>
          <w:tcPr/>
          <w:p>
            <w:pPr>
              <w:pStyle w:val="Compact"/>
            </w:pPr>
            <w:r>
              <w:t xml:space="preserve">4,0 ~</w:t>
            </w:r>
          </w:p>
        </w:tc>
      </w:tr>
    </w:tbl>
    <w:p>
      <w:pPr>
        <w:pStyle w:val="BodyText"/>
      </w:pPr>
      <w:r>
        <w:t xml:space="preserve">Indikator 14 (Kesesuaian CPL): Ketiga model sepakat dengan referensi</w:t>
      </w:r>
      <w:r>
        <w:t xml:space="preserve"> </w:t>
      </w:r>
      <w:r>
        <w:t xml:space="preserve">(3,0). Ini menunjukkan bahwa indikator dengan rubrik dan bukti yang</w:t>
      </w:r>
      <w:r>
        <w:t xml:space="preserve"> </w:t>
      </w:r>
      <w:r>
        <w:t xml:space="preserve">sangat eksplisit dapat dinilai konsisten oleh berbagai keluarga</w:t>
      </w:r>
      <w:r>
        <w:t xml:space="preserve"> </w:t>
      </w:r>
      <w:r>
        <w:t xml:space="preserve">model. Indikator 20 (Capstone Design) merupakan kasus paling menarik:</w:t>
      </w:r>
      <w:r>
        <w:t xml:space="preserve"> </w:t>
      </w:r>
      <w:r>
        <w:rPr>
          <w:b/>
          <w:bCs/>
        </w:rPr>
        <w:t xml:space="preserve">baik deepseek-r1 maupun mistral-small3.2 mengalami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false refusal</w:t>
      </w:r>
      <w:r>
        <w:t xml:space="preserve"> </w:t>
      </w:r>
      <w:r>
        <w:t xml:space="preserve">(skor 0), padahal LED p.77 secara eksplisit menyebutkan pelaksanaan</w:t>
      </w:r>
      <w:r>
        <w:t xml:space="preserve"> </w:t>
      </w:r>
      <w:r>
        <w:t xml:space="preserve">Capstone melalui Pedoman Capstone Project. Hanya qwen3.5 yang</w:t>
      </w:r>
      <w:r>
        <w:t xml:space="preserve"> </w:t>
      </w:r>
      <w:r>
        <w:t xml:space="preserve">memberikan skor benar (3,0).</w:t>
      </w:r>
    </w:p>
    <w:bookmarkEnd w:id="26"/>
    <w:bookmarkStart w:id="27" w:name="X7d7755e20d7db643184c81581b0a64e0a573998"/>
    <w:p>
      <w:pPr>
        <w:pStyle w:val="Heading3"/>
      </w:pPr>
      <w:r>
        <w:t xml:space="preserve">Failure Mode: False Refusal sebagai Kegagalan Dominan</w:t>
      </w:r>
    </w:p>
    <w:p>
      <w:pPr>
        <w:pStyle w:val="FirstParagraph"/>
      </w:pPr>
      <w:r>
        <w:t xml:space="preserve">Pada subset tujuh indikator ini,</w:t>
      </w:r>
      <w:r>
        <w:t xml:space="preserve"> </w:t>
      </w:r>
      <w:r>
        <w:rPr>
          <w:i/>
          <w:iCs/>
        </w:rPr>
        <w:t xml:space="preserve">failure mode</w:t>
      </w:r>
      <w:r>
        <w:t xml:space="preserve"> </w:t>
      </w:r>
      <w:r>
        <w:t xml:space="preserve">yang paling dominan</w:t>
      </w:r>
      <w:r>
        <w:t xml:space="preserve"> </w:t>
      </w:r>
      <w:r>
        <w:t xml:space="preserve">adalah</w:t>
      </w:r>
      <w:r>
        <w:t xml:space="preserve"> </w:t>
      </w:r>
      <w:r>
        <w:rPr>
          <w:b/>
          <w:bCs/>
          <w:i/>
          <w:iCs/>
        </w:rPr>
        <w:t xml:space="preserve">false refusal</w:t>
      </w:r>
      <w:r>
        <w:t xml:space="preserve"> </w:t>
      </w:r>
      <w:r>
        <w:t xml:space="preserve">— model memberikan skor 0 dengan</w:t>
      </w:r>
      <w:r>
        <w:t xml:space="preserve"> </w:t>
      </w:r>
      <w:r>
        <w:t xml:space="preserve">justifikasi</w:t>
      </w:r>
      <w:r>
        <w:t xml:space="preserve"> </w:t>
      </w:r>
      <w:r>
        <w:t xml:space="preserve">“Tidak ada bukti”</w:t>
      </w:r>
      <w:r>
        <w:t xml:space="preserve"> </w:t>
      </w:r>
      <w:r>
        <w:t xml:space="preserve">meski bukti ada di</w:t>
      </w:r>
      <w:r>
        <w:t xml:space="preserve"> </w:t>
      </w:r>
      <w:r>
        <w:rPr>
          <w:i/>
          <w:iCs/>
        </w:rPr>
        <w:t xml:space="preserve">chunk</w:t>
      </w:r>
      <w:r>
        <w:t xml:space="preserve"> </w:t>
      </w:r>
      <w:r>
        <w:t xml:space="preserve">LED yang</w:t>
      </w:r>
      <w:r>
        <w:t xml:space="preserve"> </w:t>
      </w:r>
      <w:r>
        <w:t xml:space="preserve">ter-</w:t>
      </w:r>
      <w:r>
        <w:rPr>
          <w:i/>
          <w:iCs/>
        </w:rPr>
        <w:t xml:space="preserve">retrieve</w:t>
      </w:r>
      <w:r>
        <w:t xml:space="preserve">. Tabel 4 merangkum tingkat</w:t>
      </w:r>
      <w:r>
        <w:t xml:space="preserve"> </w:t>
      </w:r>
      <w:r>
        <w:rPr>
          <w:i/>
          <w:iCs/>
        </w:rPr>
        <w:t xml:space="preserve">false refusal</w:t>
      </w:r>
      <w:r>
        <w:t xml:space="preserve"> </w:t>
      </w:r>
      <w:r>
        <w:t xml:space="preserve">per model.</w:t>
      </w:r>
    </w:p>
    <w:p>
      <w:pPr>
        <w:pStyle w:val="BodyText"/>
      </w:pPr>
      <w:r>
        <w:rPr>
          <w:b/>
          <w:bCs/>
        </w:rPr>
        <w:t xml:space="preserve">Tabel 4.</w:t>
      </w:r>
      <w:r>
        <w:t xml:space="preserve"> </w:t>
      </w:r>
      <w:r>
        <w:rPr>
          <w:i/>
          <w:iCs/>
        </w:rPr>
        <w:t xml:space="preserve">False Refusal</w:t>
      </w:r>
      <w:r>
        <w:t xml:space="preserve"> </w:t>
      </w:r>
      <w:r>
        <w:t xml:space="preserve">per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Total skor=0</w:t>
            </w:r>
          </w:p>
        </w:tc>
        <w:tc>
          <w:tcPr/>
          <w:p>
            <w:pPr>
              <w:pStyle w:val="Compact"/>
            </w:pPr>
            <w:r>
              <w:t xml:space="preserve">Indikator yang difalse-refuse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qwen3.5:35b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(tidak ada)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deepseek-r1:32b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 (Capstone)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mistral-small3.2:24b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16, 17, 20, 22</w:t>
            </w:r>
          </w:p>
        </w:tc>
      </w:tr>
    </w:tbl>
    <w:p>
      <w:pPr>
        <w:pStyle w:val="BodyText"/>
      </w:pPr>
      <w:r>
        <w:t xml:space="preserve">Qwen3.5:35b menunjukkan reliabilitas sempurna — tidak pernah menolak</w:t>
      </w:r>
      <w:r>
        <w:t xml:space="preserve"> </w:t>
      </w:r>
      <w:r>
        <w:t xml:space="preserve">menilai. Ini konsisten dengan pelatihan Qwen pada tugas</w:t>
      </w:r>
      <w:r>
        <w:t xml:space="preserve"> </w:t>
      </w:r>
      <w:r>
        <w:rPr>
          <w:i/>
          <w:iCs/>
        </w:rPr>
        <w:t xml:space="preserve">agentic</w:t>
      </w:r>
      <w:r>
        <w:t xml:space="preserve"> </w:t>
      </w:r>
      <w:r>
        <w:t xml:space="preserve">yang menekankan</w:t>
      </w:r>
      <w:r>
        <w:t xml:space="preserve"> </w:t>
      </w:r>
      <w:r>
        <w:rPr>
          <w:i/>
          <w:iCs/>
        </w:rPr>
        <w:t xml:space="preserve">decisiveness</w:t>
      </w:r>
      <w:r>
        <w:t xml:space="preserve">. Deepseek-r1:32b mengalami</w:t>
      </w:r>
      <w:r>
        <w:t xml:space="preserve"> </w:t>
      </w:r>
      <w:r>
        <w:rPr>
          <w:i/>
          <w:iCs/>
        </w:rPr>
        <w:t xml:space="preserve">false</w:t>
      </w:r>
      <w:r>
        <w:rPr>
          <w:i/>
          <w:iCs/>
        </w:rPr>
        <w:t xml:space="preserve"> </w:t>
      </w:r>
      <w:r>
        <w:rPr>
          <w:i/>
          <w:iCs/>
        </w:rPr>
        <w:t xml:space="preserve">refusal</w:t>
      </w:r>
      <w:r>
        <w:t xml:space="preserve"> </w:t>
      </w:r>
      <w:r>
        <w:t xml:space="preserve">hanya pada Indikator 20. Inspeksi blok</w:t>
      </w:r>
      <w:r>
        <w:t xml:space="preserve"> </w:t>
      </w:r>
      <w:r>
        <w:rPr>
          <w:rStyle w:val="VerbatimChar"/>
        </w:rPr>
        <w:t xml:space="preserve">&lt;think&gt;...&lt;/think&gt;</w:t>
      </w:r>
      <w:r>
        <w:t xml:space="preserve"> </w:t>
      </w:r>
      <w:r>
        <w:t xml:space="preserve">menunjukkan model membaca</w:t>
      </w:r>
      <w:r>
        <w:t xml:space="preserve"> </w:t>
      </w:r>
      <w:r>
        <w:rPr>
          <w:i/>
          <w:iCs/>
        </w:rPr>
        <w:t xml:space="preserve">chunk</w:t>
      </w:r>
      <w:r>
        <w:t xml:space="preserve"> </w:t>
      </w:r>
      <w:r>
        <w:t xml:space="preserve">LED yang relevan tetapi</w:t>
      </w:r>
      <w:r>
        <w:t xml:space="preserve"> </w:t>
      </w:r>
      <w:r>
        <w:t xml:space="preserve">menyimpulkan</w:t>
      </w:r>
      <w:r>
        <w:t xml:space="preserve"> </w:t>
      </w:r>
      <w:r>
        <w:t xml:space="preserve">“</w:t>
      </w:r>
      <w:r>
        <w:rPr>
          <w:i/>
          <w:iCs/>
        </w:rPr>
        <w:t xml:space="preserve">evidence is too generic</w:t>
      </w:r>
      <w:r>
        <w:t xml:space="preserve">”</w:t>
      </w:r>
      <w:r>
        <w:t xml:space="preserve"> </w:t>
      </w:r>
      <w:r>
        <w:t xml:space="preserve">— sebuah</w:t>
      </w:r>
      <w:r>
        <w:t xml:space="preserve"> </w:t>
      </w:r>
      <w:r>
        <w:rPr>
          <w:i/>
          <w:iCs/>
        </w:rPr>
        <w:t xml:space="preserve">over-cautious</w:t>
      </w:r>
      <w:r>
        <w:rPr>
          <w:i/>
          <w:iCs/>
        </w:rPr>
        <w:t xml:space="preserve"> </w:t>
      </w:r>
      <w:r>
        <w:rPr>
          <w:i/>
          <w:iCs/>
        </w:rPr>
        <w:t xml:space="preserve">refusal</w:t>
      </w:r>
      <w:r>
        <w:t xml:space="preserve">. Mistral-small3.2:24b menunjukkan</w:t>
      </w:r>
      <w:r>
        <w:t xml:space="preserve"> </w:t>
      </w:r>
      <w:r>
        <w:rPr>
          <w:i/>
          <w:iCs/>
        </w:rPr>
        <w:t xml:space="preserve">false refusal</w:t>
      </w:r>
      <w:r>
        <w:t xml:space="preserve"> </w:t>
      </w:r>
      <w:r>
        <w:t xml:space="preserve">parah pada</w:t>
      </w:r>
      <w:r>
        <w:t xml:space="preserve"> </w:t>
      </w:r>
      <w:r>
        <w:t xml:space="preserve">4 dari 7 indikator. Pola justifikasi yang berulang menyiratkan bahwa</w:t>
      </w:r>
      <w:r>
        <w:t xml:space="preserve"> </w:t>
      </w:r>
      <w:r>
        <w:rPr>
          <w:i/>
          <w:iCs/>
        </w:rPr>
        <w:t xml:space="preserve">instruction-tuning</w:t>
      </w:r>
      <w:r>
        <w:t xml:space="preserve"> </w:t>
      </w:r>
      <w:r>
        <w:t xml:space="preserve">model ini menekankan</w:t>
      </w:r>
      <w:r>
        <w:t xml:space="preserve"> </w:t>
      </w:r>
      <w:r>
        <w:rPr>
          <w:i/>
          <w:iCs/>
        </w:rPr>
        <w:t xml:space="preserve">“explanatory caution”</w:t>
      </w:r>
      <w:r>
        <w:t xml:space="preserve"> </w:t>
      </w:r>
      <w:r>
        <w:t xml:space="preserve">alih-alih</w:t>
      </w:r>
      <w:r>
        <w:t xml:space="preserve"> </w:t>
      </w:r>
      <w:r>
        <w:rPr>
          <w:i/>
          <w:iCs/>
        </w:rPr>
        <w:t xml:space="preserve">“agentic decisiveness”</w:t>
      </w:r>
      <w:r>
        <w:t xml:space="preserve"> </w:t>
      </w:r>
      <w:r>
        <w:t xml:space="preserve">— sebuah</w:t>
      </w:r>
      <w:r>
        <w:t xml:space="preserve"> </w:t>
      </w:r>
      <w:r>
        <w:rPr>
          <w:i/>
          <w:iCs/>
        </w:rPr>
        <w:t xml:space="preserve">trade-off</w:t>
      </w:r>
      <w:r>
        <w:t xml:space="preserve"> </w:t>
      </w:r>
      <w:r>
        <w:t xml:space="preserve">yang</w:t>
      </w:r>
      <w:r>
        <w:t xml:space="preserve"> </w:t>
      </w:r>
      <w:r>
        <w:t xml:space="preserve">sebelumnya diidentifikasi pada model</w:t>
      </w:r>
      <w:r>
        <w:t xml:space="preserve"> </w:t>
      </w:r>
      <w:r>
        <w:rPr>
          <w:i/>
          <w:iCs/>
        </w:rPr>
        <w:t xml:space="preserve">chat</w:t>
      </w:r>
      <w:r>
        <w:t xml:space="preserve"> </w:t>
      </w:r>
      <w:r>
        <w:t xml:space="preserve">berukuran menengah</w:t>
      </w:r>
      <w:r>
        <w:t xml:space="preserve"> </w:t>
      </w:r>
      <w:r>
        <w:t xml:space="preserve">(Yu et al., 2024).</w:t>
      </w:r>
    </w:p>
    <w:bookmarkEnd w:id="27"/>
    <w:bookmarkStart w:id="28" w:name="Xbb96042ee9f1a93e6bba41e5aded9ad52201c5e"/>
    <w:p>
      <w:pPr>
        <w:pStyle w:val="Heading3"/>
      </w:pPr>
      <w:r>
        <w:t xml:space="preserve">Trade-off antara Exact Match dan Reliabilitas</w:t>
      </w:r>
    </w:p>
    <w:p>
      <w:pPr>
        <w:pStyle w:val="FirstParagraph"/>
      </w:pPr>
      <w:r>
        <w:t xml:space="preserve">Pemilihan model untuk penilaian akreditasi otomatis bukan keputusan</w:t>
      </w:r>
      <w:r>
        <w:t xml:space="preserve"> </w:t>
      </w:r>
      <w:r>
        <w:t xml:space="preserve">satu dimensi. Deepseek-r1:32b mencapai</w:t>
      </w:r>
      <w:r>
        <w:t xml:space="preserve"> </w:t>
      </w:r>
      <w:r>
        <w:rPr>
          <w:i/>
          <w:iCs/>
        </w:rPr>
        <w:t xml:space="preserve">exact match</w:t>
      </w:r>
      <w:r>
        <w:t xml:space="preserve"> </w:t>
      </w:r>
      <w:r>
        <w:t xml:space="preserve">tertinggi</w:t>
      </w:r>
      <w:r>
        <w:t xml:space="preserve"> </w:t>
      </w:r>
      <w:r>
        <w:t xml:space="preserve">(57,1%) tetapi dengan satu kasus</w:t>
      </w:r>
      <w:r>
        <w:t xml:space="preserve"> </w:t>
      </w:r>
      <w:r>
        <w:rPr>
          <w:i/>
          <w:iCs/>
        </w:rPr>
        <w:t xml:space="preserve">off-error</w:t>
      </w:r>
      <w:r>
        <w:t xml:space="preserve"> </w:t>
      </w:r>
      <w:r>
        <w:t xml:space="preserve">besar (Indikator 20:</w:t>
      </w:r>
      <w:r>
        <w:t xml:space="preserve"> </w:t>
      </w:r>
      <w:r>
        <w:t xml:space="preserve">skor 0 vs ref 3). Sebaliknya qwen3.5:35b</w:t>
      </w:r>
      <w:r>
        <w:t xml:space="preserve"> </w:t>
      </w:r>
      <w:r>
        <w:t xml:space="preserve">“hanya”</w:t>
      </w:r>
      <w:r>
        <w:t xml:space="preserve"> </w:t>
      </w:r>
      <w:r>
        <w:t xml:space="preserve">mencapai 42,9%</w:t>
      </w:r>
      <w:r>
        <w:t xml:space="preserve"> </w:t>
      </w:r>
      <w:r>
        <w:rPr>
          <w:i/>
          <w:iCs/>
        </w:rPr>
        <w:t xml:space="preserve">exact match</w:t>
      </w:r>
      <w:r>
        <w:t xml:space="preserve">, namun</w:t>
      </w:r>
      <w:r>
        <w:t xml:space="preserve"> </w:t>
      </w:r>
      <w:r>
        <w:rPr>
          <w:b/>
          <w:bCs/>
        </w:rPr>
        <w:t xml:space="preserve">tidak pernah</w:t>
      </w:r>
      <w:r>
        <w:t xml:space="preserve"> </w:t>
      </w:r>
      <w:r>
        <w:t xml:space="preserve">salah lebih dari satu poin dari</w:t>
      </w:r>
      <w:r>
        <w:t xml:space="preserve"> </w:t>
      </w:r>
      <w:r>
        <w:t xml:space="preserve">referensi. Untuk</w:t>
      </w:r>
      <w:r>
        <w:t xml:space="preserve"> </w:t>
      </w:r>
      <w:r>
        <w:rPr>
          <w:i/>
          <w:iCs/>
        </w:rPr>
        <w:t xml:space="preserve">deployment</w:t>
      </w:r>
      <w:r>
        <w:t xml:space="preserve"> </w:t>
      </w:r>
      <w:r>
        <w:t xml:space="preserve">sebagai</w:t>
      </w:r>
      <w:r>
        <w:t xml:space="preserve"> </w:t>
      </w:r>
      <w:r>
        <w:rPr>
          <w:i/>
          <w:iCs/>
        </w:rPr>
        <w:t xml:space="preserve">draft scorer</w:t>
      </w:r>
      <w:r>
        <w:t xml:space="preserve"> </w:t>
      </w:r>
      <w:r>
        <w:t xml:space="preserve">yang akan</w:t>
      </w:r>
      <w:r>
        <w:t xml:space="preserve"> </w:t>
      </w:r>
      <w:r>
        <w:t xml:space="preserve">diverifikasi asesor manusia, reliabilitas qwen lebih bernilai</w:t>
      </w:r>
      <w:r>
        <w:t xml:space="preserve"> </w:t>
      </w:r>
      <w:r>
        <w:t xml:space="preserve">daripada</w:t>
      </w:r>
      <w:r>
        <w:t xml:space="preserve"> </w:t>
      </w:r>
      <w:r>
        <w:rPr>
          <w:i/>
          <w:iCs/>
        </w:rPr>
        <w:t xml:space="preserve">exact match</w:t>
      </w:r>
      <w:r>
        <w:t xml:space="preserve"> </w:t>
      </w:r>
      <w:r>
        <w:t xml:space="preserve">deepseek: asesor hanya perlu mengoreksi ±1</w:t>
      </w:r>
      <w:r>
        <w:t xml:space="preserve"> </w:t>
      </w:r>
      <w:r>
        <w:t xml:space="preserve">daripada me-</w:t>
      </w:r>
      <w:r>
        <w:rPr>
          <w:i/>
          <w:iCs/>
        </w:rPr>
        <w:t xml:space="preserve">redo</w:t>
      </w:r>
      <w:r>
        <w:t xml:space="preserve"> </w:t>
      </w:r>
      <w:r>
        <w:t xml:space="preserve">penilaian dari nol.</w:t>
      </w:r>
    </w:p>
    <w:p>
      <w:pPr>
        <w:pStyle w:val="BodyText"/>
      </w:pPr>
      <w:r>
        <w:t xml:space="preserve">Hipotesis kami untuk superioritas deepseek-r1 pada komposit: struktur</w:t>
      </w:r>
      <w:r>
        <w:t xml:space="preserve"> </w:t>
      </w:r>
      <w:r>
        <w:t xml:space="preserve">komposit secara natural cocok dengan</w:t>
      </w:r>
      <w:r>
        <w:t xml:space="preserve"> </w:t>
      </w:r>
      <w:r>
        <w:rPr>
          <w:i/>
          <w:iCs/>
        </w:rPr>
        <w:t xml:space="preserve">chain-of-thought</w:t>
      </w:r>
      <w:r>
        <w:t xml:space="preserve"> </w:t>
      </w:r>
      <w:r>
        <w:t xml:space="preserve">model</w:t>
      </w:r>
      <w:r>
        <w:t xml:space="preserve"> </w:t>
      </w:r>
      <w:r>
        <w:rPr>
          <w:i/>
          <w:iCs/>
        </w:rPr>
        <w:t xml:space="preserve">reasoning</w:t>
      </w:r>
      <w:r>
        <w:t xml:space="preserve"> </w:t>
      </w:r>
      <w:r>
        <w:t xml:space="preserve">— model dapat secara terpisah menilai sub-skor I,</w:t>
      </w:r>
      <w:r>
        <w:t xml:space="preserve"> </w:t>
      </w:r>
      <w:r>
        <w:t xml:space="preserve">menilai sub-skor II, kemudian menerapkan formula sebagai langkah</w:t>
      </w:r>
      <w:r>
        <w:t xml:space="preserve"> </w:t>
      </w:r>
      <w:r>
        <w:t xml:space="preserve">penalaran terakhir. Tahap-tahap ini eksplisit di blok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t xml:space="preserve">yang</w:t>
      </w:r>
      <w:r>
        <w:t xml:space="preserve"> </w:t>
      </w:r>
      <w:r>
        <w:t xml:space="preserve">dapat di-inspeksi, dan jarang gagal. Sebaliknya, indikator kualitatif</w:t>
      </w:r>
      <w:r>
        <w:t xml:space="preserve"> </w:t>
      </w:r>
      <w:r>
        <w:t xml:space="preserve">murni membutuhkan pemberian skor</w:t>
      </w:r>
      <w:r>
        <w:t xml:space="preserve"> </w:t>
      </w:r>
      <w:r>
        <w:rPr>
          <w:i/>
          <w:iCs/>
        </w:rPr>
        <w:t xml:space="preserve">one-shot</w:t>
      </w:r>
      <w:r>
        <w:t xml:space="preserve"> </w:t>
      </w:r>
      <w:r>
        <w:t xml:space="preserve">yang bergantung pada</w:t>
      </w:r>
      <w:r>
        <w:t xml:space="preserve"> </w:t>
      </w:r>
      <w:r>
        <w:rPr>
          <w:i/>
          <w:iCs/>
        </w:rPr>
        <w:t xml:space="preserve">holistic judgment</w:t>
      </w:r>
      <w:r>
        <w:t xml:space="preserve"> </w:t>
      </w:r>
      <w:r>
        <w:t xml:space="preserve">— area di mana model</w:t>
      </w:r>
      <w:r>
        <w:t xml:space="preserve"> </w:t>
      </w:r>
      <w:r>
        <w:rPr>
          <w:i/>
          <w:iCs/>
        </w:rPr>
        <w:t xml:space="preserve">reasoning</w:t>
      </w:r>
      <w:r>
        <w:t xml:space="preserve"> </w:t>
      </w:r>
      <w:r>
        <w:t xml:space="preserve">kurang unggul</w:t>
      </w:r>
      <w:r>
        <w:t xml:space="preserve"> </w:t>
      </w:r>
      <w:r>
        <w:t xml:space="preserve">dibandingkan model dengan</w:t>
      </w:r>
      <w:r>
        <w:t xml:space="preserve"> </w:t>
      </w:r>
      <w:r>
        <w:rPr>
          <w:i/>
          <w:iCs/>
        </w:rPr>
        <w:t xml:space="preserve">tool-tuning</w:t>
      </w:r>
      <w:r>
        <w:t xml:space="preserve"> </w:t>
      </w:r>
      <w:r>
        <w:t xml:space="preserve">khusus seperti Qwen.</w:t>
      </w:r>
    </w:p>
    <w:bookmarkEnd w:id="28"/>
    <w:bookmarkStart w:id="29" w:name="implikasi-untuk-praktik-akreditasi"/>
    <w:p>
      <w:pPr>
        <w:pStyle w:val="Heading3"/>
      </w:pPr>
      <w:r>
        <w:t xml:space="preserve">Implikasi untuk Praktik Akreditasi</w:t>
      </w:r>
    </w:p>
    <w:p>
      <w:pPr>
        <w:pStyle w:val="FirstParagraph"/>
      </w:pPr>
      <w:r>
        <w:t xml:space="preserve">Hasil penelitian memberikan rekomendasi konkret bagi institusi</w:t>
      </w:r>
      <w:r>
        <w:t xml:space="preserve"> </w:t>
      </w:r>
      <w:r>
        <w:t xml:space="preserve">pendidikan tinggi. Untuk</w:t>
      </w:r>
      <w:r>
        <w:t xml:space="preserve"> </w:t>
      </w:r>
      <w:r>
        <w:rPr>
          <w:i/>
          <w:iCs/>
        </w:rPr>
        <w:t xml:space="preserve">draft scorer</w:t>
      </w:r>
      <w:r>
        <w:t xml:space="preserve"> </w:t>
      </w:r>
      <w:r>
        <w:t xml:space="preserve">yang andal, qwen3.5:35b</w:t>
      </w:r>
      <w:r>
        <w:t xml:space="preserve"> </w:t>
      </w:r>
      <w:r>
        <w:t xml:space="preserve">direkomendasikan karena reliabilitasnya konsisten — 100%</w:t>
      </w:r>
      <w:r>
        <w:t xml:space="preserve"> </w:t>
      </w:r>
      <w:r>
        <w:rPr>
          <w:i/>
          <w:iCs/>
        </w:rPr>
        <w:t xml:space="preserve">within-</w:t>
      </w:r>
      <w:r>
        <w:t xml:space="preserve">±1</w:t>
      </w:r>
      <w:r>
        <w:t xml:space="preserve"> </w:t>
      </w:r>
      <w:r>
        <w:t xml:space="preserve">berarti asesor manusia hanya perlu</w:t>
      </w:r>
      <w:r>
        <w:t xml:space="preserve"> </w:t>
      </w:r>
      <w:r>
        <w:rPr>
          <w:i/>
          <w:iCs/>
        </w:rPr>
        <w:t xml:space="preserve">fine-tuning</w:t>
      </w:r>
      <w:r>
        <w:t xml:space="preserve"> </w:t>
      </w:r>
      <w:r>
        <w:t xml:space="preserve">satu poin.</w:t>
      </w:r>
      <w:r>
        <w:t xml:space="preserve"> </w:t>
      </w:r>
      <w:r>
        <w:t xml:space="preserve">Deepseek-r1:32b dapat menjadi alternatif untuk</w:t>
      </w:r>
      <w:r>
        <w:t xml:space="preserve"> </w:t>
      </w:r>
      <w:r>
        <w:rPr>
          <w:i/>
          <w:iCs/>
        </w:rPr>
        <w:t xml:space="preserve">batch</w:t>
      </w:r>
      <w:r>
        <w:t xml:space="preserve"> </w:t>
      </w:r>
      <w:r>
        <w:t xml:space="preserve">indikator yang</w:t>
      </w:r>
      <w:r>
        <w:t xml:space="preserve"> </w:t>
      </w:r>
      <w:r>
        <w:t xml:space="preserve">didominasi struktur komposit, dengan kewaspadaan terhadap kasus</w:t>
      </w:r>
      <w:r>
        <w:t xml:space="preserve"> </w:t>
      </w:r>
      <w:r>
        <w:rPr>
          <w:i/>
          <w:iCs/>
        </w:rPr>
        <w:t xml:space="preserve">false refusal</w:t>
      </w:r>
      <w:r>
        <w:t xml:space="preserve"> </w:t>
      </w:r>
      <w:r>
        <w:t xml:space="preserve">yang sesekali muncul. Mistral-small3.2:24b</w:t>
      </w:r>
      <w:r>
        <w:t xml:space="preserve"> </w:t>
      </w:r>
      <w:r>
        <w:t xml:space="preserve">sebaiknya dihindari untuk indikator dominan kualitatif karena tingkat</w:t>
      </w:r>
      <w:r>
        <w:t xml:space="preserve"> </w:t>
      </w:r>
      <w:r>
        <w:rPr>
          <w:i/>
          <w:iCs/>
        </w:rPr>
        <w:t xml:space="preserve">false refusal</w:t>
      </w:r>
      <w:r>
        <w:t xml:space="preserve"> </w:t>
      </w:r>
      <w:r>
        <w:t xml:space="preserve">75% pada kategori ini akan membutuhkan koreksi manual</w:t>
      </w:r>
      <w:r>
        <w:t xml:space="preserve"> </w:t>
      </w:r>
      <w:r>
        <w:t xml:space="preserve">yang ekstensif.</w:t>
      </w:r>
    </w:p>
    <w:p>
      <w:pPr>
        <w:pStyle w:val="BodyText"/>
      </w:pPr>
      <w:r>
        <w:t xml:space="preserve">Penting digarisbawahi bahwa pendekatan ini ditujukan sebagai</w:t>
      </w:r>
      <w:r>
        <w:t xml:space="preserve"> </w:t>
      </w:r>
      <w:r>
        <w:rPr>
          <w:i/>
          <w:iCs/>
        </w:rPr>
        <w:t xml:space="preserve">human-in-the-loop assistive tool</w:t>
      </w:r>
      <w:r>
        <w:t xml:space="preserve">, bukan pengganti asesor</w:t>
      </w:r>
      <w:r>
        <w:t xml:space="preserve"> </w:t>
      </w:r>
      <w:r>
        <w:t xml:space="preserve">tersertifikasi. Penilaian final tetap berada pada asesor manusia,</w:t>
      </w:r>
      <w:r>
        <w:t xml:space="preserve"> </w:t>
      </w:r>
      <w:r>
        <w:t xml:space="preserve">dengan agen LLM berperan sebagai akselerator yang mempersiapkan</w:t>
      </w:r>
      <w:r>
        <w:t xml:space="preserve"> </w:t>
      </w:r>
      <w:r>
        <w:rPr>
          <w:i/>
          <w:iCs/>
        </w:rPr>
        <w:t xml:space="preserve">draft</w:t>
      </w:r>
      <w:r>
        <w:t xml:space="preserve"> </w:t>
      </w:r>
      <w:r>
        <w:t xml:space="preserve">skor dan justifikasi yang dapat diverifikasi secara cepat.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Penelitian ini menyajikan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fokus tiga LLM</w:t>
      </w:r>
      <w:r>
        <w:t xml:space="preserve"> </w:t>
      </w:r>
      <w:r>
        <w:rPr>
          <w:i/>
          <w:iCs/>
        </w:rPr>
        <w:t xml:space="preserve">open-weight</w:t>
      </w:r>
      <w:r>
        <w:t xml:space="preserve"> </w:t>
      </w:r>
      <w:r>
        <w:t xml:space="preserve">berukuran 24–35 B parameter pada tujuh indikator proses pembelajaran</w:t>
      </w:r>
      <w:r>
        <w:t xml:space="preserve"> </w:t>
      </w:r>
      <w:r>
        <w:t xml:space="preserve">dan kurikulum dari rubrik LAM Teknik. Temuan utama:</w:t>
      </w:r>
      <w:r>
        <w:t xml:space="preserve"> </w:t>
      </w:r>
      <w:r>
        <w:t xml:space="preserve">deepseek-r1:32b mencapai</w:t>
      </w:r>
      <w:r>
        <w:t xml:space="preserve"> </w:t>
      </w:r>
      <w:r>
        <w:rPr>
          <w:i/>
          <w:iCs/>
        </w:rPr>
        <w:t xml:space="preserve">exact match</w:t>
      </w:r>
      <w:r>
        <w:t xml:space="preserve"> </w:t>
      </w:r>
      <w:r>
        <w:t xml:space="preserve">tertinggi (57,1%; MAE 0,71)</w:t>
      </w:r>
      <w:r>
        <w:t xml:space="preserve"> </w:t>
      </w:r>
      <w:r>
        <w:t xml:space="preserve">berkat performa sempurna pada indikator komposit (100%</w:t>
      </w:r>
      <w:r>
        <w:t xml:space="preserve"> </w:t>
      </w:r>
      <w:r>
        <w:rPr>
          <w:i/>
          <w:iCs/>
        </w:rPr>
        <w:t xml:space="preserve">exact</w:t>
      </w:r>
      <w:r>
        <w:t xml:space="preserve">);</w:t>
      </w:r>
      <w:r>
        <w:t xml:space="preserve"> </w:t>
      </w:r>
      <w:r>
        <w:t xml:space="preserve">qwen3.5:35b unggul dalam reliabilitas dengan akurasi</w:t>
      </w:r>
      <w:r>
        <w:t xml:space="preserve"> </w:t>
      </w:r>
      <w:r>
        <w:rPr>
          <w:i/>
          <w:iCs/>
        </w:rPr>
        <w:t xml:space="preserve">within-</w:t>
      </w:r>
      <w:r>
        <w:t xml:space="preserve">±1</w:t>
      </w:r>
      <w:r>
        <w:t xml:space="preserve"> </w:t>
      </w:r>
      <w:r>
        <w:t xml:space="preserve">sempurna 100% (MAE 0,57) tanpa</w:t>
      </w:r>
      <w:r>
        <w:t xml:space="preserve"> </w:t>
      </w:r>
      <w:r>
        <w:rPr>
          <w:i/>
          <w:iCs/>
        </w:rPr>
        <w:t xml:space="preserve">false refusal</w:t>
      </w:r>
      <w:r>
        <w:t xml:space="preserve">; mistral-small3.2:24b</w:t>
      </w:r>
      <w:r>
        <w:t xml:space="preserve"> </w:t>
      </w:r>
      <w:r>
        <w:t xml:space="preserve">berperforma buruk (MAE 1,81;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14,3%) dengan empat dari tujuh</w:t>
      </w:r>
      <w:r>
        <w:t xml:space="preserve"> </w:t>
      </w:r>
      <w:r>
        <w:t xml:space="preserve">keluaran sebagai</w:t>
      </w:r>
      <w:r>
        <w:t xml:space="preserve"> </w:t>
      </w:r>
      <w:r>
        <w:rPr>
          <w:i/>
          <w:iCs/>
        </w:rPr>
        <w:t xml:space="preserve">false refusal</w:t>
      </w:r>
      <w:r>
        <w:t xml:space="preserve">. Temuan utama paper ini adalah</w:t>
      </w:r>
      <w:r>
        <w:t xml:space="preserve"> </w:t>
      </w:r>
      <w:r>
        <w:rPr>
          <w:i/>
          <w:iCs/>
        </w:rPr>
        <w:t xml:space="preserve">trade-off</w:t>
      </w:r>
      <w:r>
        <w:t xml:space="preserve"> </w:t>
      </w:r>
      <w:r>
        <w:t xml:space="preserve">antara</w:t>
      </w:r>
      <w:r>
        <w:t xml:space="preserve"> </w:t>
      </w:r>
      <w:r>
        <w:rPr>
          <w:i/>
          <w:iCs/>
        </w:rPr>
        <w:t xml:space="preserve">exact match</w:t>
      </w:r>
      <w:r>
        <w:t xml:space="preserve"> </w:t>
      </w:r>
      <w:r>
        <w:t xml:space="preserve">(deepseek-r1) dan reliabilitas</w:t>
      </w:r>
      <w:r>
        <w:t xml:space="preserve"> </w:t>
      </w:r>
      <w:r>
        <w:t xml:space="preserve">(qwen3.5), serta dominansi</w:t>
      </w:r>
      <w:r>
        <w:t xml:space="preserve"> </w:t>
      </w:r>
      <w:r>
        <w:rPr>
          <w:i/>
          <w:iCs/>
        </w:rPr>
        <w:t xml:space="preserve">failure mode false refusal</w:t>
      </w:r>
      <w:r>
        <w:t xml:space="preserve"> </w:t>
      </w:r>
      <w:r>
        <w:t xml:space="preserve">pada model</w:t>
      </w:r>
      <w:r>
        <w:t xml:space="preserve"> </w:t>
      </w:r>
      <w:r>
        <w:rPr>
          <w:i/>
          <w:iCs/>
        </w:rPr>
        <w:t xml:space="preserve">chat</w:t>
      </w:r>
      <w:r>
        <w:t xml:space="preserve"> </w:t>
      </w:r>
      <w:r>
        <w:t xml:space="preserve">berukuran menengah.</w:t>
      </w:r>
    </w:p>
    <w:p>
      <w:pPr>
        <w:pStyle w:val="BodyText"/>
      </w:pPr>
      <w:r>
        <w:t xml:space="preserve">Untuk</w:t>
      </w:r>
      <w:r>
        <w:t xml:space="preserve"> </w:t>
      </w:r>
      <w:r>
        <w:rPr>
          <w:i/>
          <w:iCs/>
        </w:rPr>
        <w:t xml:space="preserve">deployment</w:t>
      </w:r>
      <w:r>
        <w:t xml:space="preserve"> </w:t>
      </w:r>
      <w:r>
        <w:t xml:space="preserve">praktis sebagai</w:t>
      </w:r>
      <w:r>
        <w:t xml:space="preserve"> </w:t>
      </w:r>
      <w:r>
        <w:rPr>
          <w:i/>
          <w:iCs/>
        </w:rPr>
        <w:t xml:space="preserve">AI draft scorer</w:t>
      </w:r>
      <w:r>
        <w:t xml:space="preserve"> </w:t>
      </w:r>
      <w:r>
        <w:t xml:space="preserve">yang akan</w:t>
      </w:r>
      <w:r>
        <w:t xml:space="preserve"> </w:t>
      </w:r>
      <w:r>
        <w:t xml:space="preserve">diverifikasi asesor manusia dalam audit mutu internal pendidikan</w:t>
      </w:r>
      <w:r>
        <w:t xml:space="preserve"> </w:t>
      </w:r>
      <w:r>
        <w:t xml:space="preserve">tinggi, penelitian ini merekomendasikan qwen3.5:35b karena</w:t>
      </w:r>
      <w:r>
        <w:t xml:space="preserve"> </w:t>
      </w:r>
      <w:r>
        <w:t xml:space="preserve">reliabilitasnya konsisten dengan akurasi</w:t>
      </w:r>
      <w:r>
        <w:t xml:space="preserve"> </w:t>
      </w:r>
      <w:r>
        <w:rPr>
          <w:i/>
          <w:iCs/>
        </w:rPr>
        <w:t xml:space="preserve">within-</w:t>
      </w:r>
      <w:r>
        <w:t xml:space="preserve">±1 mencapai 100%.</w:t>
      </w:r>
      <w:r>
        <w:t xml:space="preserve"> </w:t>
      </w:r>
      <w:r>
        <w:t xml:space="preserve">Model ini tidak pernah memberikan kesalahan besar yang berisiko</w:t>
      </w:r>
      <w:r>
        <w:t xml:space="preserve"> </w:t>
      </w:r>
      <w:r>
        <w:t xml:space="preserve">menggagalkan penilaian. Untuk batch indikator yang didominasi</w:t>
      </w:r>
      <w:r>
        <w:t xml:space="preserve"> </w:t>
      </w:r>
      <w:r>
        <w:t xml:space="preserve">struktur komposit, deepseek-r1:32b dapat menjadi alternatif yang</w:t>
      </w:r>
      <w:r>
        <w:t xml:space="preserve"> </w:t>
      </w:r>
      <w:r>
        <w:t xml:space="preserve">menjanjikan dengan kewaspadaan terhadap</w:t>
      </w:r>
      <w:r>
        <w:t xml:space="preserve"> </w:t>
      </w:r>
      <w:r>
        <w:rPr>
          <w:i/>
          <w:iCs/>
        </w:rPr>
        <w:t xml:space="preserve">false refusal</w:t>
      </w:r>
      <w:r>
        <w:t xml:space="preserve">.</w:t>
      </w:r>
    </w:p>
    <w:p>
      <w:pPr>
        <w:pStyle w:val="BodyText"/>
      </w:pPr>
      <w:r>
        <w:t xml:space="preserve">Kontribusi penelitian ini bagi pengembangan ilmu pengetahuan adalah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pertama LLM</w:t>
      </w:r>
      <w:r>
        <w:t xml:space="preserve"> </w:t>
      </w:r>
      <w:r>
        <w:rPr>
          <w:i/>
          <w:iCs/>
        </w:rPr>
        <w:t xml:space="preserve">open-weight</w:t>
      </w:r>
      <w:r>
        <w:t xml:space="preserve"> </w:t>
      </w:r>
      <w:r>
        <w:t xml:space="preserve">pada konteks akreditasi</w:t>
      </w:r>
      <w:r>
        <w:t xml:space="preserve"> </w:t>
      </w:r>
      <w:r>
        <w:t xml:space="preserve">pendidikan tinggi Indonesia, identifikasi</w:t>
      </w:r>
      <w:r>
        <w:t xml:space="preserve"> </w:t>
      </w:r>
      <w:r>
        <w:rPr>
          <w:i/>
          <w:iCs/>
        </w:rPr>
        <w:t xml:space="preserve">trade-off</w:t>
      </w:r>
      <w:r>
        <w:t xml:space="preserve"> </w:t>
      </w:r>
      <w:r>
        <w:t xml:space="preserve">model untuk</w:t>
      </w:r>
      <w:r>
        <w:t xml:space="preserve"> </w:t>
      </w:r>
      <w:r>
        <w:t xml:space="preserve">penilaian rubrik bertingkat, serta rekomendasi praktis untuk</w:t>
      </w:r>
      <w:r>
        <w:t xml:space="preserve"> </w:t>
      </w:r>
      <w:r>
        <w:t xml:space="preserve">deployment AI di institusi pendidikan tinggi. Saran untuk penelitian</w:t>
      </w:r>
      <w:r>
        <w:t xml:space="preserve"> </w:t>
      </w:r>
      <w:r>
        <w:t xml:space="preserve">selanjutnya meliputi: (1) ekstensi ke seluruh 60 indikator, terutama</w:t>
      </w:r>
      <w:r>
        <w:t xml:space="preserve"> </w:t>
      </w:r>
      <w:r>
        <w:t xml:space="preserve">indikator kuantitatif murni; (2) validasi oleh ahli akreditasi</w:t>
      </w:r>
      <w:r>
        <w:t xml:space="preserve"> </w:t>
      </w:r>
      <w:r>
        <w:t xml:space="preserve">manusia tersertifikasi; (3) pengujian pada beberapa program studi</w:t>
      </w:r>
      <w:r>
        <w:t xml:space="preserve"> </w:t>
      </w:r>
      <w:r>
        <w:t xml:space="preserve">untuk memvalidasi generalisasi; serta (4) eksplorasi paradigma agen</w:t>
      </w:r>
      <w:r>
        <w:t xml:space="preserve"> </w:t>
      </w:r>
      <w:r>
        <w:t xml:space="preserve">hybrid yang dapat menggabungkan keunggulan komposit deepseek-r1 dan</w:t>
      </w:r>
      <w:r>
        <w:t xml:space="preserve"> </w:t>
      </w:r>
      <w:r>
        <w:t xml:space="preserve">reliabilitas qwen3.5.</w:t>
      </w:r>
    </w:p>
    <w:p>
      <w:r>
        <w:pict>
          <v:rect style="width:0;height:1.5pt" o:hralign="center" o:hrstd="t" o:hr="t"/>
        </w:pict>
      </w:r>
    </w:p>
    <w:bookmarkEnd w:id="31"/>
    <w:bookmarkStart w:id="32" w:name="daftar-pustaka"/>
    <w:p>
      <w:pPr>
        <w:pStyle w:val="Heading2"/>
      </w:pPr>
      <w:r>
        <w:t xml:space="preserve">DAFTAR PUSTAKA</w:t>
      </w:r>
    </w:p>
    <w:p>
      <w:pPr>
        <w:pStyle w:val="FirstParagraph"/>
      </w:pPr>
      <w:r>
        <w:t xml:space="preserve">Dutt, A., &amp; Ismail, M. A. (2019). Can We Predict Student Learning</w:t>
      </w:r>
      <w:r>
        <w:t xml:space="preserve"> </w:t>
      </w:r>
      <w:r>
        <w:t xml:space="preserve">Performance from LMS Data? A Classification Approach.</w:t>
      </w:r>
      <w:r>
        <w:t xml:space="preserve"> </w:t>
      </w:r>
      <w:r>
        <w:rPr>
          <w:i/>
          <w:iCs/>
        </w:rPr>
        <w:t xml:space="preserve">3rd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Conference on Current Issues in Education (ICCIE</w:t>
      </w:r>
      <w:r>
        <w:rPr>
          <w:i/>
          <w:iCs/>
        </w:rPr>
        <w:t xml:space="preserve"> </w:t>
      </w:r>
      <w:r>
        <w:rPr>
          <w:i/>
          <w:iCs/>
        </w:rPr>
        <w:t xml:space="preserve">2018), 326</w:t>
      </w:r>
      <w:r>
        <w:t xml:space="preserve">(ICCIE 2018), 24–29.</w:t>
      </w:r>
      <w:r>
        <w:t xml:space="preserve"> </w:t>
      </w:r>
      <w:r>
        <w:t xml:space="preserve">https://doi.org/10.2991/iccie-18.2019.5</w:t>
      </w:r>
    </w:p>
    <w:p>
      <w:pPr>
        <w:pStyle w:val="BodyText"/>
      </w:pPr>
      <w:r>
        <w:t xml:space="preserve">Es, S., James, J., Espinosa-Anke, L., &amp; Schockaert, S. (2024). RAGAS:</w:t>
      </w:r>
      <w:r>
        <w:t xml:space="preserve"> </w:t>
      </w:r>
      <w:r>
        <w:t xml:space="preserve">Automated Evaluation of Retrieval Augmented Generation.</w:t>
      </w:r>
      <w:r>
        <w:t xml:space="preserve"> </w:t>
      </w:r>
      <w:r>
        <w:rPr>
          <w:i/>
          <w:iCs/>
        </w:rPr>
        <w:t xml:space="preserve">Proceedings of the 18th Conference of the European Chapter of the</w:t>
      </w:r>
      <w:r>
        <w:rPr>
          <w:i/>
          <w:iCs/>
        </w:rPr>
        <w:t xml:space="preserve"> </w:t>
      </w:r>
      <w:r>
        <w:rPr>
          <w:i/>
          <w:iCs/>
        </w:rPr>
        <w:t xml:space="preserve">Association for Computational Linguistics: System Demonstrations</w:t>
      </w:r>
      <w:r>
        <w:t xml:space="preserve">,</w:t>
      </w:r>
      <w:r>
        <w:t xml:space="preserve"> </w:t>
      </w:r>
      <w:r>
        <w:t xml:space="preserve">150–158.</w:t>
      </w:r>
    </w:p>
    <w:p>
      <w:pPr>
        <w:pStyle w:val="BodyText"/>
      </w:pPr>
      <w:r>
        <w:t xml:space="preserve">Gao, Y., Xiong, Y., Gao, X., Jia, K., Pan, J., Bi, Y., Dai, Y., Sun,</w:t>
      </w:r>
      <w:r>
        <w:t xml:space="preserve"> </w:t>
      </w:r>
      <w:r>
        <w:t xml:space="preserve">J., &amp; Wang, H. (2024). Retrieval-Augmented Generation for Large</w:t>
      </w:r>
      <w:r>
        <w:t xml:space="preserve"> </w:t>
      </w:r>
      <w:r>
        <w:t xml:space="preserve">Language Models: A Survey.</w:t>
      </w:r>
      <w:r>
        <w:t xml:space="preserve"> </w:t>
      </w:r>
      <w:r>
        <w:rPr>
          <w:i/>
          <w:iCs/>
        </w:rPr>
        <w:t xml:space="preserve">arXiv preprint arXiv:2312.10997</w:t>
      </w:r>
      <w:r>
        <w:t xml:space="preserve">.</w:t>
      </w:r>
    </w:p>
    <w:p>
      <w:pPr>
        <w:pStyle w:val="BodyText"/>
      </w:pPr>
      <w:r>
        <w:t xml:space="preserve">Lewis, P., Perez, E., Piktus, A., Petroni, F., Karpukhin, V.,</w:t>
      </w:r>
      <w:r>
        <w:t xml:space="preserve"> </w:t>
      </w:r>
      <w:r>
        <w:t xml:space="preserve">Goyal, N., Küttler, H., Lewis, M., Yih, W., Rocktäschel, T., Riedel,</w:t>
      </w:r>
      <w:r>
        <w:t xml:space="preserve"> </w:t>
      </w:r>
      <w:r>
        <w:t xml:space="preserve">S., &amp; Kiela, D. (2020). Retrieval-Augmented Generation for</w:t>
      </w:r>
      <w:r>
        <w:t xml:space="preserve"> </w:t>
      </w:r>
      <w:r>
        <w:t xml:space="preserve">Knowledge-Intensive NLP Tasks.</w:t>
      </w:r>
      <w:r>
        <w:t xml:space="preserve"> </w:t>
      </w:r>
      <w:r>
        <w:rPr>
          <w:i/>
          <w:iCs/>
        </w:rPr>
        <w:t xml:space="preserve">Advances in Neural Information</w:t>
      </w:r>
      <w:r>
        <w:rPr>
          <w:i/>
          <w:iCs/>
        </w:rPr>
        <w:t xml:space="preserve"> </w:t>
      </w:r>
      <w:r>
        <w:rPr>
          <w:i/>
          <w:iCs/>
        </w:rPr>
        <w:t xml:space="preserve">Processing Systems, 33</w:t>
      </w:r>
      <w:r>
        <w:t xml:space="preserve">, 9459–9474.</w:t>
      </w:r>
    </w:p>
    <w:p>
      <w:pPr>
        <w:pStyle w:val="BodyText"/>
      </w:pPr>
      <w:r>
        <w:t xml:space="preserve">Mokshein, S. E. (2019). Education for Sustainable Development (ESD)</w:t>
      </w:r>
      <w:r>
        <w:t xml:space="preserve"> </w:t>
      </w:r>
      <w:r>
        <w:t xml:space="preserve">in Malaysia: Policy, Program and Evaluation.</w:t>
      </w:r>
      <w:r>
        <w:t xml:space="preserve"> </w:t>
      </w:r>
      <w:r>
        <w:rPr>
          <w:i/>
          <w:iCs/>
        </w:rPr>
        <w:t xml:space="preserve">3rd 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Conference on Current Issues in Education (ICCIE 2018), 326</w:t>
      </w:r>
      <w:r>
        <w:t xml:space="preserve">(ICCIE</w:t>
      </w:r>
      <w:r>
        <w:t xml:space="preserve"> </w:t>
      </w:r>
      <w:r>
        <w:t xml:space="preserve">2018), 6–12. https://doi.org/10.2991/iccie-18.2019.2</w:t>
      </w:r>
    </w:p>
    <w:p>
      <w:pPr>
        <w:pStyle w:val="BodyText"/>
      </w:pPr>
      <w:r>
        <w:t xml:space="preserve">Reimers, N., &amp; Gurevych, I. (2020). Making Monolingual Sentence</w:t>
      </w:r>
      <w:r>
        <w:t xml:space="preserve"> </w:t>
      </w:r>
      <w:r>
        <w:t xml:space="preserve">Embeddings Multilingual using Knowledge Distillation.</w:t>
      </w:r>
      <w:r>
        <w:t xml:space="preserve"> </w:t>
      </w:r>
      <w:r>
        <w:rPr>
          <w:i/>
          <w:iCs/>
        </w:rPr>
        <w:t xml:space="preserve">Proceedings</w:t>
      </w:r>
      <w:r>
        <w:rPr>
          <w:i/>
          <w:iCs/>
        </w:rPr>
        <w:t xml:space="preserve"> </w:t>
      </w:r>
      <w:r>
        <w:rPr>
          <w:i/>
          <w:iCs/>
        </w:rPr>
        <w:t xml:space="preserve">of the 2020 Conference on Empirical Methods in Natural Language</w:t>
      </w:r>
      <w:r>
        <w:rPr>
          <w:i/>
          <w:iCs/>
        </w:rPr>
        <w:t xml:space="preserve"> </w:t>
      </w:r>
      <w:r>
        <w:rPr>
          <w:i/>
          <w:iCs/>
        </w:rPr>
        <w:t xml:space="preserve">Processing (EMNLP)</w:t>
      </w:r>
      <w:r>
        <w:t xml:space="preserve">, 4512–4525.</w:t>
      </w:r>
      <w:r>
        <w:t xml:space="preserve"> </w:t>
      </w:r>
      <w:r>
        <w:t xml:space="preserve">https://doi.org/10.18653/v1/2020.emnlp-main.365</w:t>
      </w:r>
    </w:p>
    <w:p>
      <w:pPr>
        <w:pStyle w:val="BodyText"/>
      </w:pPr>
      <w:r>
        <w:t xml:space="preserve">Schick, T., Dwivedi-Yu, J., Dessì, R., Raileanu, R., Lomeli, M.,</w:t>
      </w:r>
      <w:r>
        <w:t xml:space="preserve"> </w:t>
      </w:r>
      <w:r>
        <w:t xml:space="preserve">Zettlemoyer, L., Cancedda, N., &amp; Scialom, T. (2023). Toolformer:</w:t>
      </w:r>
      <w:r>
        <w:t xml:space="preserve"> </w:t>
      </w:r>
      <w:r>
        <w:t xml:space="preserve">Language Models Can Teach Themselves to Use Tools.</w:t>
      </w:r>
      <w:r>
        <w:t xml:space="preserve"> </w:t>
      </w:r>
      <w:r>
        <w:rPr>
          <w:i/>
          <w:iCs/>
        </w:rPr>
        <w:t xml:space="preserve">Advances in</w:t>
      </w:r>
      <w:r>
        <w:rPr>
          <w:i/>
          <w:iCs/>
        </w:rPr>
        <w:t xml:space="preserve"> </w:t>
      </w:r>
      <w:r>
        <w:rPr>
          <w:i/>
          <w:iCs/>
        </w:rPr>
        <w:t xml:space="preserve">Neural Information Processing Systems, 36</w:t>
      </w:r>
      <w:r>
        <w:t xml:space="preserve">.</w:t>
      </w:r>
    </w:p>
    <w:p>
      <w:pPr>
        <w:pStyle w:val="BodyText"/>
      </w:pPr>
      <w:r>
        <w:t xml:space="preserve">Supriyanta, E. Y., Mustadi, A., Wangid, M. N., &amp; Suhardi. (2019).</w:t>
      </w:r>
      <w:r>
        <w:t xml:space="preserve"> </w:t>
      </w:r>
      <w:r>
        <w:t xml:space="preserve">Sociocultural-Based Reflective Picture Storybook: Urgency in Social</w:t>
      </w:r>
      <w:r>
        <w:t xml:space="preserve"> </w:t>
      </w:r>
      <w:r>
        <w:t xml:space="preserve">Skill Development.</w:t>
      </w:r>
      <w:r>
        <w:t xml:space="preserve"> </w:t>
      </w:r>
      <w:r>
        <w:rPr>
          <w:i/>
          <w:iCs/>
        </w:rPr>
        <w:t xml:space="preserve">3rd International Conference on Current Issues</w:t>
      </w:r>
      <w:r>
        <w:rPr>
          <w:i/>
          <w:iCs/>
        </w:rPr>
        <w:t xml:space="preserve"> </w:t>
      </w:r>
      <w:r>
        <w:rPr>
          <w:i/>
          <w:iCs/>
        </w:rPr>
        <w:t xml:space="preserve">in Education (ICCIE 2018), 326</w:t>
      </w:r>
      <w:r>
        <w:t xml:space="preserve">(ICCIE 2018), 162–166.</w:t>
      </w:r>
      <w:r>
        <w:t xml:space="preserve"> </w:t>
      </w:r>
      <w:r>
        <w:t xml:space="preserve">https://doi.org/10.2991/iccie-18.2019.29</w:t>
      </w:r>
    </w:p>
    <w:p>
      <w:pPr>
        <w:pStyle w:val="BodyText"/>
      </w:pPr>
      <w:r>
        <w:t xml:space="preserve">Wilie, B., Vincentio, K., Winata, G. I., Cahyawijaya, S., Li, X.,</w:t>
      </w:r>
      <w:r>
        <w:t xml:space="preserve"> </w:t>
      </w:r>
      <w:r>
        <w:t xml:space="preserve">Lim, Z. Y., Soleman, S., Mahendra, R., Fung, P., Bahar, S., &amp;</w:t>
      </w:r>
      <w:r>
        <w:t xml:space="preserve"> </w:t>
      </w:r>
      <w:r>
        <w:t xml:space="preserve">Purwarianti, A. (2020). IndoNLU: Benchmark and Resources for</w:t>
      </w:r>
      <w:r>
        <w:t xml:space="preserve"> </w:t>
      </w:r>
      <w:r>
        <w:t xml:space="preserve">Evaluating Indonesian Natural Language Understanding.</w:t>
      </w:r>
      <w:r>
        <w:t xml:space="preserve"> </w:t>
      </w:r>
      <w:r>
        <w:rPr>
          <w:i/>
          <w:iCs/>
        </w:rPr>
        <w:t xml:space="preserve">Proceedings</w:t>
      </w:r>
      <w:r>
        <w:rPr>
          <w:i/>
          <w:iCs/>
        </w:rPr>
        <w:t xml:space="preserve"> </w:t>
      </w:r>
      <w:r>
        <w:rPr>
          <w:i/>
          <w:iCs/>
        </w:rPr>
        <w:t xml:space="preserve">of the 1st Conference of the Asia-Pacific Chapter of the Association</w:t>
      </w:r>
      <w:r>
        <w:rPr>
          <w:i/>
          <w:iCs/>
        </w:rPr>
        <w:t xml:space="preserve"> </w:t>
      </w:r>
      <w:r>
        <w:rPr>
          <w:i/>
          <w:iCs/>
        </w:rPr>
        <w:t xml:space="preserve">for Computational Linguistics and the 10th International Joint</w:t>
      </w:r>
      <w:r>
        <w:rPr>
          <w:i/>
          <w:iCs/>
        </w:rPr>
        <w:t xml:space="preserve"> </w:t>
      </w:r>
      <w:r>
        <w:rPr>
          <w:i/>
          <w:iCs/>
        </w:rPr>
        <w:t xml:space="preserve">Conference on Natural Language Processing</w:t>
      </w:r>
      <w:r>
        <w:t xml:space="preserve">, 843–857.</w:t>
      </w:r>
    </w:p>
    <w:p>
      <w:pPr>
        <w:pStyle w:val="BodyText"/>
      </w:pPr>
      <w:r>
        <w:t xml:space="preserve">Yao, S., Zhao, J., Yu, D., Du, N., Shafran, I., Narasimhan, K., &amp;</w:t>
      </w:r>
      <w:r>
        <w:t xml:space="preserve"> </w:t>
      </w:r>
      <w:r>
        <w:t xml:space="preserve">Cao, Y. (2023). ReAct: Synergizing Reasoning and Acting in Language</w:t>
      </w:r>
      <w:r>
        <w:t xml:space="preserve"> </w:t>
      </w:r>
      <w:r>
        <w:t xml:space="preserve">Models.</w:t>
      </w:r>
      <w:r>
        <w:t xml:space="preserve"> </w:t>
      </w:r>
      <w:r>
        <w:rPr>
          <w:i/>
          <w:iCs/>
        </w:rPr>
        <w:t xml:space="preserve">International Conference on Learning Representations</w:t>
      </w:r>
      <w:r>
        <w:rPr>
          <w:i/>
          <w:iCs/>
        </w:rPr>
        <w:t xml:space="preserve"> </w:t>
      </w:r>
      <w:r>
        <w:rPr>
          <w:i/>
          <w:iCs/>
        </w:rPr>
        <w:t xml:space="preserve">(ICLR 2023)</w:t>
      </w:r>
      <w:r>
        <w:t xml:space="preserve">.</w:t>
      </w:r>
    </w:p>
    <w:p>
      <w:pPr>
        <w:pStyle w:val="BodyText"/>
      </w:pPr>
      <w:r>
        <w:t xml:space="preserve">Yu, P., Wang, B., &amp; Liu, T. (2024). Evaluating Tool-Use Capabilities</w:t>
      </w:r>
      <w:r>
        <w:t xml:space="preserve"> </w:t>
      </w:r>
      <w:r>
        <w:t xml:space="preserve">of Large Language Models in Multi-Step Reasoning Tasks.</w:t>
      </w:r>
      <w:r>
        <w:t xml:space="preserve"> </w:t>
      </w:r>
      <w:r>
        <w:rPr>
          <w:i/>
          <w:iCs/>
        </w:rPr>
        <w:t xml:space="preserve">arXiv</w:t>
      </w:r>
      <w:r>
        <w:rPr>
          <w:i/>
          <w:iCs/>
        </w:rPr>
        <w:t xml:space="preserve"> </w:t>
      </w:r>
      <w:r>
        <w:rPr>
          <w:i/>
          <w:iCs/>
        </w:rPr>
        <w:t xml:space="preserve">preprint arXiv:2407.18901</w:t>
      </w:r>
      <w:r>
        <w:t xml:space="preserve">.</w:t>
      </w:r>
    </w:p>
    <w:p>
      <w:pPr>
        <w:pStyle w:val="BodyText"/>
      </w:pPr>
      <w:r>
        <w:t xml:space="preserve">Zheng, L., Chiang, W.-L., Sheng, Y., Zhuang, S., Wu, Z., Zhuang, Y.,</w:t>
      </w:r>
      <w:r>
        <w:t xml:space="preserve"> </w:t>
      </w:r>
      <w:r>
        <w:t xml:space="preserve">Lin, Z., Li, Z., Li, D., Xing, E. P., Zhang, H., Gonzalez, J. E., &amp;</w:t>
      </w:r>
      <w:r>
        <w:t xml:space="preserve"> </w:t>
      </w:r>
      <w:r>
        <w:t xml:space="preserve">Stoica, I. (2023). Judging LLM-as-a-Judge with MT-Bench and Chatbot</w:t>
      </w:r>
      <w:r>
        <w:t xml:space="preserve"> </w:t>
      </w:r>
      <w:r>
        <w:t xml:space="preserve">Arena.</w:t>
      </w:r>
      <w:r>
        <w:t xml:space="preserve"> </w:t>
      </w:r>
      <w:r>
        <w:rPr>
          <w:i/>
          <w:iCs/>
        </w:rPr>
        <w:t xml:space="preserve">Advances in Neural Information Processing Systems, 36</w:t>
      </w:r>
      <w:r>
        <w:t xml:space="preserve">,</w:t>
      </w:r>
      <w:r>
        <w:t xml:space="preserve"> </w:t>
      </w:r>
      <w:r>
        <w:t xml:space="preserve">46595–46623.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2026-05-09T15:01:39Z</dcterms:created>
  <dcterms:modified xsi:type="dcterms:W3CDTF">2026-05-09T15:01:39Z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