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1F4E79"/>
          <w:sz w:val="44"/>
        </w:rPr>
        <w:t>RUSH — Benchmark Experiment Plan</w:t>
      </w:r>
    </w:p>
    <w:p>
      <w:r>
        <w:rPr>
          <w:i/>
          <w:sz w:val="22"/>
        </w:rPr>
        <w:t>Grid searches over the crank's design choices, measured against the fixed cross-run benchmark — plus the lessons already learned that motivate them.</w:t>
      </w:r>
    </w:p>
    <w:p>
      <w:r>
        <w:rPr>
          <w:color w:val="666666"/>
          <w:sz w:val="18"/>
        </w:rPr>
        <w:t>Attila Dobi · 2026-07-10 · repo: attdobi/RUSH · companion to docs/RUSH-TECHNICAL-REPORT.docx</w:t>
      </w:r>
    </w:p>
    <w:p>
      <w:pPr>
        <w:pStyle w:val="Heading1"/>
      </w:pPr>
      <w:r>
        <w:t>1. The measurement contract</w:t>
      </w:r>
    </w:p>
    <w:p>
      <w:r>
        <w:rPr>
          <w:b w:val="0"/>
          <w:i w:val="0"/>
        </w:rPr>
        <w:t>Every experiment is one numbered, seeded crank run. All comparisons are made on the fixed cross-run validation benchmark (the same images every run, never used for training or gating): system macro-F1 under the start policy vs the final accepted policy, reported as start → final with a Δpp chip. The locked holdout is the second, rarer readout. The per-run gate partition is never the headline number — the gate adapts to it (winner's curse), so gate-set trajectories are optimistic by construction.</w:t>
      </w:r>
    </w:p>
    <w:p>
      <w:pPr>
        <w:pStyle w:val="ListBullet"/>
      </w:pPr>
      <w:r>
        <w:rPr>
          <w:b/>
        </w:rPr>
        <w:t xml:space="preserve">Primary metric: </w:t>
      </w:r>
      <w:r>
        <w:t>benchmark system macro-F1 Δpp (start → final), n=100–200 fixed images.</w:t>
      </w:r>
    </w:p>
    <w:p>
      <w:pPr>
        <w:pStyle w:val="ListBullet"/>
      </w:pPr>
      <w:r>
        <w:rPr>
          <w:b/>
        </w:rPr>
        <w:t xml:space="preserve">Secondary: </w:t>
      </w:r>
      <w:r>
        <w:t>per-judge Δ on the benchmark, accepted-edit count, policy bundle size (chars ≈ parameter count), $ cost, SME re-adjudication queue size.</w:t>
      </w:r>
    </w:p>
    <w:p>
      <w:pPr>
        <w:pStyle w:val="ListBullet"/>
      </w:pPr>
      <w:r>
        <w:rPr>
          <w:b/>
        </w:rPr>
        <w:t xml:space="preserve">Replication: </w:t>
      </w:r>
      <w:r>
        <w:t>3 seeds per cell where the axis is noisy (panel temperature alone moves the v0.1 benchmark start between 47.7% and 54.6% in the pilots below); the label cache serves repeated v0.1 legs so replication is cheap after warm-up.</w:t>
      </w:r>
    </w:p>
    <w:p>
      <w:pPr>
        <w:pStyle w:val="ListBullet"/>
      </w:pPr>
      <w:r>
        <w:rPr>
          <w:b/>
        </w:rPr>
        <w:t xml:space="preserve">Cost anchor: </w:t>
      </w:r>
      <w:r>
        <w:t>one GenAI run at the baseline config ≈ $5 (5 judges, K=5, N=20, T=50, benchmark readout).</w:t>
      </w:r>
    </w:p>
    <w:p>
      <w:pPr>
        <w:pStyle w:val="Heading1"/>
      </w:pPr>
      <w:r>
        <w:t>2. Baseline design choices (the reference cell)</w:t>
      </w:r>
    </w:p>
    <w:p>
      <w:r>
        <w:rPr>
          <w:b w:val="0"/>
          <w:i w:val="0"/>
        </w:rPr>
        <w:t>Every grid varies ONE axis against this configuration. Defaults are the shipped run-form defaults; each row names the design choice being defended.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fill="D5E8F0"/>
          </w:tcPr>
          <w:p>
            <w:r/>
            <w:r>
              <w:rPr>
                <w:b/>
                <w:sz w:val="18"/>
              </w:rPr>
              <w:t>Knob</w:t>
            </w:r>
          </w:p>
        </w:tc>
        <w:tc>
          <w:tcPr>
            <w:tcW w:type="dxa" w:w="3456"/>
            <w:shd w:val="clear" w:fill="D5E8F0"/>
          </w:tcPr>
          <w:p>
            <w:r/>
            <w:r>
              <w:rPr>
                <w:b/>
                <w:sz w:val="18"/>
              </w:rPr>
              <w:t>Baseline</w:t>
            </w:r>
          </w:p>
        </w:tc>
        <w:tc>
          <w:tcPr>
            <w:tcW w:type="dxa" w:w="4464"/>
            <w:shd w:val="clear" w:fill="D5E8F0"/>
          </w:tcPr>
          <w:p>
            <w:r/>
            <w:r>
              <w:rPr>
                <w:b/>
                <w:sz w:val="18"/>
              </w:rPr>
              <w:t>Design rationale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Judge panel (mLLM system)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5 judges: gpt-5.4-mini-low, gemini-3.1-flash-lite, claude-haiku-4-5-low, qwen2.5-vl-7b (compressed), gemma-4-26b (compressed)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Cheap heterogeneous panel labels AND scores everything; no frontier model ever judges quality.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Gate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Metric rule (strict system macro-F1 improvement, ε=0)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Deterministic trust region; agents may veto, never force.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Gate persona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lenient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A flat metric on a small partition is sampling noise.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Drafter (optimizer)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gpt-5.5 · text-only input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Justifications carry the visual evidence; images are the opt-in.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Anchors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random misalignments (S1) · 10 misaligned / 5 aligned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The null hypothesis every ranked strategy must beat.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Loop size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K=5 cycles · N=20 train batch · T=50 test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Small enough to iterate daily; large enough to accept edits.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Test regime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Fixed seeded partition (test-mode fixed)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Stable gate yardstick; argues for a relatively large 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Compliance deweight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ON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Non-compliant (constant-output) judges leave the system vote + optimizer signal.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Prompt compression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ON for qwen-7B &amp; gemma-26b only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Per-judge render; digest is the production artifact for light judges.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Label cache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ON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Byte-identical v0 legs served from Postgres; 3-round majority, flip rate recorded.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Edit clip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max 3 node files per cycle (hard cap 5)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Human-reviewable steps; PPO-style trust region.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Benchmark readout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ON (fixed validation split)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The honest cross-run yardstick.</w:t>
            </w:r>
          </w:p>
        </w:tc>
      </w:tr>
    </w:tbl>
    <w:p/>
    <w:p>
      <w:pPr>
        <w:pStyle w:val="Heading1"/>
      </w:pPr>
      <w:r>
        <w:t>3. Pilot results already measured (GenAI, 2026-07-09/10)</w:t>
      </w:r>
    </w:p>
    <w:p>
      <w:r>
        <w:rPr>
          <w:b w:val="0"/>
          <w:i w:val="0"/>
        </w:rPr>
        <w:t>Five live runs, all seed 13, 5 judges, gpt-5.5 drafter (text-only), S1 random 10/5, K=5 · N=20 · T=50 — a first pass over the GATE axis. Benchmark = fixed validation split, n=100.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648"/>
            <w:shd w:val="clear" w:fill="D5E8F0"/>
          </w:tcPr>
          <w:p>
            <w:r/>
            <w:r>
              <w:rPr>
                <w:b/>
                <w:sz w:val="18"/>
              </w:rPr>
              <w:t>Run</w:t>
            </w:r>
          </w:p>
        </w:tc>
        <w:tc>
          <w:tcPr>
            <w:tcW w:type="dxa" w:w="2736"/>
            <w:shd w:val="clear" w:fill="D5E8F0"/>
          </w:tcPr>
          <w:p>
            <w:r/>
            <w:r>
              <w:rPr>
                <w:b/>
                <w:sz w:val="18"/>
              </w:rPr>
              <w:t>Gate</w:t>
            </w:r>
          </w:p>
        </w:tc>
        <w:tc>
          <w:tcPr>
            <w:tcW w:type="dxa" w:w="1080"/>
            <w:shd w:val="clear" w:fill="D5E8F0"/>
          </w:tcPr>
          <w:p>
            <w:r/>
            <w:r>
              <w:rPr>
                <w:b/>
                <w:sz w:val="18"/>
              </w:rPr>
              <w:t>Accepted</w:t>
            </w:r>
          </w:p>
        </w:tc>
        <w:tc>
          <w:tcPr>
            <w:tcW w:type="dxa" w:w="1512"/>
            <w:shd w:val="clear" w:fill="D5E8F0"/>
          </w:tcPr>
          <w:p>
            <w:r/>
            <w:r>
              <w:rPr>
                <w:b/>
                <w:sz w:val="18"/>
              </w:rPr>
              <w:t>Policy</w:t>
            </w:r>
          </w:p>
        </w:tc>
        <w:tc>
          <w:tcPr>
            <w:tcW w:type="dxa" w:w="2304"/>
            <w:shd w:val="clear" w:fill="D5E8F0"/>
          </w:tcPr>
          <w:p>
            <w:r/>
            <w:r>
              <w:rPr>
                <w:b/>
                <w:sz w:val="18"/>
              </w:rPr>
              <w:t>Benchmark F1 (start → final)</w:t>
            </w:r>
          </w:p>
        </w:tc>
        <w:tc>
          <w:tcPr>
            <w:tcW w:type="dxa" w:w="792"/>
            <w:shd w:val="clear" w:fill="D5E8F0"/>
          </w:tcPr>
          <w:p>
            <w:r/>
            <w:r>
              <w:rPr>
                <w:b/>
                <w:sz w:val="18"/>
              </w:rPr>
              <w:t>Δpp</w:t>
            </w:r>
          </w:p>
        </w:tc>
        <w:tc>
          <w:tcPr>
            <w:tcW w:type="dxa" w:w="1008"/>
            <w:shd w:val="clear" w:fill="D5E8F0"/>
          </w:tcPr>
          <w:p>
            <w:r/>
            <w:r>
              <w:rPr>
                <w:b/>
                <w:sz w:val="18"/>
              </w:rPr>
              <w:t>Cost</w:t>
            </w:r>
          </w:p>
        </w:tc>
      </w:tr>
      <w:tr>
        <w:tc>
          <w:tcPr>
            <w:tcW w:type="dxa" w:w="648"/>
          </w:tcPr>
          <w:p>
            <w:r/>
            <w:r>
              <w:rPr>
                <w:sz w:val="18"/>
              </w:rPr>
              <w:t>#1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OFF (accept every edit)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5 / 5</w:t>
            </w:r>
          </w:p>
        </w:tc>
        <w:tc>
          <w:tcPr>
            <w:tcW w:type="dxa" w:w="1512"/>
          </w:tcPr>
          <w:p>
            <w:r/>
            <w:r>
              <w:rPr>
                <w:sz w:val="18"/>
              </w:rPr>
              <w:t>v0.1 → v1.5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47.7% → 56.2%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+8.4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$5.59</w:t>
            </w:r>
          </w:p>
        </w:tc>
      </w:tr>
      <w:tr>
        <w:tc>
          <w:tcPr>
            <w:tcW w:type="dxa" w:w="648"/>
          </w:tcPr>
          <w:p>
            <w:r/>
            <w:r>
              <w:rPr>
                <w:sz w:val="18"/>
              </w:rPr>
              <w:t>#2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metric rule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2 / 5</w:t>
            </w:r>
          </w:p>
        </w:tc>
        <w:tc>
          <w:tcPr>
            <w:tcW w:type="dxa" w:w="1512"/>
          </w:tcPr>
          <w:p>
            <w:r/>
            <w:r>
              <w:rPr>
                <w:sz w:val="18"/>
              </w:rPr>
              <w:t>v0.1 → v2.2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50.0% → 61.6%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+11.6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$4.99</w:t>
            </w:r>
          </w:p>
        </w:tc>
      </w:tr>
      <w:tr>
        <w:tc>
          <w:tcPr>
            <w:tcW w:type="dxa" w:w="648"/>
          </w:tcPr>
          <w:p>
            <w:r/>
            <w:r>
              <w:rPr>
                <w:sz w:val="18"/>
              </w:rPr>
              <w:t>#3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gpt-5.5 critic only · lenient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3 / 5</w:t>
            </w:r>
          </w:p>
        </w:tc>
        <w:tc>
          <w:tcPr>
            <w:tcW w:type="dxa" w:w="1512"/>
          </w:tcPr>
          <w:p>
            <w:r/>
            <w:r>
              <w:rPr>
                <w:sz w:val="18"/>
              </w:rPr>
              <w:t>v0.1 → v3.3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49.0% → 58.6%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+9.6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$5.01</w:t>
            </w:r>
          </w:p>
        </w:tc>
      </w:tr>
      <w:tr>
        <w:tc>
          <w:tcPr>
            <w:tcW w:type="dxa" w:w="648"/>
          </w:tcPr>
          <w:p>
            <w:r/>
            <w:r>
              <w:rPr>
                <w:sz w:val="18"/>
              </w:rPr>
              <w:t>#4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gpt-5.5-low critic only · moderate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1 / 5</w:t>
            </w:r>
          </w:p>
        </w:tc>
        <w:tc>
          <w:tcPr>
            <w:tcW w:type="dxa" w:w="1512"/>
          </w:tcPr>
          <w:p>
            <w:r/>
            <w:r>
              <w:rPr>
                <w:sz w:val="18"/>
              </w:rPr>
              <w:t>v0.1 → v4.1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54.6% → 56.2%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+1.6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$5.35</w:t>
            </w:r>
          </w:p>
        </w:tc>
      </w:tr>
      <w:tr>
        <w:tc>
          <w:tcPr>
            <w:tcW w:type="dxa" w:w="648"/>
          </w:tcPr>
          <w:p>
            <w:r/>
            <w:r>
              <w:rPr>
                <w:sz w:val="18"/>
              </w:rPr>
              <w:t>#5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gpt-5.5-low + agent veto · lenient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2 / 5</w:t>
            </w:r>
          </w:p>
        </w:tc>
        <w:tc>
          <w:tcPr>
            <w:tcW w:type="dxa" w:w="1512"/>
          </w:tcPr>
          <w:p>
            <w:r/>
            <w:r>
              <w:rPr>
                <w:sz w:val="18"/>
              </w:rPr>
              <w:t>v0.1 → v5.3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51.2% → 59.6%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+8.4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$5.20</w:t>
            </w:r>
          </w:p>
        </w:tc>
      </w:tr>
    </w:tbl>
    <w:p/>
    <w:p>
      <w:pPr>
        <w:pStyle w:val="ListBullet"/>
      </w:pPr>
      <w:r>
        <w:rPr>
          <w:b/>
        </w:rPr>
        <w:t xml:space="preserve">Early reads (1 seed — treat as direction, not effect size): </w:t>
      </w:r>
      <w:r>
        <w:t>the metric rule leads (+11.6); the moderate persona nearly stalls the crank (1 accept, +1.6); even gate-OFF gains on GenAI (+8.4) because v0.1 has real headroom — unlike near-saturated MNIST, where gate-OFF drifted 0.98 → 0.96.</w:t>
      </w:r>
    </w:p>
    <w:p>
      <w:pPr>
        <w:pStyle w:val="ListBullet"/>
      </w:pPr>
      <w:r>
        <w:rPr>
          <w:b/>
        </w:rPr>
        <w:t xml:space="preserve">Start-point noise: </w:t>
      </w:r>
      <w:r>
        <w:t>the same v0.1 measures 47.7–54.6% across runs — panel sampling noise at temp 0.1. Motivates the label cache's majority-of-3 verdicts and replication per cell.</w:t>
      </w:r>
    </w:p>
    <w:p>
      <w:pPr>
        <w:pStyle w:val="ListBullet"/>
      </w:pPr>
      <w:r>
        <w:rPr>
          <w:b/>
        </w:rPr>
        <w:t xml:space="preserve">Runs #4–#5 carried qwen + gemma compressed </w:t>
      </w:r>
      <w:r>
        <w:t>and surfaced the compliance finding (Section 5, L1–L3): qwen stayed byte-flat while every reading judge gained +8.8 to +21.2 test macro-F1.</w:t>
      </w:r>
    </w:p>
    <w:p>
      <w:pPr>
        <w:pStyle w:val="Heading1"/>
      </w:pPr>
      <w:r>
        <w:t>4. The experiment grid</w:t>
      </w:r>
    </w:p>
    <w:p>
      <w:r>
        <w:rPr>
          <w:b w:val="0"/>
          <w:i w:val="0"/>
        </w:rPr>
        <w:t>One axis per subsection: hypothesis, arms, and readout. Everything not named is held at the baseline. Budgets assume ~$5/run and 3 seeds per arm unless noted.</w:t>
      </w:r>
    </w:p>
    <w:p>
      <w:pPr>
        <w:pStyle w:val="Heading2"/>
      </w:pPr>
      <w:r>
        <w:t>E1. mLLM system — panel composition and size</w:t>
      </w:r>
    </w:p>
    <w:p>
      <w:r>
        <w:rPr>
          <w:b w:val="0"/>
          <w:i/>
        </w:rPr>
        <w:t>Hypothesis: Panel size and heterogeneity change both label quality (majority vote) and the optimization signal (blame needs ≥2 distinct judges to indict a clause).</w:t>
      </w:r>
    </w:p>
    <w:p>
      <w:pPr>
        <w:pStyle w:val="ListBullet"/>
      </w:pPr>
      <w:r>
        <w:rPr>
          <w:b/>
        </w:rPr>
        <w:t xml:space="preserve">Arms: </w:t>
      </w:r>
      <w:r>
        <w:t>2 / 3 / 5 judges; homogeneous-cheap vs heterogeneous; with vs without a known non-compliant member (qwen-7B) under deweight ON.</w:t>
      </w:r>
    </w:p>
    <w:p>
      <w:pPr>
        <w:pStyle w:val="ListBullet"/>
      </w:pPr>
      <w:r>
        <w:rPr>
          <w:b/>
        </w:rPr>
        <w:t xml:space="preserve">Readout: </w:t>
      </w:r>
      <w:r>
        <w:t>benchmark Δpp; per-judge Δ spread (the decider-agnosticism band); blame-table density (cross-model rows per cycle).</w:t>
      </w:r>
    </w:p>
    <w:p>
      <w:pPr>
        <w:pStyle w:val="ListBullet"/>
      </w:pPr>
      <w:r>
        <w:rPr>
          <w:b/>
        </w:rPr>
        <w:t xml:space="preserve">Budget: </w:t>
      </w:r>
      <w:r>
        <w:t>~7 arms × 3 seeds ≈ 21 runs ≈ $105.</w:t>
      </w:r>
    </w:p>
    <w:p>
      <w:pPr>
        <w:pStyle w:val="Heading2"/>
      </w:pPr>
      <w:r>
        <w:t>E2. Gate type × persona × ε</w:t>
      </w:r>
    </w:p>
    <w:p>
      <w:r>
        <w:rPr>
          <w:b w:val="0"/>
          <w:i/>
        </w:rPr>
        <w:t>Hypothesis: The gate trades exploration (accept rate) against protection (no drift); the critic personas modulate that trade-off more cheaply than ε.</w:t>
      </w:r>
    </w:p>
    <w:p>
      <w:pPr>
        <w:pStyle w:val="ListBullet"/>
      </w:pPr>
      <w:r>
        <w:rPr>
          <w:b/>
        </w:rPr>
        <w:t xml:space="preserve">Arms: </w:t>
      </w:r>
      <w:r>
        <w:t>metric rule / +agent veto / critic-agent-only / OFF × persona lenient–moderate–strict × ε ∈ {0, 0.005, 0.01}; N-consecutive-wins as a later arm.</w:t>
      </w:r>
    </w:p>
    <w:p>
      <w:pPr>
        <w:pStyle w:val="ListBullet"/>
      </w:pPr>
      <w:r>
        <w:rPr>
          <w:b/>
        </w:rPr>
        <w:t xml:space="preserve">Readout: </w:t>
      </w:r>
      <w:r>
        <w:t>benchmark Δpp vs accept rate; gate-ledger SME audit agreement (was each verdict right?) — the RLHF dataset for the critic.</w:t>
      </w:r>
    </w:p>
    <w:p>
      <w:pPr>
        <w:pStyle w:val="ListBullet"/>
      </w:pPr>
      <w:r>
        <w:rPr>
          <w:b/>
        </w:rPr>
        <w:t xml:space="preserve">Budget: </w:t>
      </w:r>
      <w:r>
        <w:t>pilots cover 5 cells at 1 seed; complete to 3 seeds for the 5 headline cells (~10 more runs ≈ $50), then persona × ε on the winner (~$60).</w:t>
      </w:r>
    </w:p>
    <w:p>
      <w:pPr>
        <w:pStyle w:val="ListBullet"/>
      </w:pPr>
      <w:r>
        <w:rPr>
          <w:b/>
        </w:rPr>
        <w:t xml:space="preserve">Note: </w:t>
      </w:r>
      <w:r>
        <w:t>MNIST provides the saturation control: gate-OFF must drift there to keep the protection story honest.</w:t>
      </w:r>
    </w:p>
    <w:p>
      <w:pPr>
        <w:pStyle w:val="Heading2"/>
      </w:pPr>
      <w:r>
        <w:t>E3. Drafter (optimizer) — model, input, architecture</w:t>
      </w:r>
    </w:p>
    <w:p>
      <w:r>
        <w:rPr>
          <w:b w:val="0"/>
          <w:i/>
        </w:rPr>
        <w:t>Hypothesis: A cheaper drafter is a legitimate config if the policy carries the intelligence; anchor pixels only matter on visual boundary cases.</w:t>
      </w:r>
    </w:p>
    <w:p>
      <w:pPr>
        <w:pStyle w:val="ListBullet"/>
      </w:pPr>
      <w:r>
        <w:rPr>
          <w:b/>
        </w:rPr>
        <w:t xml:space="preserve">Arms: </w:t>
      </w:r>
      <w:r>
        <w:t>gpt-5.5 / gpt-5.4-mini-low / gemini-3.5-flash / gemini-3.1-flash-lite × input text-only vs images+text (gemini: text-only by transport); later: GEPA-style reflective mutation vs the drafter as alternative optimizers on identical seeds.</w:t>
      </w:r>
    </w:p>
    <w:p>
      <w:pPr>
        <w:pStyle w:val="ListBullet"/>
      </w:pPr>
      <w:r>
        <w:rPr>
          <w:b/>
        </w:rPr>
        <w:t xml:space="preserve">Readout: </w:t>
      </w:r>
      <w:r>
        <w:t>benchmark Δpp per optimizer $; edit quality (gate accept rate, anti-reword and prompt-budget violations); bundle-size trajectory.</w:t>
      </w:r>
    </w:p>
    <w:p>
      <w:pPr>
        <w:pStyle w:val="ListBullet"/>
      </w:pPr>
      <w:r>
        <w:rPr>
          <w:b/>
        </w:rPr>
        <w:t xml:space="preserve">Budget: </w:t>
      </w:r>
      <w:r>
        <w:t>~8 arms × 3 seeds ≈ 24 runs ≈ $110 (cheap drafters cost less).</w:t>
      </w:r>
    </w:p>
    <w:p>
      <w:pPr>
        <w:pStyle w:val="Heading2"/>
      </w:pPr>
      <w:r>
        <w:t>E4. Anchor sampling — the gradient-descent axis</w:t>
      </w:r>
    </w:p>
    <w:p>
      <w:r>
        <w:rPr>
          <w:b w:val="0"/>
          <w:i/>
        </w:rPr>
        <w:t>Hypothesis: Stack-ranked selection (gradient / importance / blame-amplified) converges faster or higher than random; if it does not, the formalism is not earning its complexity — itself a publishable result.</w:t>
      </w:r>
    </w:p>
    <w:p>
      <w:pPr>
        <w:pStyle w:val="ListBullet"/>
      </w:pPr>
      <w:r>
        <w:rPr>
          <w:b/>
        </w:rPr>
        <w:t xml:space="preserve">Arms: </w:t>
      </w:r>
      <w:r>
        <w:t>S1 random vs top-gradient (panel mean |g|) vs top-importance (4-tier × consensus, with the (1+s_blame) amplifier) × misaligned/aligned counts {10/5, 15/5, 15/0} × train batch N ∈ {10, 20, 40}; within-batch stack-ranked descent for large N later.</w:t>
      </w:r>
    </w:p>
    <w:p>
      <w:pPr>
        <w:pStyle w:val="ListBullet"/>
      </w:pPr>
      <w:r>
        <w:rPr>
          <w:b/>
        </w:rPr>
        <w:t xml:space="preserve">Readout: </w:t>
      </w:r>
      <w:r>
        <w:t>benchmark Δpp at fixed spend; cycles-to-first-accept (convergence speed); accepted-edit half-life (do ranked anchors produce longer-lived clauses?).</w:t>
      </w:r>
    </w:p>
    <w:p>
      <w:pPr>
        <w:pStyle w:val="ListBullet"/>
      </w:pPr>
      <w:r>
        <w:rPr>
          <w:b/>
        </w:rPr>
        <w:t xml:space="preserve">Budget: </w:t>
      </w:r>
      <w:r>
        <w:t>the central ablation — 3 strategies × 3 seeds at baseline first (9 runs ≈ $45), then the count/size grid on the winner (~$90).</w:t>
      </w:r>
    </w:p>
    <w:p>
      <w:pPr>
        <w:pStyle w:val="Heading2"/>
      </w:pPr>
      <w:r>
        <w:t>E5. SME re-adjudication stack ranking</w:t>
      </w:r>
    </w:p>
    <w:p>
      <w:r>
        <w:rPr>
          <w:b w:val="0"/>
          <w:i/>
        </w:rPr>
        <w:t>Hypothesis: Ranking the residual misalignment queue by importance (consensus-weighted, confidence-faded) yields more golden-label overturns per SME touch than recency or random ordering.</w:t>
      </w:r>
    </w:p>
    <w:p>
      <w:pPr>
        <w:pStyle w:val="ListBullet"/>
      </w:pPr>
      <w:r>
        <w:rPr>
          <w:b/>
        </w:rPr>
        <w:t xml:space="preserve">Arms: </w:t>
      </w:r>
      <w:r>
        <w:t>queue order: composite importance (default) vs gradient |g| vs loss vs times-flagged vs random; measured on the same post-run queues.</w:t>
      </w:r>
    </w:p>
    <w:p>
      <w:pPr>
        <w:pStyle w:val="ListBullet"/>
      </w:pPr>
      <w:r>
        <w:rPr>
          <w:b/>
        </w:rPr>
        <w:t xml:space="preserve">Readout: </w:t>
      </w:r>
      <w:r>
        <w:t>overturns + confirmations per 20 SME reviews (yield curve); effect of overturns on subsequent run baselines (the golden set is not so golden).</w:t>
      </w:r>
    </w:p>
    <w:p>
      <w:pPr>
        <w:pStyle w:val="ListBullet"/>
      </w:pPr>
      <w:r>
        <w:rPr>
          <w:b/>
        </w:rPr>
        <w:t xml:space="preserve">Budget: </w:t>
      </w:r>
      <w:r>
        <w:t>no run cost — replays existing queues; SME time is the budget (5 × 20 reviews).</w:t>
      </w:r>
    </w:p>
    <w:p>
      <w:pPr>
        <w:pStyle w:val="Heading2"/>
      </w:pPr>
      <w:r>
        <w:t>E6. Test-set regime — size, resample, K-folds</w:t>
      </w:r>
    </w:p>
    <w:p>
      <w:r>
        <w:rPr>
          <w:b w:val="0"/>
          <w:i/>
        </w:rPr>
        <w:t>Hypothesis: T controls gate noise (winner's curse shrinks with T); per-cycle resample with paired incumbent re-eval buys unbiasedness for ~+1 eval/cycle; K-fold parallel runs average out single-partition luck.</w:t>
      </w:r>
    </w:p>
    <w:p>
      <w:pPr>
        <w:pStyle w:val="ListBullet"/>
      </w:pPr>
      <w:r>
        <w:rPr>
          <w:b/>
        </w:rPr>
        <w:t xml:space="preserve">Arms: </w:t>
      </w:r>
      <w:r>
        <w:t>T ∈ {25, 50, 100, 200} fixed; test-mode fixed vs resample at T=50; 3 parallel fold-runs vs 3 same-seed runs at T=50.</w:t>
      </w:r>
    </w:p>
    <w:p>
      <w:pPr>
        <w:pStyle w:val="ListBullet"/>
      </w:pPr>
      <w:r>
        <w:rPr>
          <w:b/>
        </w:rPr>
        <w:t xml:space="preserve">Readout: </w:t>
      </w:r>
      <w:r>
        <w:t>benchmark Δpp variance across seeds per T (the noise curve); gate accept-rate stability; resample vs fixed acceptance disagreement.</w:t>
      </w:r>
    </w:p>
    <w:p>
      <w:pPr>
        <w:pStyle w:val="ListBullet"/>
      </w:pPr>
      <w:r>
        <w:rPr>
          <w:b/>
        </w:rPr>
        <w:t xml:space="preserve">Budget: </w:t>
      </w:r>
      <w:r>
        <w:t>~10 arms ≈ 30 runs; larger T raises per-run cost (T=200 ≈ $9).</w:t>
      </w:r>
    </w:p>
    <w:p>
      <w:pPr>
        <w:pStyle w:val="Heading2"/>
      </w:pPr>
      <w:r>
        <w:t>E7. Policy rendering × judge capacity</w:t>
      </w:r>
    </w:p>
    <w:p>
      <w:r>
        <w:rPr>
          <w:b w:val="0"/>
          <w:i/>
        </w:rPr>
        <w:t>Hypothesis: The policy is a growing textual parameter and each judge has a capacity budget; the deterministic digest trades context mass for fidelity — per judge.</w:t>
      </w:r>
    </w:p>
    <w:p>
      <w:pPr>
        <w:pStyle w:val="ListBullet"/>
      </w:pPr>
      <w:r>
        <w:rPr>
          <w:b/>
        </w:rPr>
        <w:t xml:space="preserve">Arms: </w:t>
      </w:r>
      <w:r>
        <w:t>compression OFF/ON per judge tier (7B, 26B, hosted-mini); digest depth (full / structural digest / root-only) as a dose-response ladder on the benchmark.</w:t>
      </w:r>
    </w:p>
    <w:p>
      <w:pPr>
        <w:pStyle w:val="ListBullet"/>
      </w:pPr>
      <w:r>
        <w:rPr>
          <w:b/>
        </w:rPr>
        <w:t xml:space="preserve">Readout: </w:t>
      </w:r>
      <w:r>
        <w:t>per-judge benchmark Δ under each render; bundle chars vs accuracy curve per capacity tier. Nobody in the GEPA/VISTA lineage has measured this axis.</w:t>
      </w:r>
    </w:p>
    <w:p>
      <w:pPr>
        <w:pStyle w:val="ListBullet"/>
      </w:pPr>
      <w:r>
        <w:rPr>
          <w:b/>
        </w:rPr>
        <w:t xml:space="preserve">Budget: </w:t>
      </w:r>
      <w:r>
        <w:t>probe ladder is ~$0 on local models; hosted tiers ~12 runs ≈ $60.</w:t>
      </w:r>
    </w:p>
    <w:p>
      <w:pPr>
        <w:pStyle w:val="Heading2"/>
      </w:pPr>
      <w:r>
        <w:t>E8. Cross-judge interference — panel vs one-judge-at-a-time</w:t>
      </w:r>
    </w:p>
    <w:p>
      <w:r>
        <w:rPr>
          <w:b w:val="0"/>
          <w:i/>
        </w:rPr>
        <w:t>Hypothesis: One judge's errors hinder the others' improvement (via majority vote and via the misalignment pool the drafter studies); deweighting the non-compliant member steepens the compliant judges' trajectory. Goal: decider-agnostic guidelines.</w:t>
      </w:r>
    </w:p>
    <w:p>
      <w:pPr>
        <w:pStyle w:val="ListBullet"/>
      </w:pPr>
      <w:r>
        <w:rPr>
          <w:b/>
        </w:rPr>
        <w:t xml:space="preserve">Arms: </w:t>
      </w:r>
      <w:r>
        <w:t>optimize against the full panel vs against one judge at a time (same seeds/splits); deweight ON vs OFF with qwen in the panel (runs #4–#5 are the OFF control arm).</w:t>
      </w:r>
    </w:p>
    <w:p>
      <w:pPr>
        <w:pStyle w:val="ListBullet"/>
      </w:pPr>
      <w:r>
        <w:rPr>
          <w:b/>
        </w:rPr>
        <w:t xml:space="preserve">Readout: </w:t>
      </w:r>
      <w:r>
        <w:t>per-judge benchmark Δ (does a policy tuned on judge A transfer to B? — the generalization matrix); blame-table quality with vs without the noise source.</w:t>
      </w:r>
    </w:p>
    <w:p>
      <w:pPr>
        <w:pStyle w:val="ListBullet"/>
      </w:pPr>
      <w:r>
        <w:rPr>
          <w:b/>
        </w:rPr>
        <w:t xml:space="preserve">Budget: </w:t>
      </w:r>
      <w:r>
        <w:t>~8 runs ≈ $40; the deweight ON/OFF pair is the immediate next run.</w:t>
      </w:r>
    </w:p>
    <w:p>
      <w:pPr>
        <w:pStyle w:val="Heading1"/>
      </w:pPr>
      <w:r>
        <w:t>5. Lessons learned — novelties for the paper</w:t>
      </w:r>
    </w:p>
    <w:p>
      <w:r>
        <w:rPr>
          <w:b w:val="0"/>
          <w:i w:val="0"/>
        </w:rPr>
        <w:t>Findings from building and running the crank that are, to our knowledge, unmeasured in the PPO/GEPA/VISTA lineage. Each is written as claim → evidence.</w:t>
      </w:r>
    </w:p>
    <w:p>
      <w:pPr>
        <w:pStyle w:val="Heading3"/>
      </w:pPr>
      <w:r>
        <w:t>L1 · Small-judge collapse is not (mainly) prompt length.</w:t>
      </w:r>
    </w:p>
    <w:p>
      <w:r>
        <w:rPr>
          <w:b w:val="0"/>
          <w:i w:val="0"/>
        </w:rPr>
        <w:t>qwen2.5-vl-7B answered a constant class under the full 25k-char GenAI bundle (0/6 generated images detected) — and STILL failed at a 4.2k-token digest and a 450-token root-only prompt (1/6), yet scored 8/8 under a two-line prompt with a trivial output contract. The dominant factors are policy semantics (v0.1's benign-illustration / insufficient-evidence defaults) and the 8-field structured output contract — not context mass alone. Untested lever: a per-judge lite response contract.</w:t>
      </w:r>
    </w:p>
    <w:p>
      <w:pPr>
        <w:pStyle w:val="Heading3"/>
      </w:pPr>
      <w:r>
        <w:t>L2 · Compliance: a constant judge has zero textual gradient.</w:t>
      </w:r>
    </w:p>
    <w:p>
      <w:r>
        <w:rPr>
          <w:b w:val="0"/>
          <w:i w:val="0"/>
        </w:rPr>
        <w:t>Across three accepted policy edits (GenAI run #5), every reading judge gained +8.8 to +21.2 test macro-F1 while qwen stayed byte-flat (49/50 anchors one class). No clause edit can move a judge that is not conditioning on the clauses. The compliance flag (≥90% single-class votes) now catches this at the k=0 baseline, not in a post-mortem.</w:t>
      </w:r>
    </w:p>
    <w:p>
      <w:pPr>
        <w:pStyle w:val="Heading3"/>
      </w:pPr>
      <w:r>
        <w:t>L3 · Deweight, don't chase — a goal-dependent response.</w:t>
      </w:r>
    </w:p>
    <w:p>
      <w:r>
        <w:rPr>
          <w:b w:val="0"/>
          <w:i w:val="0"/>
        </w:rPr>
        <w:t>If the goal is classification, compress harder (cheaper context per label). If the goal is policy development — ours — deweight the non-compliant judge: weight 0 in the system vote and in the optimizer's anchor/blame signal, while its row stays reported. Holdout/benchmark readouts stay full-panel for cross-run honesty.</w:t>
      </w:r>
    </w:p>
    <w:p>
      <w:pPr>
        <w:pStyle w:val="Heading3"/>
      </w:pPr>
      <w:r>
        <w:t>L4 · Policy blame: the panel indicts the clause, not the model.</w:t>
      </w:r>
    </w:p>
    <w:p>
      <w:r>
        <w:rPr>
          <w:b w:val="0"/>
          <w:i w:val="0"/>
        </w:rPr>
        <w:t>Every judge cites the node it applied, so wrong votes name the policy text that misled them. Nodes wrong-cited by ≥2 distinct judges are policy defects, not model quirks — a signal that only exists because the labeling layer is a multi-agent panel (a single labeler cannot distinguish weak-model from misleading-policy). It found the hand-diagnosed v0.1 loophole automatically, and the drafter's edits to the indicted node lifted every compliant judge.</w:t>
      </w:r>
    </w:p>
    <w:p>
      <w:pPr>
        <w:pStyle w:val="Heading3"/>
      </w:pPr>
      <w:r>
        <w:t>L5 · The compressed render is a projection, not a paraphrase.</w:t>
      </w:r>
    </w:p>
    <w:p>
      <w:r>
        <w:rPr>
          <w:b w:val="0"/>
          <w:i w:val="0"/>
        </w:rPr>
        <w:t>A deterministic structural digest (drop rationale/workflow sections whole; keep every id, edge, and decision rule byte-for-byte) makes policy-length × judge-capacity an auditable, versioned axis — and the digest is the production artifact a lightweight labeler would actually ship with (GenAI v0.1: −33%).</w:t>
      </w:r>
    </w:p>
    <w:p>
      <w:pPr>
        <w:pStyle w:val="Heading3"/>
      </w:pPr>
      <w:r>
        <w:t>L6 · Label cache + intra-rater flip rate.</w:t>
      </w:r>
    </w:p>
    <w:p>
      <w:r>
        <w:rPr>
          <w:b w:val="0"/>
          <w:i w:val="0"/>
        </w:rPr>
        <w:t>Never pay for the same (image, prompt-hash, model) twice: content-derived prompt fingerprints auto-invalidate on any drift; nondeterministic judges take 3 live rounds and serve the majority. The disagreement across a judge's own rounds is an intra-rater self-consistency score the panel's inter-rater split cannot see — and the v0.1 benchmark-start spread (47.7–54.6%) shows why single-shot measurements mislead.</w:t>
      </w:r>
    </w:p>
    <w:p>
      <w:pPr>
        <w:pStyle w:val="Heading3"/>
      </w:pPr>
      <w:r>
        <w:t>L7 · The gate's value is headroom-dependent.</w:t>
      </w:r>
    </w:p>
    <w:p>
      <w:r>
        <w:rPr>
          <w:b w:val="0"/>
          <w:i w:val="0"/>
        </w:rPr>
        <w:t>On near-saturated MNIST, gate-OFF drifted quality down (0.98 → 0.96) while the gated run correctly shipped nothing. On GenAI with real headroom, even gate-OFF gained (+8.4pp) — but the metric rule gained more (+11.6pp) at lower cost. Protection and exploration trade off through persona and ε, not just ON/OFF.</w:t>
      </w:r>
    </w:p>
    <w:p>
      <w:pPr>
        <w:pStyle w:val="Heading3"/>
      </w:pPr>
      <w:r>
        <w:t>L8 · Winner's curse is the main internal-validity threat.</w:t>
      </w:r>
    </w:p>
    <w:p>
      <w:r>
        <w:rPr>
          <w:b w:val="0"/>
          <w:i w:val="0"/>
        </w:rPr>
        <w:t>One noisy eval per candidate, inherited baselines, ε=0 → gate-set curves are optimistic. Mitigations now built: fixed cross-run benchmark as the only headline number, per-cycle test resample with paired incumbent re-eval, ε&gt;0 arms.</w:t>
      </w:r>
    </w:p>
    <w:p>
      <w:pPr>
        <w:pStyle w:val="Heading3"/>
      </w:pPr>
      <w:r>
        <w:t>L9 · Metric conventions can flatter degenerate judges.</w:t>
      </w:r>
    </w:p>
    <w:p>
      <w:r>
        <w:rPr>
          <w:b w:val="0"/>
          <w:i w:val="0"/>
        </w:rPr>
        <w:t>Macro-F1 that excludes never-predicted classes scores a one-class judge 66.7% where zero-division=0 scoring says 33.3%. Convention choice must be reported; single-class judges make the artifact visible.</w:t>
      </w:r>
    </w:p>
    <w:p>
      <w:pPr>
        <w:pStyle w:val="Heading3"/>
      </w:pPr>
      <w:r>
        <w:t>L10 · Prompt mass is the parameter count.</w:t>
      </w:r>
    </w:p>
    <w:p>
      <w:r>
        <w:rPr>
          <w:b w:val="0"/>
          <w:i w:val="0"/>
        </w:rPr>
        <w:t>Every cycle records policy bundle size; the drafter has a hard prompt budget and an anti-reword rule (byte-identical unless semantics change), and the gate treats needless ballooning and paraphrase churn as unsound edits. Policy size over k is the convergence story's x-axis companion.</w:t>
      </w:r>
    </w:p>
    <w:p>
      <w:pPr>
        <w:pStyle w:val="Heading1"/>
      </w:pPr>
      <w:r>
        <w:t>6. Logistics</w:t>
      </w:r>
    </w:p>
    <w:p>
      <w:pPr>
        <w:pStyle w:val="ListBullet"/>
      </w:pPr>
      <w:r>
        <w:rPr>
          <w:b/>
        </w:rPr>
        <w:t xml:space="preserve">Order of execution: </w:t>
      </w:r>
      <w:r>
        <w:t>E8 deweight ON/OFF pair (immediate, $10) → E4 strategy triplet (the central ablation) → E2 gate completion → E6 test regime → E1/E3/E7 → E5 (SME time, in parallel throughout).</w:t>
      </w:r>
    </w:p>
    <w:p>
      <w:pPr>
        <w:pStyle w:val="ListBullet"/>
      </w:pPr>
      <w:r>
        <w:rPr>
          <w:b/>
        </w:rPr>
        <w:t xml:space="preserve">Machines: </w:t>
      </w:r>
      <w:r>
        <w:t>GenAI live runs on the mac mini (full 20k source tree); MNIST + probes on the dev MacBook; both share seeds and the split contract (sampler seed 20260510, dev 2000 / holdout 1000 / validation 200).</w:t>
      </w:r>
    </w:p>
    <w:p>
      <w:pPr>
        <w:pStyle w:val="ListBullet"/>
      </w:pPr>
      <w:r>
        <w:rPr>
          <w:b/>
        </w:rPr>
        <w:t xml:space="preserve">Cost control: </w:t>
      </w:r>
      <w:r>
        <w:t>label cache serves every repeated v0.1 baseline/benchmark leg after warm-up; prompt caching lands real spend ~40–60% below full-rate estimates; total plan ≈ 120–150 runs ≈ $600–750 at current panel prices.</w:t>
      </w:r>
    </w:p>
    <w:p>
      <w:pPr>
        <w:pStyle w:val="ListBullet"/>
      </w:pPr>
      <w:r>
        <w:rPr>
          <w:b/>
        </w:rPr>
        <w:t xml:space="preserve">Artifacts per run: </w:t>
      </w:r>
      <w:r>
        <w:t>experiment.json (portable truth) + Postgres mirror; final policy version as .md bundle (view/download/digest links in the UI); gate ledger with SME audit verdicts; re-adjudication queue.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22222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