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6470D" w14:textId="08A879CD" w:rsidR="00C25D05" w:rsidRPr="00AA2190" w:rsidRDefault="0053613C" w:rsidP="00C25D05">
      <w:pPr>
        <w:pStyle w:val="papertitle"/>
      </w:pPr>
      <w:r w:rsidRPr="0053613C">
        <w:t>User engagement through multimodal feedback and involvement in game design with a wearable interface</w:t>
      </w:r>
    </w:p>
    <w:p w14:paraId="3625A53A" w14:textId="3C7A7ECC" w:rsidR="00C25D05" w:rsidRPr="00CB2306" w:rsidRDefault="0053613C" w:rsidP="00C25D05">
      <w:pPr>
        <w:pStyle w:val="author"/>
        <w:spacing w:after="0"/>
        <w:rPr>
          <w:position w:val="6"/>
          <w:sz w:val="12"/>
          <w:szCs w:val="12"/>
          <w:lang w:val="de-DE"/>
        </w:rPr>
      </w:pPr>
      <w:r>
        <w:rPr>
          <w:lang w:val="de-DE"/>
        </w:rPr>
        <w:t>Carlos Arce-Lopera</w:t>
      </w:r>
      <w:r w:rsidR="00C25D05">
        <w:rPr>
          <w:rStyle w:val="Refdenotaalpie"/>
          <w:szCs w:val="12"/>
          <w:lang w:val="de-DE"/>
        </w:rPr>
        <w:footnoteReference w:id="1"/>
      </w:r>
      <w:r w:rsidR="00C25D05" w:rsidRPr="00AA2190">
        <w:rPr>
          <w:vertAlign w:val="superscript"/>
          <w:lang w:val="de-DE"/>
        </w:rPr>
        <w:t>,*</w:t>
      </w:r>
      <w:r w:rsidR="00C25D05" w:rsidRPr="00CB2306">
        <w:rPr>
          <w:lang w:val="de-DE"/>
        </w:rPr>
        <w:t xml:space="preserve"> and </w:t>
      </w:r>
      <w:r>
        <w:rPr>
          <w:lang w:val="de-DE"/>
        </w:rPr>
        <w:t>Arturo Gomez</w:t>
      </w:r>
      <w:r w:rsidR="00C25D05" w:rsidRPr="00CB2306">
        <w:rPr>
          <w:position w:val="6"/>
          <w:sz w:val="12"/>
          <w:szCs w:val="12"/>
          <w:lang w:val="de-DE"/>
        </w:rPr>
        <w:t>1</w:t>
      </w:r>
    </w:p>
    <w:p w14:paraId="5D407A30" w14:textId="77777777" w:rsidR="00C25D05" w:rsidRPr="00CB2306" w:rsidRDefault="00C25D05" w:rsidP="00C25D05">
      <w:pPr>
        <w:pStyle w:val="authorinfo"/>
        <w:rPr>
          <w:lang w:val="de-DE"/>
        </w:rPr>
      </w:pPr>
    </w:p>
    <w:p w14:paraId="0D9C59C2" w14:textId="4E64C55D" w:rsidR="00C25D05" w:rsidRPr="0053613C" w:rsidRDefault="00C25D05" w:rsidP="00C25D05">
      <w:pPr>
        <w:pStyle w:val="authorinfo"/>
        <w:rPr>
          <w:lang w:val="es-CO"/>
        </w:rPr>
      </w:pPr>
      <w:r w:rsidRPr="009A3755">
        <w:rPr>
          <w:position w:val="6"/>
          <w:sz w:val="11"/>
          <w:szCs w:val="11"/>
          <w:lang w:val="de-DE"/>
        </w:rPr>
        <w:t>1</w:t>
      </w:r>
      <w:r w:rsidRPr="009A3755">
        <w:rPr>
          <w:lang w:val="de-DE"/>
        </w:rPr>
        <w:t xml:space="preserve"> </w:t>
      </w:r>
      <w:r w:rsidR="0053613C">
        <w:rPr>
          <w:lang w:val="de-DE"/>
        </w:rPr>
        <w:t>Universidad Icesi</w:t>
      </w:r>
      <w:r w:rsidRPr="009A3755">
        <w:rPr>
          <w:lang w:val="de-DE"/>
        </w:rPr>
        <w:t xml:space="preserve">, </w:t>
      </w:r>
      <w:r w:rsidR="0053613C" w:rsidRPr="0053613C">
        <w:rPr>
          <w:lang w:val="de-DE"/>
        </w:rPr>
        <w:t>Calle 18 No. 122-135 Pance, Cali, Colombia</w:t>
      </w:r>
    </w:p>
    <w:p w14:paraId="5D9CCC75" w14:textId="3742AC7A" w:rsidR="00C25D05" w:rsidRPr="009A3755" w:rsidRDefault="00C25D05" w:rsidP="00C25D05">
      <w:pPr>
        <w:pStyle w:val="email"/>
        <w:rPr>
          <w:lang w:val="de-DE"/>
        </w:rPr>
      </w:pPr>
      <w:r w:rsidRPr="009A3755">
        <w:rPr>
          <w:lang w:val="de-DE"/>
        </w:rPr>
        <w:t>{</w:t>
      </w:r>
      <w:hyperlink r:id="rId8" w:history="1">
        <w:r w:rsidR="002000AA" w:rsidRPr="008E3B25">
          <w:rPr>
            <w:rStyle w:val="Hipervnculo"/>
            <w:lang w:val="es-CO"/>
          </w:rPr>
          <w:t>caarce, arturo.gomez}@</w:t>
        </w:r>
      </w:hyperlink>
      <w:r w:rsidR="0053613C" w:rsidRPr="0053613C">
        <w:rPr>
          <w:lang w:val="es-CO"/>
        </w:rPr>
        <w:t>icesi.edu.co</w:t>
      </w:r>
    </w:p>
    <w:p w14:paraId="635C7C51" w14:textId="63BD73FB" w:rsidR="00C25D05" w:rsidRDefault="00C25D05" w:rsidP="00C25D05">
      <w:pPr>
        <w:pStyle w:val="abstract"/>
        <w:ind w:firstLine="0"/>
      </w:pPr>
      <w:r w:rsidRPr="00DB1FAD">
        <w:rPr>
          <w:b/>
        </w:rPr>
        <w:t>Abstract.</w:t>
      </w:r>
      <w:r>
        <w:t xml:space="preserve"> </w:t>
      </w:r>
      <w:r w:rsidR="00C027E9" w:rsidRPr="00C027E9">
        <w:t>A wearable interface was designed, built and tested as a prototype to evaluate users’ engagement in a game setting.</w:t>
      </w:r>
      <w:r w:rsidR="00C027E9">
        <w:t xml:space="preserve"> </w:t>
      </w:r>
      <w:r w:rsidR="00C027E9" w:rsidRPr="00C027E9">
        <w:t xml:space="preserve">The wearable interface consisted of a light sensor and three different types of actuators: a RGB </w:t>
      </w:r>
      <w:r w:rsidR="004C7EE7" w:rsidRPr="00C027E9">
        <w:t>led</w:t>
      </w:r>
      <w:r w:rsidR="002000AA">
        <w:t>,</w:t>
      </w:r>
      <w:r w:rsidR="00C027E9" w:rsidRPr="00C027E9">
        <w:t xml:space="preserve"> a buzzer and a vibe motor. </w:t>
      </w:r>
      <w:r w:rsidR="00E955BE">
        <w:t>E</w:t>
      </w:r>
      <w:r w:rsidR="00C027E9" w:rsidRPr="00C027E9">
        <w:t xml:space="preserve">valuations of the interface performance </w:t>
      </w:r>
      <w:r w:rsidR="00E955BE">
        <w:t xml:space="preserve">were conducted </w:t>
      </w:r>
      <w:r w:rsidR="00C027E9" w:rsidRPr="00C027E9">
        <w:t>focusing on two main components: the multimodal feedback system and the involvement in game design over several rounds.</w:t>
      </w:r>
      <w:r w:rsidR="00C027E9">
        <w:t xml:space="preserve"> </w:t>
      </w:r>
      <w:r w:rsidR="00E955BE">
        <w:t xml:space="preserve">Experimental results showed that our wearable interface </w:t>
      </w:r>
      <w:r w:rsidR="00C027E9" w:rsidRPr="00C027E9">
        <w:t>is comfortable and imperceptibl</w:t>
      </w:r>
      <w:r w:rsidR="00E955BE">
        <w:t>e. Moreover, our wearable</w:t>
      </w:r>
      <w:r w:rsidR="00C027E9" w:rsidRPr="00C027E9">
        <w:t xml:space="preserve"> interface is simple enough</w:t>
      </w:r>
      <w:r w:rsidR="00E955BE">
        <w:t xml:space="preserve"> for users</w:t>
      </w:r>
      <w:r w:rsidR="00C027E9" w:rsidRPr="00C027E9">
        <w:t xml:space="preserve"> to be able to add game modes based on social agreements</w:t>
      </w:r>
      <w:r w:rsidR="00E955BE">
        <w:t>.</w:t>
      </w:r>
      <w:r w:rsidR="00C027E9" w:rsidRPr="00C027E9">
        <w:t xml:space="preserve"> </w:t>
      </w:r>
      <w:r w:rsidR="00E955BE">
        <w:t>Our results</w:t>
      </w:r>
      <w:r w:rsidR="00C027E9" w:rsidRPr="00C027E9">
        <w:t xml:space="preserve"> demonstrate how meaningful multimodal feedback and self-directed invol</w:t>
      </w:r>
      <w:r w:rsidR="00E955BE">
        <w:t>vement in game design can address</w:t>
      </w:r>
      <w:r w:rsidR="00C027E9" w:rsidRPr="00C027E9">
        <w:t xml:space="preserve"> several human factors challenges faced by user engagement designers.</w:t>
      </w:r>
    </w:p>
    <w:p w14:paraId="6E1A2B21" w14:textId="77777777" w:rsidR="00C25D05" w:rsidRDefault="00C25D05" w:rsidP="00C25D05">
      <w:pPr>
        <w:pStyle w:val="abstract"/>
        <w:spacing w:before="120"/>
        <w:ind w:firstLine="0"/>
      </w:pPr>
    </w:p>
    <w:p w14:paraId="7CF58CEB" w14:textId="217DCD3B" w:rsidR="00C25D05" w:rsidRPr="000E4EF4" w:rsidRDefault="00C25D05" w:rsidP="00C25D05">
      <w:pPr>
        <w:pStyle w:val="abstract"/>
        <w:spacing w:before="120"/>
        <w:ind w:firstLine="0"/>
      </w:pPr>
      <w:r w:rsidRPr="000E4EF4">
        <w:rPr>
          <w:b/>
        </w:rPr>
        <w:t>Keywords</w:t>
      </w:r>
      <w:r w:rsidR="0053613C">
        <w:rPr>
          <w:b/>
        </w:rPr>
        <w:t>:</w:t>
      </w:r>
      <w:r w:rsidR="0053613C">
        <w:t xml:space="preserve"> Human Factors · Game Design</w:t>
      </w:r>
      <w:r w:rsidRPr="00442A23">
        <w:t xml:space="preserve"> </w:t>
      </w:r>
      <w:r>
        <w:t xml:space="preserve">· </w:t>
      </w:r>
      <w:r w:rsidR="0053613C">
        <w:t xml:space="preserve">User Engagement · </w:t>
      </w:r>
      <w:r w:rsidR="00C027E9">
        <w:t>Wearable Interface · Multi-modal Feedback</w:t>
      </w:r>
      <w:r w:rsidRPr="00442A23">
        <w:t xml:space="preserve"> </w:t>
      </w:r>
    </w:p>
    <w:p w14:paraId="732BFDFE" w14:textId="77777777" w:rsidR="00C25D05" w:rsidRPr="009A3755" w:rsidRDefault="00C25D05" w:rsidP="00C25D05">
      <w:pPr>
        <w:pStyle w:val="heading1"/>
        <w:numPr>
          <w:ilvl w:val="0"/>
          <w:numId w:val="4"/>
        </w:numPr>
      </w:pPr>
      <w:r w:rsidRPr="009A3755">
        <w:t>Introduction</w:t>
      </w:r>
    </w:p>
    <w:p w14:paraId="58995A10" w14:textId="77777777" w:rsidR="00884ABC" w:rsidRDefault="00650E28" w:rsidP="00C25D05">
      <w:r>
        <w:t>U</w:t>
      </w:r>
      <w:r w:rsidR="00F96B9D">
        <w:t>ser E</w:t>
      </w:r>
      <w:r>
        <w:t xml:space="preserve">ngagement </w:t>
      </w:r>
      <w:r w:rsidR="00F96B9D">
        <w:t xml:space="preserve">(UE) </w:t>
      </w:r>
      <w:r>
        <w:t xml:space="preserve">is a measure of the quality of the user experience when interacting with an interface. </w:t>
      </w:r>
      <w:r w:rsidR="00756E81">
        <w:t xml:space="preserve">However, its practical measurement has been proven to be challenging to define, design for, and evaluate </w:t>
      </w:r>
      <w:r w:rsidR="00756E81">
        <w:fldChar w:fldCharType="begin"/>
      </w:r>
      <w:r w:rsidR="00756E81">
        <w:instrText xml:space="preserve"> ADDIN ZOTERO_ITEM CSL_CITATION {"citationID":"a2p3198d8np","properties":{"formattedCitation":"[1]","plainCitation":"[1]"},"citationItems":[{"id":527,"uris":["http://zotero.org/users/728596/items/Y3MADFE8"],"uri":["http://zotero.org/users/728596/items/Y3MADFE8"],"itemData":{"id":527,"type":"article-journal","title":"A practical approach to measuring user engagement with the refined user engagement scale (UES) and new UES short form","container-title":"International Journal of Human-Computer Studies","page":"28-39","volume":"112","source":"ScienceDirect","abstract":"User engagement (UE) and its measurement have been of increasing interest in human-computer interaction (HCI). The User Engagement Scale (UES) is one tool developed to measure UE, and has been used in a variety of digital domains. The original UES consisted of 31-items and purported to measure six dimensions of engagement: aesthetic appeal, focused attention, novelty, perceived usability, felt involvement, and endurability. A recent synthesis of the literature questioned the original six-factors. Further, the ways in which the UES has been implemented in studies suggests there may be a need for a briefer version of the questionnaire and more effective documentation to guide its use and analysis. This research investigated and verified a four-factor structure of the UES and proposed a Short Form (SF). We employed contemporary statistical tools that were unavailable during the UES’ development to re-analyze the original data, consisting of 427 and 779 valid responses across two studies, and examined new data (N=344) gathered as part of a three-year digital library project. In this paper we detail our analyses, present a revised long and short form (SF) version of the UES, and offer guidance for researchers interested in adopting the UES and UES-SF in their own studies.","DOI":"10.1016/j.ijhcs.2018.01.004","ISSN":"1071-5819","journalAbbreviation":"International Journal of Human-Computer Studies","author":[{"family":"O’Brien","given":"Heather L."},{"family":"Cairns","given":"Paul"},{"family":"Hall","given":"Mark"}],"issued":{"date-parts":[["2018",4,1]]}}}],"schema":"https://github.com/citation-style-language/schema/raw/master/csl-citation.json"} </w:instrText>
      </w:r>
      <w:r w:rsidR="00756E81">
        <w:fldChar w:fldCharType="separate"/>
      </w:r>
      <w:r w:rsidR="00756E81" w:rsidRPr="00756E81">
        <w:rPr>
          <w:rFonts w:cs="Times"/>
        </w:rPr>
        <w:t>[1]</w:t>
      </w:r>
      <w:r w:rsidR="00756E81">
        <w:fldChar w:fldCharType="end"/>
      </w:r>
      <w:r w:rsidR="00756E81">
        <w:t xml:space="preserve">. To understand </w:t>
      </w:r>
      <w:r w:rsidR="002D1E60">
        <w:t xml:space="preserve">the complexity of </w:t>
      </w:r>
      <w:r w:rsidR="00756E81">
        <w:t>user engagement</w:t>
      </w:r>
      <w:r w:rsidR="00F96B9D">
        <w:t>,</w:t>
      </w:r>
      <w:r w:rsidR="00756E81">
        <w:t xml:space="preserve"> several theories</w:t>
      </w:r>
      <w:r w:rsidR="002D1E60">
        <w:t xml:space="preserve"> have been described </w:t>
      </w:r>
      <w:r w:rsidR="002D1E60">
        <w:fldChar w:fldCharType="begin"/>
      </w:r>
      <w:r w:rsidR="002D1E60">
        <w:instrText xml:space="preserve"> ADDIN ZOTERO_ITEM CSL_CITATION {"citationID":"ahrvunm7bl","properties":{"formattedCitation":"[2]","plainCitation":"[2]"},"citationItems":[{"id":523,"uris":["http://zotero.org/users/728596/items/PMDS8NA2"],"uri":["http://zotero.org/users/728596/items/PMDS8NA2"],"itemData":{"id":523,"type":"chapter","title":"A Quick Look at Game Engagement Theories","container-title":"The Wiley Handbook of Human Computer Interaction","publisher":"John Wiley &amp; Sons, Ltd","page":"657-679","source":"Wiley Online Library","abstract":"Game applications for purposes such as education, finance or health have attracted considerable interest. However, development of these gameful applications is not adequately supported by knowledge of the fundamental mechanisms of game engagement. In this paper, to study game engagement, we review existing theories about game engagement. There are many theoretical studies on game engagement scattered across different disciplines, but they have not been organized into a focused study of game engagement. By synthesizing and organizing this information, a comprehensive account of game engagement can be developed.","URL":"http://onlinelibrary.wiley.com/doi/10.1002/9781118976005.ch29/summary","ISBN":"978-1-118-97600-5","note":"DOI: 10.1002/9781118976005.ch29","language":"en","author":[{"family":"Silpasuwanchai","given":"Chaklam"},{"family":"Ren","given":"Xiangshi"}],"editor":[{"family":"Norman","given":"Kent L."},{"family":"Kirakowski","given":"Jurek"}],"issued":{"date-parts":[["2018"]]},"accessed":{"date-parts":[["2018",3,1]]}}}],"schema":"https://github.com/citation-style-language/schema/raw/master/csl-citation.json"} </w:instrText>
      </w:r>
      <w:r w:rsidR="002D1E60">
        <w:fldChar w:fldCharType="separate"/>
      </w:r>
      <w:r w:rsidR="002D1E60" w:rsidRPr="002D1E60">
        <w:rPr>
          <w:rFonts w:cs="Times"/>
        </w:rPr>
        <w:t>[2]</w:t>
      </w:r>
      <w:r w:rsidR="002D1E60">
        <w:fldChar w:fldCharType="end"/>
      </w:r>
      <w:r w:rsidR="002D1E60">
        <w:t>.</w:t>
      </w:r>
      <w:r w:rsidR="00756E81">
        <w:t xml:space="preserve"> </w:t>
      </w:r>
      <w:r w:rsidR="002D1E60">
        <w:t>For example, t</w:t>
      </w:r>
      <w:r w:rsidR="00562CCC">
        <w:t>he self-determination theory, classifies motivation</w:t>
      </w:r>
      <w:r w:rsidR="00803FCB">
        <w:t xml:space="preserve">, which can be directly related to </w:t>
      </w:r>
      <w:r w:rsidR="00F96B9D">
        <w:t>UE</w:t>
      </w:r>
      <w:r w:rsidR="00803FCB">
        <w:t>,</w:t>
      </w:r>
      <w:r w:rsidR="00562CCC">
        <w:t xml:space="preserve"> into two categories: intrinsic and extrinsic motivation. </w:t>
      </w:r>
      <w:r>
        <w:t xml:space="preserve">The intrinsic motivation is driven by the </w:t>
      </w:r>
      <w:r w:rsidR="00884ABC">
        <w:t xml:space="preserve">user´s </w:t>
      </w:r>
      <w:r>
        <w:t>feelings of autonomy, competence and relatedness.</w:t>
      </w:r>
      <w:r w:rsidR="007067AC">
        <w:t xml:space="preserve"> On the other hand, the extrinsic motivation is directed by external factors, such as rewards or threats </w:t>
      </w:r>
      <w:r w:rsidR="007067AC">
        <w:fldChar w:fldCharType="begin"/>
      </w:r>
      <w:r w:rsidR="007067AC">
        <w:instrText xml:space="preserve"> ADDIN ZOTERO_ITEM CSL_CITATION {"citationID":"aavrg21g3p","properties":{"formattedCitation":"[3]","plainCitation":"[3]"},"citationItems":[{"id":525,"uris":["http://zotero.org/users/728596/items/7LE9Q254"],"uri":["http://zotero.org/users/728596/items/7LE9Q254"],"itemData":{"id":525,"type":"article-journal","title":"Self-determination theory and the facilitation of intrinsic motivation, social development, and well-being","container-title":"The American Psychologist","page":"68-78","volume":"55","issue":"1","source":"PubMed","abstract":"Human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psychotherapy.","ISSN":"0003-066X","note":"PMID: 11392867","journalAbbreviation":"Am Psychol","language":"eng","author":[{"family":"Ryan","given":"R. M."},{"family":"Deci","given":"E. L."}],"issued":{"date-parts":[["2000",1]]}}}],"schema":"https://github.com/citation-style-language/schema/raw/master/csl-citation.json"} </w:instrText>
      </w:r>
      <w:r w:rsidR="007067AC">
        <w:fldChar w:fldCharType="separate"/>
      </w:r>
      <w:r w:rsidR="007067AC" w:rsidRPr="007067AC">
        <w:rPr>
          <w:rFonts w:cs="Times"/>
        </w:rPr>
        <w:t>[3]</w:t>
      </w:r>
      <w:r w:rsidR="007067AC">
        <w:fldChar w:fldCharType="end"/>
      </w:r>
      <w:r w:rsidR="007067AC">
        <w:t>.</w:t>
      </w:r>
      <w:r w:rsidR="00E27D13" w:rsidRPr="00E27D13">
        <w:t xml:space="preserve"> </w:t>
      </w:r>
      <w:r w:rsidR="00803FCB">
        <w:t xml:space="preserve">This example shows the multidimensionality of the concept of user engagement and the necessity for specific and diverse measuring tools. </w:t>
      </w:r>
    </w:p>
    <w:p w14:paraId="50D4A555" w14:textId="761753AD" w:rsidR="00884ABC" w:rsidRDefault="00803FCB" w:rsidP="00C25D05">
      <w:r>
        <w:t>One popular measuring tool is the User Engagement Scale (UES)</w:t>
      </w:r>
      <w:r w:rsidR="00372F77">
        <w:t>,</w:t>
      </w:r>
      <w:r w:rsidR="00F96B9D">
        <w:t xml:space="preserve"> a 31-item questionnaire</w:t>
      </w:r>
      <w:r w:rsidR="00372F77">
        <w:t>,</w:t>
      </w:r>
      <w:r w:rsidR="00F96B9D">
        <w:t xml:space="preserve"> </w:t>
      </w:r>
      <w:r w:rsidR="00372F77">
        <w:t>that</w:t>
      </w:r>
      <w:r w:rsidR="00F96B9D">
        <w:t xml:space="preserve"> </w:t>
      </w:r>
      <w:r w:rsidR="00372F77">
        <w:t>classifies</w:t>
      </w:r>
      <w:r w:rsidR="00F96B9D">
        <w:t xml:space="preserve"> UE in six different dimensions </w:t>
      </w:r>
      <w:r w:rsidR="00F96B9D">
        <w:fldChar w:fldCharType="begin"/>
      </w:r>
      <w:r w:rsidR="00F96B9D">
        <w:instrText xml:space="preserve"> ADDIN ZOTERO_ITEM CSL_CITATION {"citationID":"ai4pf1uak3","properties":{"formattedCitation":"[4]","plainCitation":"[4]"},"citationItems":[{"id":529,"uris":["http://zotero.org/users/728596/items/CJLKID9S"],"uri":["http://zotero.org/users/728596/items/CJLKID9S"],"itemData":{"id":529,"type":"article-journal","title":"Measuring engagement in video game-based environments: Investigation of the User Engagement Scale","container-title":"Computers in Human Behavior","page":"123-132","volume":"32","source":"ScienceDirect","abstract":"This research investigated the use of the User Engagement Scale (UES) as a psychometric tool to measure engagement during video game-play. Exploratory factor analysis revealed four factors (Focused Attention, Perceived Usability, Aesthetics, and Satisfaction) as compared to the six found in the original development of the UES. In the context of video game-play, a revised UES (UESz) demonstrated better psychometric properties than the original UES defined by six subscales, including enhanced reliability. Further validity analysis included comparisons with the Flow State Scale (FSS), showing the complementary nature of the two scales and what constructs both scales might be measuring in a video game context. Criterion validity analysis demonstrated that UESz was more predictive of game performance than the FSS. Findings related to both the UESz and FSS were discussed relative to an overarching framework of hedonic and utilitarian qualities of game-play.","DOI":"10.1016/j.chb.2013.12.001","ISSN":"0747-5632","shortTitle":"Measuring engagement in video game-based environments","journalAbbreviation":"Computers in Human Behavior","author":[{"family":"Wiebe","given":"Eric N."},{"family":"Lamb","given":"Allison"},{"family":"Hardy","given":"Megan"},{"family":"Sharek","given":"David"}],"issued":{"date-parts":[["2014",3,1]]}}}],"schema":"https://github.com/citation-style-language/schema/raw/master/csl-citation.json"} </w:instrText>
      </w:r>
      <w:r w:rsidR="00F96B9D">
        <w:fldChar w:fldCharType="separate"/>
      </w:r>
      <w:r w:rsidR="00F96B9D" w:rsidRPr="00F96B9D">
        <w:rPr>
          <w:rFonts w:cs="Times"/>
        </w:rPr>
        <w:t>[4]</w:t>
      </w:r>
      <w:r w:rsidR="00F96B9D">
        <w:fldChar w:fldCharType="end"/>
      </w:r>
      <w:r>
        <w:t xml:space="preserve">.  </w:t>
      </w:r>
      <w:r w:rsidR="00884ABC">
        <w:t>However, b</w:t>
      </w:r>
      <w:r w:rsidR="00F96B9D">
        <w:t xml:space="preserve">y recognizing the difficulty to measure such a long scale </w:t>
      </w:r>
      <w:r w:rsidR="00372F77">
        <w:t xml:space="preserve">for each subject and trial, several researchers have improved and reviewed the UES. The short versions include only four dimensions: </w:t>
      </w:r>
      <w:r w:rsidR="00372F77" w:rsidRPr="00372F77">
        <w:t>Focused attention</w:t>
      </w:r>
      <w:r w:rsidR="00372F77">
        <w:t xml:space="preserve">, </w:t>
      </w:r>
      <w:r w:rsidR="00372F77" w:rsidRPr="00372F77">
        <w:t>Perceived usability</w:t>
      </w:r>
      <w:r w:rsidR="00372F77">
        <w:t xml:space="preserve">, </w:t>
      </w:r>
      <w:r w:rsidR="00372F77" w:rsidRPr="00372F77">
        <w:t>Aesthetic appeal</w:t>
      </w:r>
      <w:r w:rsidR="00372F77">
        <w:t xml:space="preserve"> and Reward or Satisfaction factor </w:t>
      </w:r>
      <w:r w:rsidR="00372F77">
        <w:fldChar w:fldCharType="begin"/>
      </w:r>
      <w:r w:rsidR="00372F77">
        <w:instrText xml:space="preserve"> ADDIN ZOTERO_ITEM CSL_CITATION {"citationID":"a27areheukt","properties":{"formattedCitation":"[1], [4]","plainCitation":"[1], [4]"},"citationItems":[{"id":529,"uris":["http://zotero.org/users/728596/items/CJLKID9S"],"uri":["http://zotero.org/users/728596/items/CJLKID9S"],"itemData":{"id":529,"type":"article-journal","title":"Measuring engagement in video game-based environments: Investigation of the User Engagement Scale","container-title":"Computers in Human Behavior","page":"123-132","volume":"32","source":"ScienceDirect","abstract":"This research investigated the use of the User Engagement Scale (UES) as a psychometric tool to measure engagement during video game-play. Exploratory factor analysis revealed four factors (Focused Attention, Perceived Usability, Aesthetics, and Satisfaction) as compared to the six found in the original development of the UES. In the context of video game-play, a revised UES (UESz) demonstrated better psychometric properties than the original UES defined by six subscales, including enhanced reliability. Further validity analysis included comparisons with the Flow State Scale (FSS), showing the complementary nature of the two scales and what constructs both scales might be measuring in a video game context. Criterion validity analysis demonstrated that UESz was more predictive of game performance than the FSS. Findings related to both the UESz and FSS were discussed relative to an overarching framework of hedonic and utilitarian qualities of game-play.","DOI":"10.1016/j.chb.2013.12.001","ISSN":"0747-5632","shortTitle":"Measuring engagement in video game-based environments","journalAbbreviation":"Computers in Human Behavior","author":[{"family":"Wiebe","given":"Eric N."},{"family":"Lamb","given":"Allison"},{"family":"Hardy","given":"Megan"},{"family":"Sharek","given":"David"}],"issued":{"date-parts":[["2014",3,1]]}}},{"id":527,"uris":["http://zotero.org/users/728596/items/Y3MADFE8"],"uri":["http://zotero.org/users/728596/items/Y3MADFE8"],"itemData":{"id":527,"type":"article-journal","title":"A practical approach to measuring user engagement with the refined user engagement scale (UES) and new UES short form","container-title":"International Journal of Human-Computer Studies","page":"28-39","volume":"112","source":"ScienceDirect","abstract":"User engagement (UE) and its measurement have been of increasing interest in human-computer interaction (HCI). The User Engagement Scale (UES) is one tool developed to measure UE, and has been used in a variety of digital domains. The original UES consisted of 31-items and purported to measure six dimensions of engagement: aesthetic appeal, focused attention, novelty, perceived usability, felt involvement, and endurability. A recent synthesis of the literature questioned the original six-factors. Further, the ways in which the UES has been implemented in studies suggests there may be a need for a briefer version of the questionnaire and more effective documentation to guide its use and analysis. This research investigated and verified a four-factor structure of the UES and proposed a Short Form (SF). We employed contemporary statistical tools that were unavailable during the UES’ development to re-analyze the original data, consisting of 427 and 779 valid responses across two studies, and examined new data (N=344) gathered as part of a three-year digital library project. In this paper we detail our analyses, present a revised long and short form (SF) version of the UES, and offer guidance for researchers interested in adopting the UES and UES-SF in their own studies.","DOI":"10.1016/j.ijhcs.2018.01.004","ISSN":"1071-5819","journalAbbreviation":"International Journal of Human-Computer Studies","author":[{"family":"O’Brien","given":"Heather L."},{"family":"Cairns","given":"Paul"},{"family":"Hall","given":"Mark"}],"issued":{"date-parts":[["2018",4,1]]}}}],"schema":"https://github.com/citation-style-language/schema/raw/master/csl-citation.json"} </w:instrText>
      </w:r>
      <w:r w:rsidR="00372F77">
        <w:fldChar w:fldCharType="separate"/>
      </w:r>
      <w:r w:rsidR="00372F77" w:rsidRPr="00372F77">
        <w:rPr>
          <w:rFonts w:cs="Times"/>
        </w:rPr>
        <w:t>[1], [4]</w:t>
      </w:r>
      <w:r w:rsidR="00372F77">
        <w:fldChar w:fldCharType="end"/>
      </w:r>
      <w:r w:rsidR="00372F77">
        <w:t xml:space="preserve">. </w:t>
      </w:r>
      <w:r w:rsidR="00884ABC">
        <w:t xml:space="preserve">Focused attention refers to the feeling of been absorbed in </w:t>
      </w:r>
      <w:r w:rsidR="00884ABC">
        <w:lastRenderedPageBreak/>
        <w:t>the interaction by losing the track of time. The Perceived usability is the perceived degree of control and effo</w:t>
      </w:r>
      <w:r w:rsidR="00E16F59">
        <w:t>rt experienced. The Aesthetic a</w:t>
      </w:r>
      <w:r w:rsidR="00884ABC">
        <w:t xml:space="preserve">ppeal is the attractiveness of the interface </w:t>
      </w:r>
      <w:r w:rsidR="00C646B9">
        <w:t>according to</w:t>
      </w:r>
      <w:r w:rsidR="00BF360A">
        <w:t xml:space="preserve"> our aesthetic perception using</w:t>
      </w:r>
      <w:r w:rsidR="00884ABC">
        <w:t xml:space="preserve"> all senses. The last dimension, the Reward factor</w:t>
      </w:r>
      <w:r w:rsidR="00E16F59">
        <w:t>,</w:t>
      </w:r>
      <w:r w:rsidR="00884ABC">
        <w:t xml:space="preserve"> is a combination of the overall success of the interaction, the sense of having fun, </w:t>
      </w:r>
      <w:r w:rsidR="00C646B9">
        <w:t xml:space="preserve">and </w:t>
      </w:r>
      <w:r w:rsidR="00BF360A">
        <w:t>the curiosity and interest for</w:t>
      </w:r>
      <w:r w:rsidR="00884ABC">
        <w:t xml:space="preserve"> the interaction. </w:t>
      </w:r>
    </w:p>
    <w:p w14:paraId="65629F98" w14:textId="4ABBBE20" w:rsidR="00C25D05" w:rsidRPr="00DB1FAD" w:rsidRDefault="00BF360A" w:rsidP="00C25D05">
      <w:r>
        <w:t>To be able to test for UE of</w:t>
      </w:r>
      <w:r w:rsidR="00E16F59">
        <w:t xml:space="preserve"> a novel wearable interface in a game setting, we decided to test</w:t>
      </w:r>
      <w:r w:rsidR="00756E81" w:rsidRPr="00E27D13">
        <w:t xml:space="preserve"> the importance of the self-directed, meaningful involvement with game design as a powerful tool to increase user engagement</w:t>
      </w:r>
      <w:r w:rsidR="00756E81">
        <w:t xml:space="preserve"> </w:t>
      </w:r>
      <w:r w:rsidR="00756E81">
        <w:fldChar w:fldCharType="begin"/>
      </w:r>
      <w:r w:rsidR="00F96B9D">
        <w:instrText xml:space="preserve"> ADDIN ZOTERO_ITEM CSL_CITATION {"citationID":"a16gns7sq46","properties":{"formattedCitation":"[5]","plainCitation":"[5]"},"citationItems":[{"id":521,"uris":["http://zotero.org/users/728596/items/SCLYAQDJ"],"uri":["http://zotero.org/users/728596/items/SCLYAQDJ"],"itemData":{"id":521,"type":"article-journal","title":"What is user engagement? A conceptual framework for defining user engagement with technology","container-title":"Journal of the American Society for Information Science and Technology","page":"938-955","volume":"59","issue":"6","source":"Wiley Online Library","abstract":"The purpose of this article is to critically deconstruct the term engagement as it applies to peoples' experiences with technology. Through an extensive, critical multidisciplinary literature review and exploratory study of users of Web searching, online shopping, Webcasting, and gaming applications, we conceptually and operationally defined engagement. Building on past research, we conducted semistructured interviews with the users of four applications to explore their perception of being engaged with the technology. Results indicate that engagement is a process comprised of four distinct stages: point of engagement, period of sustained engagement, disengagement, and reengagement. Furthermore, the process is characterized by attributes of engagement that pertain to the user, the system, and user-system interaction. We also found evidence of the factors that contribute to nonengagement. Emerging from this research is a definition of engagement—a term not defined consistently in past work—as a quality of user experience characterized by attributes of challenge, positive affect, endurability, aesthetic and sensory appeal, attention, feedback, variety/novelty, interactivity, and perceived user control. This exploratory work provides the foundation for future work to test the conceptual model in various application areas, and to develop methods to measure engaging user experiences.","DOI":"10.1002/asi.20801","ISSN":"1532-2890","shortTitle":"What is user engagement?","journalAbbreviation":"J. Am. Soc. Inf. Sci.","language":"en","author":[{"family":"O'Brien","given":"Heather L."},{"family":"Toms","given":"Elaine G."}],"issued":{"date-parts":[["2008",4,1]]}}}],"schema":"https://github.com/citation-style-language/schema/raw/master/csl-citation.json"} </w:instrText>
      </w:r>
      <w:r w:rsidR="00756E81">
        <w:fldChar w:fldCharType="separate"/>
      </w:r>
      <w:r w:rsidR="00F96B9D" w:rsidRPr="00F96B9D">
        <w:rPr>
          <w:rFonts w:cs="Times"/>
        </w:rPr>
        <w:t>[5]</w:t>
      </w:r>
      <w:r w:rsidR="00756E81">
        <w:fldChar w:fldCharType="end"/>
      </w:r>
      <w:r w:rsidR="00756E81" w:rsidRPr="00E27D13">
        <w:t>.</w:t>
      </w:r>
      <w:r w:rsidR="00E16F59">
        <w:t xml:space="preserve"> </w:t>
      </w:r>
      <w:r w:rsidR="00E27D13" w:rsidRPr="00E27D13">
        <w:t xml:space="preserve">Additionally, meaningful game elements such as </w:t>
      </w:r>
      <w:r>
        <w:t xml:space="preserve">multimodal feedback, </w:t>
      </w:r>
      <w:r w:rsidR="00E27D13" w:rsidRPr="00E27D13">
        <w:t xml:space="preserve">can give new insights and understanding on ways to retain the attention of users and customers. </w:t>
      </w:r>
    </w:p>
    <w:p w14:paraId="1391760B" w14:textId="7D09D2BE" w:rsidR="00C25D05" w:rsidRPr="009A3755" w:rsidRDefault="00E27D13" w:rsidP="00C25D05">
      <w:pPr>
        <w:pStyle w:val="heading1"/>
        <w:numPr>
          <w:ilvl w:val="0"/>
          <w:numId w:val="4"/>
        </w:numPr>
      </w:pPr>
      <w:r>
        <w:t>Methods</w:t>
      </w:r>
    </w:p>
    <w:p w14:paraId="2C9A305B" w14:textId="271307A8" w:rsidR="00C25D05" w:rsidRPr="009A3755" w:rsidRDefault="003B2FD0" w:rsidP="007D267C">
      <w:pPr>
        <w:pStyle w:val="heading2"/>
      </w:pPr>
      <w:r>
        <w:t>Apparatus</w:t>
      </w:r>
      <w:r w:rsidR="00C25D05" w:rsidRPr="009A3755">
        <w:t xml:space="preserve"> </w:t>
      </w:r>
    </w:p>
    <w:p w14:paraId="6D4F8B97" w14:textId="3A9EC5B1" w:rsidR="003B2FD0" w:rsidRDefault="007D267C" w:rsidP="00C25D05">
      <w:pPr>
        <w:ind w:firstLine="0"/>
      </w:pPr>
      <w:r w:rsidRPr="007D267C">
        <w:t xml:space="preserve">The wearable interface consisted of a light sensor and three different types of actuators: a RGB </w:t>
      </w:r>
      <w:r w:rsidR="002000AA" w:rsidRPr="007D267C">
        <w:t>led</w:t>
      </w:r>
      <w:r w:rsidR="002000AA">
        <w:t>,</w:t>
      </w:r>
      <w:r w:rsidRPr="007D267C">
        <w:t xml:space="preserve"> a buzzer and a vibe motor. </w:t>
      </w:r>
      <w:r w:rsidR="00E16F59">
        <w:t xml:space="preserve">All components were connected to a </w:t>
      </w:r>
      <w:r w:rsidR="003B2FD0">
        <w:t>Lilyp</w:t>
      </w:r>
      <w:r w:rsidR="00E16F59">
        <w:t>ad Arduino using a conductive thread</w:t>
      </w:r>
      <w:r w:rsidR="003B2FD0">
        <w:t xml:space="preserve"> (see Fig. 1)</w:t>
      </w:r>
      <w:r w:rsidR="00E16F59">
        <w:t xml:space="preserve">. </w:t>
      </w:r>
      <w:r w:rsidRPr="007D267C">
        <w:t xml:space="preserve">Therefore, the multimodal feedback stimuli </w:t>
      </w:r>
      <w:r w:rsidR="00C739F8" w:rsidRPr="007D267C">
        <w:t>w</w:t>
      </w:r>
      <w:r w:rsidR="00C739F8">
        <w:t>as</w:t>
      </w:r>
      <w:r w:rsidRPr="007D267C">
        <w:t xml:space="preserve"> designed as a combination of audio, tactile and visual information. </w:t>
      </w:r>
    </w:p>
    <w:p w14:paraId="5DD63B7D" w14:textId="1E8BA383" w:rsidR="003B2FD0" w:rsidRDefault="003B2FD0" w:rsidP="00F631CD">
      <w:pPr>
        <w:ind w:firstLine="0"/>
      </w:pPr>
    </w:p>
    <w:p w14:paraId="5F303A1C" w14:textId="7845DEA7" w:rsidR="00F631CD" w:rsidRDefault="00D94B60" w:rsidP="00F631CD">
      <w:pPr>
        <w:ind w:firstLine="0"/>
      </w:pPr>
      <w:r>
        <w:rPr>
          <w:noProof/>
          <w:lang w:val="es-MX" w:eastAsia="es-MX"/>
        </w:rPr>
        <w:drawing>
          <wp:inline distT="0" distB="0" distL="0" distR="0" wp14:anchorId="6C62A00B" wp14:editId="5C7B10F1">
            <wp:extent cx="4800600" cy="2705100"/>
            <wp:effectExtent l="0" t="0" r="0" b="0"/>
            <wp:docPr id="16" name="Imagen 16" descr="C:\Users\Asus\AppData\Local\Microsoft\Windows\INetCache\Content.Word\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705100"/>
                    </a:xfrm>
                    <a:prstGeom prst="rect">
                      <a:avLst/>
                    </a:prstGeom>
                    <a:noFill/>
                    <a:ln>
                      <a:noFill/>
                    </a:ln>
                  </pic:spPr>
                </pic:pic>
              </a:graphicData>
            </a:graphic>
          </wp:inline>
        </w:drawing>
      </w:r>
    </w:p>
    <w:p w14:paraId="7EB52271" w14:textId="5062E193" w:rsidR="003B2FD0" w:rsidRDefault="003B2FD0" w:rsidP="00F631CD">
      <w:pPr>
        <w:pStyle w:val="figurelegend"/>
        <w:jc w:val="center"/>
      </w:pPr>
      <w:r>
        <w:rPr>
          <w:b/>
        </w:rPr>
        <w:t>Fig. 1.</w:t>
      </w:r>
      <w:r>
        <w:t xml:space="preserve"> Wearable Interface Components</w:t>
      </w:r>
    </w:p>
    <w:p w14:paraId="3E9DAE6D" w14:textId="77777777" w:rsidR="00834B91" w:rsidRPr="00834B91" w:rsidRDefault="00834B91" w:rsidP="00834B91"/>
    <w:p w14:paraId="3D3F6760" w14:textId="1E1E96C4" w:rsidR="00C25D05" w:rsidRPr="00A8258F" w:rsidRDefault="003B2FD0" w:rsidP="00F631CD">
      <w:pPr>
        <w:ind w:firstLine="0"/>
      </w:pPr>
      <w:r>
        <w:t xml:space="preserve">The electronic components were sewed into socks that the users have to wear in one foot. </w:t>
      </w:r>
      <w:r w:rsidR="007D267C" w:rsidRPr="007D267C">
        <w:t xml:space="preserve">A conventional laser pointer was given to be used in conjunction with the light sensor to activate the interaction. When the laser pointed to the light </w:t>
      </w:r>
      <w:r w:rsidR="002000AA" w:rsidRPr="007D267C">
        <w:t>sensor,</w:t>
      </w:r>
      <w:r w:rsidR="007D267C" w:rsidRPr="007D267C">
        <w:t xml:space="preserve"> the feedback system was activated</w:t>
      </w:r>
      <w:r>
        <w:t xml:space="preserve"> (see Fig. 2)</w:t>
      </w:r>
      <w:r w:rsidR="007D267C" w:rsidRPr="007D267C">
        <w:t>.</w:t>
      </w:r>
    </w:p>
    <w:p w14:paraId="3E044670" w14:textId="3F48031A" w:rsidR="00C25D05" w:rsidRDefault="00D94B60" w:rsidP="00F631CD">
      <w:pPr>
        <w:spacing w:before="220" w:after="220"/>
        <w:jc w:val="center"/>
      </w:pPr>
      <w:r>
        <w:rPr>
          <w:noProof/>
          <w:lang w:val="es-MX" w:eastAsia="es-MX"/>
        </w:rPr>
        <w:drawing>
          <wp:inline distT="0" distB="0" distL="0" distR="0" wp14:anchorId="12A27F63" wp14:editId="4784734C">
            <wp:extent cx="4391025" cy="2552700"/>
            <wp:effectExtent l="0" t="0" r="9525" b="0"/>
            <wp:docPr id="12" name="Imagen 12" descr="C:\Users\Asus\AppData\Local\Microsoft\Windows\INetCache\Content.Word\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Local\Microsoft\Windows\INetCache\Content.Word\0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552700"/>
                    </a:xfrm>
                    <a:prstGeom prst="rect">
                      <a:avLst/>
                    </a:prstGeom>
                    <a:noFill/>
                    <a:ln>
                      <a:noFill/>
                    </a:ln>
                  </pic:spPr>
                </pic:pic>
              </a:graphicData>
            </a:graphic>
          </wp:inline>
        </w:drawing>
      </w:r>
      <w:r w:rsidR="00C25D05">
        <w:rPr>
          <w:b/>
        </w:rPr>
        <w:t xml:space="preserve">Fig. </w:t>
      </w:r>
      <w:r w:rsidR="003B2FD0">
        <w:rPr>
          <w:b/>
        </w:rPr>
        <w:t>2</w:t>
      </w:r>
      <w:r w:rsidR="00C25D05">
        <w:rPr>
          <w:b/>
        </w:rPr>
        <w:t>.</w:t>
      </w:r>
      <w:r w:rsidR="00C25D05">
        <w:t xml:space="preserve"> </w:t>
      </w:r>
      <w:r w:rsidR="007D267C">
        <w:t>Wearable Interface with Multi-Modal Feedback</w:t>
      </w:r>
      <w:r w:rsidR="00C25D05">
        <w:t xml:space="preserve"> </w:t>
      </w:r>
    </w:p>
    <w:p w14:paraId="450F0643" w14:textId="1DAFAE6E" w:rsidR="00C25D05" w:rsidRPr="009A3755" w:rsidRDefault="007D267C" w:rsidP="007D267C">
      <w:pPr>
        <w:pStyle w:val="heading2"/>
      </w:pPr>
      <w:r w:rsidRPr="007D267C">
        <w:t xml:space="preserve">Subjects and Task </w:t>
      </w:r>
    </w:p>
    <w:p w14:paraId="207997CE" w14:textId="63401BA3" w:rsidR="00C25D05" w:rsidRDefault="00812219" w:rsidP="00C25D05">
      <w:r>
        <w:t>Ten</w:t>
      </w:r>
      <w:r w:rsidR="00834B91">
        <w:t xml:space="preserve"> v</w:t>
      </w:r>
      <w:r w:rsidR="007D267C" w:rsidRPr="007D267C">
        <w:t>olunteers</w:t>
      </w:r>
      <w:r w:rsidR="00834B91">
        <w:t xml:space="preserve"> (</w:t>
      </w:r>
      <w:r>
        <w:t>three</w:t>
      </w:r>
      <w:r w:rsidR="00834B91">
        <w:t xml:space="preserve"> males and </w:t>
      </w:r>
      <w:r>
        <w:t>seven</w:t>
      </w:r>
      <w:r w:rsidR="00834B91">
        <w:t xml:space="preserve"> females; 19 years old in average) </w:t>
      </w:r>
      <w:r w:rsidR="007D267C" w:rsidRPr="007D267C">
        <w:t>participated in the evaluation of the interface. All were naive to the purpose of the study and were instructed to wear the interface</w:t>
      </w:r>
      <w:r w:rsidR="00834B91">
        <w:t xml:space="preserve"> in their dominant foot</w:t>
      </w:r>
      <w:r w:rsidR="007D267C" w:rsidRPr="007D267C">
        <w:t xml:space="preserve">. We asked participants to play a total of </w:t>
      </w:r>
      <w:r w:rsidR="00EC0EB4">
        <w:t>four</w:t>
      </w:r>
      <w:r w:rsidR="007D267C" w:rsidRPr="007D267C">
        <w:t xml:space="preserve"> r</w:t>
      </w:r>
      <w:r w:rsidR="00DB6F12">
        <w:t>ounds. In each round, they were instructed to abide by fixed rules or to</w:t>
      </w:r>
      <w:r w:rsidR="007D267C" w:rsidRPr="007D267C">
        <w:t xml:space="preserve"> change the rules for the next round.</w:t>
      </w:r>
      <w:r w:rsidR="00DB6F12">
        <w:t xml:space="preserve"> </w:t>
      </w:r>
      <w:r>
        <w:t>The order of the latter instruction was</w:t>
      </w:r>
      <w:r w:rsidR="00EC0EB4">
        <w:t xml:space="preserve"> randomized for each game of four</w:t>
      </w:r>
      <w:r>
        <w:t xml:space="preserve"> rounds </w:t>
      </w:r>
      <w:r w:rsidR="00185503">
        <w:t xml:space="preserve">always ensuring </w:t>
      </w:r>
      <w:r w:rsidR="00EC0EB4">
        <w:t>that players had two</w:t>
      </w:r>
      <w:r>
        <w:t xml:space="preserve"> r</w:t>
      </w:r>
      <w:r w:rsidR="00EC0EB4">
        <w:t>ounds with fixed rules and two</w:t>
      </w:r>
      <w:r>
        <w:t xml:space="preserve"> rounds with socially mediated rules.</w:t>
      </w:r>
    </w:p>
    <w:p w14:paraId="73C18044" w14:textId="02611B46" w:rsidR="00C25D05" w:rsidRPr="009A3755" w:rsidRDefault="007D267C" w:rsidP="007D267C">
      <w:pPr>
        <w:pStyle w:val="heading2"/>
      </w:pPr>
      <w:r w:rsidRPr="007D267C">
        <w:t xml:space="preserve">Evaluation </w:t>
      </w:r>
    </w:p>
    <w:p w14:paraId="6162B284" w14:textId="782F4063" w:rsidR="00C25D05" w:rsidRPr="00794BC4" w:rsidRDefault="007D267C" w:rsidP="00C25D05">
      <w:pPr>
        <w:pStyle w:val="p1a"/>
      </w:pPr>
      <w:r w:rsidRPr="007D267C">
        <w:t xml:space="preserve">We designed and conducted evaluations of the interface performance focusing on two main components: the multimodal feedback system, and the involvement in game design over several rounds. The NASA-TLX was used as a tool to assess the perceived workload for each player on each round. Also, players’ accuracy and response time were recorded </w:t>
      </w:r>
      <w:commentRangeStart w:id="0"/>
      <w:r w:rsidRPr="007D267C">
        <w:t>by the wearable interface</w:t>
      </w:r>
      <w:commentRangeEnd w:id="0"/>
      <w:r w:rsidR="00DE19CB">
        <w:rPr>
          <w:rStyle w:val="Refdecomentario"/>
        </w:rPr>
        <w:commentReference w:id="0"/>
      </w:r>
      <w:r w:rsidRPr="007D267C">
        <w:t>. To evaluate user engagement, the game sessions were recorded on video and analyzed manually to extract the different game strategies but also human gestures associated with frustration or enjoyment.</w:t>
      </w:r>
      <w:r w:rsidR="00C25D05" w:rsidRPr="00794BC4">
        <w:t xml:space="preserve"> </w:t>
      </w:r>
      <w:r w:rsidR="00834B91">
        <w:t xml:space="preserve">This approach is fundamentally different from the UES questionnaire where the responses are bias by the </w:t>
      </w:r>
      <w:r w:rsidR="00812219">
        <w:t>user’s</w:t>
      </w:r>
      <w:r w:rsidR="005F23AC">
        <w:t xml:space="preserve"> perceptions of their interaction. Here, the four dimensions of UE, were deducted from a combination of user perceptions (NASA-TLX), quantitative objective data (from the wearable interface) and subjective interpretation by qualified evaluators (video analysis).</w:t>
      </w:r>
    </w:p>
    <w:p w14:paraId="7437BDC7" w14:textId="499228D5" w:rsidR="00C25D05" w:rsidRDefault="007D267C" w:rsidP="007D267C">
      <w:pPr>
        <w:pStyle w:val="heading1"/>
      </w:pPr>
      <w:r w:rsidRPr="007D267C">
        <w:t>Results</w:t>
      </w:r>
    </w:p>
    <w:p w14:paraId="554EFC16" w14:textId="5229ABD6" w:rsidR="007805D2" w:rsidRPr="009A3755" w:rsidRDefault="007805D2" w:rsidP="007805D2">
      <w:pPr>
        <w:pStyle w:val="heading2"/>
      </w:pPr>
      <w:r>
        <w:t xml:space="preserve">Multi-Modal Feedback System </w:t>
      </w:r>
      <w:commentRangeStart w:id="1"/>
      <w:r w:rsidRPr="007D267C">
        <w:t>Evaluation</w:t>
      </w:r>
      <w:commentRangeEnd w:id="1"/>
      <w:r w:rsidR="00D94B60">
        <w:rPr>
          <w:rStyle w:val="Refdecomentario"/>
          <w:b w:val="0"/>
          <w:bCs w:val="0"/>
          <w:iCs w:val="0"/>
        </w:rPr>
        <w:commentReference w:id="1"/>
      </w:r>
      <w:r w:rsidRPr="007D267C">
        <w:t xml:space="preserve"> </w:t>
      </w:r>
    </w:p>
    <w:p w14:paraId="551BB69D" w14:textId="2D713A8C" w:rsidR="00B231A5" w:rsidRDefault="00DD1BD2" w:rsidP="00812219">
      <w:r w:rsidRPr="00DD1BD2">
        <w:t xml:space="preserve">Experimental results show that the wearable interface is comfortable and imperceptible during the development of the game since the players understood the meaning of each multimodal feedback from the first round. </w:t>
      </w:r>
      <w:r w:rsidR="007805D2">
        <w:t xml:space="preserve">The users were not instructed </w:t>
      </w:r>
      <w:commentRangeStart w:id="2"/>
      <w:r w:rsidR="007805D2">
        <w:t xml:space="preserve">about how to interpret the feedback </w:t>
      </w:r>
      <w:commentRangeEnd w:id="2"/>
      <w:r w:rsidR="00DE19CB">
        <w:rPr>
          <w:rStyle w:val="Refdecomentario"/>
        </w:rPr>
        <w:commentReference w:id="2"/>
      </w:r>
      <w:r w:rsidR="007805D2">
        <w:t xml:space="preserve">system nor were they aware of its multimodality. They only were told to point to the opponent light sensor to initiate the competitive interaction. </w:t>
      </w:r>
      <w:r w:rsidR="006060AA">
        <w:t xml:space="preserve">All users associated the visual feedback with the status of the player in the game; the green light was associated </w:t>
      </w:r>
      <w:r w:rsidR="00185503">
        <w:t xml:space="preserve">with the </w:t>
      </w:r>
      <w:r w:rsidR="006060AA">
        <w:t xml:space="preserve">start of the game, the yellow light was related to a warning to a possible loss of the round and the red light was associated with the end of the interaction. The color metaphor that resembles the traffic light rules was selected by the users for their interaction. The tactile feedback was given when the light sensor was activated; one vibration of two seconds meant a hit </w:t>
      </w:r>
      <w:r w:rsidR="00D35861">
        <w:t xml:space="preserve">(light sensor activation) </w:t>
      </w:r>
      <w:r w:rsidR="006060AA">
        <w:t>and two consecutive vibrations meant the end of the round.</w:t>
      </w:r>
      <w:r w:rsidR="00D35861">
        <w:t xml:space="preserve"> Lastly, t</w:t>
      </w:r>
      <w:r w:rsidR="006060AA">
        <w:t>he audio feedback indicated the start</w:t>
      </w:r>
      <w:r w:rsidR="007805D2">
        <w:t xml:space="preserve"> and ending of the round and the activation of the light sensor</w:t>
      </w:r>
      <w:r w:rsidR="00D35861">
        <w:t xml:space="preserve"> using different sounds</w:t>
      </w:r>
      <w:r w:rsidR="007805D2">
        <w:t>. In summary, the wearable interface with a multimodal feedback that reinforces the meaningful aspects of the interaction was</w:t>
      </w:r>
      <w:r w:rsidR="00D35861">
        <w:t xml:space="preserve"> successful in conveying simple and concrete feedback that support the interaction without introducing confusion  </w:t>
      </w:r>
      <w:r w:rsidR="00EF3EF2">
        <w:t>or frustration with the interface.</w:t>
      </w:r>
    </w:p>
    <w:p w14:paraId="425239FE" w14:textId="77777777" w:rsidR="007805D2" w:rsidRDefault="007805D2" w:rsidP="00812219"/>
    <w:p w14:paraId="58CEDEA8" w14:textId="53520B87" w:rsidR="007805D2" w:rsidRPr="009A3755" w:rsidRDefault="007805D2" w:rsidP="007805D2">
      <w:pPr>
        <w:pStyle w:val="heading2"/>
      </w:pPr>
      <w:r>
        <w:t>Involvement in Game Design</w:t>
      </w:r>
      <w:r w:rsidRPr="007D267C">
        <w:t xml:space="preserve"> </w:t>
      </w:r>
    </w:p>
    <w:p w14:paraId="67879E40" w14:textId="4661A183" w:rsidR="007805D2" w:rsidRDefault="00A131F2" w:rsidP="00812219">
      <w:r>
        <w:t xml:space="preserve">Involvement in game design as a strategy to increase UE is difficult to measure. For this reason, we used a mixed approach with a combination of self-reported user perception, quantitative recording of response time and events by the interface and </w:t>
      </w:r>
      <w:r w:rsidR="005366AD">
        <w:t>a subjective video analysis of the interaction. By combining, these three sources of information, the four dimensions of UE can be derived and then contrasted between the two conditions, with or without fixed rules.</w:t>
      </w:r>
    </w:p>
    <w:p w14:paraId="6F498E9B" w14:textId="77777777" w:rsidR="00B231A5" w:rsidRDefault="00B231A5" w:rsidP="00812219"/>
    <w:p w14:paraId="73F0C173" w14:textId="4C49E993" w:rsidR="00B231A5" w:rsidRDefault="00B231A5" w:rsidP="00812219">
      <w:r>
        <w:rPr>
          <w:noProof/>
          <w:lang w:val="es-MX" w:eastAsia="es-MX"/>
        </w:rPr>
        <w:drawing>
          <wp:inline distT="0" distB="0" distL="0" distR="0" wp14:anchorId="4A927B27" wp14:editId="35AF9F63">
            <wp:extent cx="4196241" cy="2988310"/>
            <wp:effectExtent l="0" t="0" r="0" b="2540"/>
            <wp:docPr id="1" name="Gráfico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3A3D67" w14:textId="3D5EB8B6" w:rsidR="00B231A5" w:rsidRDefault="00B231A5" w:rsidP="00B231A5">
      <w:pPr>
        <w:pStyle w:val="figurelegend"/>
      </w:pPr>
      <w:r>
        <w:rPr>
          <w:b/>
        </w:rPr>
        <w:t>Fig. 3.</w:t>
      </w:r>
      <w:r>
        <w:t xml:space="preserve"> Nasa TLX results. </w:t>
      </w:r>
    </w:p>
    <w:p w14:paraId="3E9983B6" w14:textId="081457FE" w:rsidR="00C25D05" w:rsidRDefault="00DD1BD2" w:rsidP="00812219">
      <w:r w:rsidRPr="00DD1BD2">
        <w:t xml:space="preserve">The involvement in game design, which were </w:t>
      </w:r>
      <w:r w:rsidR="002000AA" w:rsidRPr="00DD1BD2">
        <w:t>socially mediated</w:t>
      </w:r>
      <w:r w:rsidRPr="00DD1BD2">
        <w:t xml:space="preserve"> instead of imposed increased user engagement. This </w:t>
      </w:r>
      <w:r w:rsidRPr="000627DC">
        <w:t>skewed</w:t>
      </w:r>
      <w:r w:rsidRPr="00DD1BD2">
        <w:t xml:space="preserve"> engagement became evident as </w:t>
      </w:r>
      <w:r w:rsidR="00144342">
        <w:t xml:space="preserve">the users perceived the game with socially mediated rules </w:t>
      </w:r>
      <w:r w:rsidRPr="00DD1BD2">
        <w:t xml:space="preserve">as more </w:t>
      </w:r>
      <w:r w:rsidR="00144342">
        <w:t xml:space="preserve">physically </w:t>
      </w:r>
      <w:r w:rsidRPr="00DD1BD2">
        <w:t xml:space="preserve">demanding </w:t>
      </w:r>
      <w:r w:rsidR="00144342">
        <w:t>and required more</w:t>
      </w:r>
      <w:r w:rsidRPr="00DD1BD2">
        <w:t xml:space="preserve"> effort</w:t>
      </w:r>
      <w:r w:rsidR="00144342">
        <w:t xml:space="preserve"> (see Fig. 3)</w:t>
      </w:r>
      <w:r w:rsidRPr="00DD1BD2">
        <w:t xml:space="preserve">. </w:t>
      </w:r>
      <w:r w:rsidR="00144342">
        <w:t xml:space="preserve">The mental demand, performance perception and perceived frustration was not significantly different between the two conditions. However, the users perceived that the temporal demand was lower when the rules were self-imposed by them. </w:t>
      </w:r>
      <w:r w:rsidR="009C20DA">
        <w:t xml:space="preserve">Additionally, the time spend in the socially mediated rules condition was in average 20 % longer than the time spend in the fixed rule condition. </w:t>
      </w:r>
    </w:p>
    <w:p w14:paraId="118354FB" w14:textId="77777777" w:rsidR="009C20DA" w:rsidRDefault="009C20DA" w:rsidP="00812219"/>
    <w:p w14:paraId="36D1CA25" w14:textId="59B9A9F8" w:rsidR="0004220B" w:rsidRDefault="0004220B" w:rsidP="00812219">
      <w:commentRangeStart w:id="3"/>
      <w:r>
        <w:rPr>
          <w:noProof/>
          <w:lang w:val="es-MX" w:eastAsia="es-MX"/>
        </w:rPr>
        <w:drawing>
          <wp:inline distT="0" distB="0" distL="0" distR="0" wp14:anchorId="42BA7C1D" wp14:editId="337C6C2B">
            <wp:extent cx="4005618" cy="2225580"/>
            <wp:effectExtent l="0" t="0" r="0" b="3810"/>
            <wp:docPr id="4" name="Gráfico 4"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3"/>
      <w:r w:rsidR="00D94B60">
        <w:rPr>
          <w:rStyle w:val="Refdecomentario"/>
        </w:rPr>
        <w:commentReference w:id="3"/>
      </w:r>
    </w:p>
    <w:p w14:paraId="32349F21" w14:textId="28FD3ACB" w:rsidR="0004220B" w:rsidRDefault="0004220B" w:rsidP="0004220B">
      <w:pPr>
        <w:pStyle w:val="figurelegend"/>
      </w:pPr>
      <w:r>
        <w:rPr>
          <w:b/>
        </w:rPr>
        <w:t>Fig. 4.</w:t>
      </w:r>
      <w:r>
        <w:t xml:space="preserve"> </w:t>
      </w:r>
      <w:r w:rsidR="00EF3EF2">
        <w:t>Video Analysis Results</w:t>
      </w:r>
      <w:r>
        <w:t xml:space="preserve">. </w:t>
      </w:r>
    </w:p>
    <w:p w14:paraId="56277E2D" w14:textId="4848408A" w:rsidR="00144342" w:rsidRDefault="00144342" w:rsidP="00144342">
      <w:r w:rsidRPr="00DD1BD2">
        <w:t xml:space="preserve">In addition, the video recordings showed increased gestures of enjoyment </w:t>
      </w:r>
      <w:r w:rsidR="00DB1189">
        <w:t>when</w:t>
      </w:r>
      <w:r w:rsidRPr="00DD1BD2">
        <w:t xml:space="preserve"> the game </w:t>
      </w:r>
      <w:r w:rsidR="00DB1189">
        <w:t>obeyed the self-imposed rules</w:t>
      </w:r>
      <w:r w:rsidRPr="00DD1BD2">
        <w:t>.</w:t>
      </w:r>
      <w:r w:rsidR="005366AD">
        <w:t xml:space="preserve"> The subjective video analysis (see Fig. 4) classified users in th</w:t>
      </w:r>
      <w:r w:rsidR="00DB1189">
        <w:t>re</w:t>
      </w:r>
      <w:r w:rsidR="005366AD">
        <w:t>e</w:t>
      </w:r>
      <w:r w:rsidR="00DB1189">
        <w:t xml:space="preserve"> different categories depending to expressions of frustration, laughter and self-reported satisfaction and commentary by users. The three classes </w:t>
      </w:r>
      <w:commentRangeStart w:id="4"/>
      <w:r w:rsidR="00DB1189">
        <w:t>were excellent, very good and good</w:t>
      </w:r>
      <w:commentRangeEnd w:id="4"/>
      <w:r w:rsidR="00D94B60">
        <w:rPr>
          <w:rStyle w:val="Refdecomentario"/>
        </w:rPr>
        <w:commentReference w:id="4"/>
      </w:r>
      <w:r w:rsidR="00DB1189">
        <w:t xml:space="preserve">. The difference between the classes were the number of interactions, </w:t>
      </w:r>
      <w:r w:rsidR="009C20DA">
        <w:t>the number of laughs or frustration expressions interpreted in the video. The results showed that the socially mediated rules rounds were classified</w:t>
      </w:r>
      <w:r w:rsidR="00CA3150">
        <w:t xml:space="preserve"> with greater likelihood </w:t>
      </w:r>
      <w:r w:rsidR="009C20DA">
        <w:t xml:space="preserve">in the top class </w:t>
      </w:r>
      <w:r w:rsidR="00CA3150">
        <w:t xml:space="preserve">than </w:t>
      </w:r>
      <w:r w:rsidR="009C20DA">
        <w:t xml:space="preserve">the fixed rules condition. </w:t>
      </w:r>
      <w:r w:rsidR="001234BE">
        <w:t xml:space="preserve">The expressions of enjoyment, such as laughter and jokes increased by 20% as well as interactions between players, such as speech and physical contact. This did not only happened during the rounds but also before and after each round. Although the physical and social effort was greater without fixed rules, the level of satisfaction </w:t>
      </w:r>
      <w:r w:rsidR="00CA3150">
        <w:t xml:space="preserve">was </w:t>
      </w:r>
      <w:r w:rsidR="001234BE">
        <w:t xml:space="preserve">greater too.  </w:t>
      </w:r>
      <w:r w:rsidR="005366AD">
        <w:t xml:space="preserve"> </w:t>
      </w:r>
    </w:p>
    <w:p w14:paraId="0F805982" w14:textId="473BEAD9" w:rsidR="009C20DA" w:rsidRPr="00144342" w:rsidRDefault="009C20DA" w:rsidP="00144342">
      <w:r>
        <w:t>The four dimension of UE, namely the</w:t>
      </w:r>
      <w:r w:rsidR="00CA3150">
        <w:t xml:space="preserve"> </w:t>
      </w:r>
      <w:r w:rsidR="00CA3150" w:rsidRPr="00372F77">
        <w:t>Aesthetic appeal</w:t>
      </w:r>
      <w:r w:rsidR="00CA3150">
        <w:t>,</w:t>
      </w:r>
      <w:r>
        <w:t xml:space="preserve"> </w:t>
      </w:r>
      <w:r w:rsidRPr="00372F77">
        <w:t>Perceived usability</w:t>
      </w:r>
      <w:r>
        <w:t xml:space="preserve">, </w:t>
      </w:r>
      <w:r w:rsidR="000627DC" w:rsidRPr="00372F77">
        <w:t>Focused attention</w:t>
      </w:r>
      <w:r w:rsidR="000627DC">
        <w:t xml:space="preserve">, </w:t>
      </w:r>
      <w:r>
        <w:t xml:space="preserve">and Reward Factor, can </w:t>
      </w:r>
      <w:r w:rsidR="00C739F8">
        <w:t xml:space="preserve">be </w:t>
      </w:r>
      <w:r w:rsidR="00DA61DA">
        <w:t>derive</w:t>
      </w:r>
      <w:r w:rsidR="00C739F8">
        <w:t>d</w:t>
      </w:r>
      <w:r w:rsidR="00DA61DA">
        <w:t xml:space="preserve"> from our results. The </w:t>
      </w:r>
      <w:r w:rsidR="00CA3150">
        <w:t xml:space="preserve">Aesthetic </w:t>
      </w:r>
      <w:r>
        <w:t>appeal of our interface was evaluated by implementing a multimodal feedback system that ensured an imperceptible feedback with congruent multimodal information of meaningful interactions. The</w:t>
      </w:r>
      <w:r w:rsidR="00DA61DA">
        <w:t xml:space="preserve"> </w:t>
      </w:r>
      <w:r w:rsidR="00CA3150">
        <w:t xml:space="preserve">Perceived </w:t>
      </w:r>
      <w:r>
        <w:t>usability was evaluated for both</w:t>
      </w:r>
      <w:r w:rsidR="00CA3150">
        <w:t>,</w:t>
      </w:r>
      <w:r>
        <w:t xml:space="preserve"> test and c</w:t>
      </w:r>
      <w:r w:rsidR="00DA61DA">
        <w:t>ontrol conditions (with or without fixed rules) using the NASA-TLX</w:t>
      </w:r>
      <w:r>
        <w:t xml:space="preserve"> instrument</w:t>
      </w:r>
      <w:r w:rsidR="00DA61DA">
        <w:t xml:space="preserve"> and video analysis</w:t>
      </w:r>
      <w:r>
        <w:t xml:space="preserve">. </w:t>
      </w:r>
      <w:r w:rsidR="00DA61DA">
        <w:t xml:space="preserve">The results showed that the fixed rule condition had a lower perceived usability. The </w:t>
      </w:r>
      <w:r w:rsidR="00CA3150">
        <w:t xml:space="preserve">Focused </w:t>
      </w:r>
      <w:r w:rsidR="00DA61DA">
        <w:t xml:space="preserve">attention dimension of UE was measured using a combination of recorded response time, NASA-TLX responses and video analysis. The results showed that when in the socially mediated rules condition, users spend more time but </w:t>
      </w:r>
      <w:bookmarkStart w:id="5" w:name="_GoBack"/>
      <w:bookmarkEnd w:id="5"/>
      <w:r w:rsidR="00DA61DA">
        <w:t xml:space="preserve">felt that the temporal demand was lower. Finally, the </w:t>
      </w:r>
      <w:r w:rsidR="000627DC">
        <w:t xml:space="preserve">Reward </w:t>
      </w:r>
      <w:r w:rsidR="00DA61DA">
        <w:t xml:space="preserve">factor was tested with the video analysis and commentaries from the users. </w:t>
      </w:r>
      <w:commentRangeStart w:id="6"/>
      <w:r w:rsidR="00DA61DA">
        <w:t>Users responses agreed that self-directed rules were more engaging and satisfying</w:t>
      </w:r>
      <w:commentRangeEnd w:id="6"/>
      <w:r w:rsidR="00D94B60">
        <w:rPr>
          <w:rStyle w:val="Refdecomentario"/>
        </w:rPr>
        <w:commentReference w:id="6"/>
      </w:r>
      <w:r w:rsidR="00DA61DA">
        <w:t xml:space="preserve">.   </w:t>
      </w:r>
      <w:r>
        <w:t xml:space="preserve">  </w:t>
      </w:r>
    </w:p>
    <w:p w14:paraId="225EB217" w14:textId="77AD8B8E" w:rsidR="00C25D05" w:rsidRDefault="00DD1BD2" w:rsidP="00DD1BD2">
      <w:pPr>
        <w:pStyle w:val="heading1"/>
      </w:pPr>
      <w:r w:rsidRPr="00DD1BD2">
        <w:t>Conclusion</w:t>
      </w:r>
    </w:p>
    <w:p w14:paraId="7284D934" w14:textId="462A236B" w:rsidR="00C25D05" w:rsidRPr="009F4136" w:rsidRDefault="00DD1BD2" w:rsidP="00C25D05">
      <w:pPr>
        <w:pStyle w:val="p1a"/>
      </w:pPr>
      <w:r w:rsidRPr="00DD1BD2">
        <w:t xml:space="preserve">We introduced a wearable interface that is comfortable and imperceptible. The interface is simple enough </w:t>
      </w:r>
      <w:r w:rsidR="00DB6F12">
        <w:t xml:space="preserve">for users </w:t>
      </w:r>
      <w:r w:rsidRPr="00DD1BD2">
        <w:t>to be able to add game modes based on social agreements which demonstrates how meaningful multimodal feedback and self-directed involvement in game design can tackle several human factors challenges fac</w:t>
      </w:r>
      <w:r>
        <w:t>ed by user engagement designers</w:t>
      </w:r>
      <w:r w:rsidR="00C25D05">
        <w:t>.</w:t>
      </w:r>
    </w:p>
    <w:p w14:paraId="01731DD2" w14:textId="77777777" w:rsidR="00C25D05" w:rsidRPr="009A3755" w:rsidRDefault="00C25D05" w:rsidP="00C25D05">
      <w:pPr>
        <w:pStyle w:val="heading1"/>
        <w:numPr>
          <w:ilvl w:val="0"/>
          <w:numId w:val="0"/>
        </w:numPr>
      </w:pPr>
      <w:r w:rsidRPr="009A3755">
        <w:t>References</w:t>
      </w:r>
    </w:p>
    <w:p w14:paraId="384BA063" w14:textId="267224DD" w:rsidR="00C25D05" w:rsidRDefault="0004220B" w:rsidP="00C25D05">
      <w:pPr>
        <w:pStyle w:val="reference"/>
      </w:pPr>
      <w:r>
        <w:t>1.</w:t>
      </w:r>
      <w:r>
        <w:tab/>
        <w:t>O’Brien, H.L</w:t>
      </w:r>
      <w:r w:rsidR="00C25D05">
        <w:t xml:space="preserve">., </w:t>
      </w:r>
      <w:r>
        <w:t>Cairns</w:t>
      </w:r>
      <w:r w:rsidR="00C25D05">
        <w:t xml:space="preserve">, </w:t>
      </w:r>
      <w:r>
        <w:t>P</w:t>
      </w:r>
      <w:r w:rsidR="00C25D05">
        <w:t>.</w:t>
      </w:r>
      <w:r>
        <w:t>, Hall, M.</w:t>
      </w:r>
      <w:r w:rsidR="00C25D05">
        <w:t xml:space="preserve">: </w:t>
      </w:r>
      <w:r w:rsidRPr="0004220B">
        <w:t>A practical approach to measuring user enga</w:t>
      </w:r>
      <w:r>
        <w:t>gement with the refined user en</w:t>
      </w:r>
      <w:r w:rsidRPr="0004220B">
        <w:t>gagement scale (UES) and new UES short form</w:t>
      </w:r>
      <w:r w:rsidR="00C25D05">
        <w:t xml:space="preserve">. </w:t>
      </w:r>
      <w:r w:rsidRPr="0004220B">
        <w:t>Int. J. Hum.-Comput. Stud.</w:t>
      </w:r>
      <w:r>
        <w:t xml:space="preserve"> 112, 28--39 (2018</w:t>
      </w:r>
      <w:r w:rsidR="00C25D05">
        <w:t xml:space="preserve">)  </w:t>
      </w:r>
    </w:p>
    <w:p w14:paraId="4854B80D" w14:textId="1D07C424" w:rsidR="00C25D05" w:rsidRDefault="00C25D05" w:rsidP="00C25D05">
      <w:pPr>
        <w:pStyle w:val="reference"/>
      </w:pPr>
      <w:r>
        <w:t>2.</w:t>
      </w:r>
      <w:r>
        <w:tab/>
      </w:r>
      <w:r w:rsidR="0004220B" w:rsidRPr="0004220B">
        <w:t>Silpasuwanchai</w:t>
      </w:r>
      <w:r w:rsidRPr="00FA0BD0">
        <w:t xml:space="preserve">, </w:t>
      </w:r>
      <w:r w:rsidR="0004220B">
        <w:t>C</w:t>
      </w:r>
      <w:r w:rsidRPr="00FA0BD0">
        <w:t xml:space="preserve">., </w:t>
      </w:r>
      <w:r w:rsidR="0004220B">
        <w:t>Ren</w:t>
      </w:r>
      <w:r w:rsidRPr="00FA0BD0">
        <w:t xml:space="preserve">, </w:t>
      </w:r>
      <w:r w:rsidR="0004220B">
        <w:t>X</w:t>
      </w:r>
      <w:r w:rsidRPr="00FA0BD0">
        <w:t xml:space="preserve">.: </w:t>
      </w:r>
      <w:r w:rsidR="0004220B" w:rsidRPr="0004220B">
        <w:t>A Quick Look at Game Engagement Theories</w:t>
      </w:r>
      <w:r w:rsidRPr="00FA0BD0">
        <w:t xml:space="preserve">. </w:t>
      </w:r>
      <w:r w:rsidR="0004220B">
        <w:rPr>
          <w:lang w:val="de-DE"/>
        </w:rPr>
        <w:t>In: Norman, K.L</w:t>
      </w:r>
      <w:r w:rsidRPr="00FA0BD0">
        <w:rPr>
          <w:lang w:val="de-DE"/>
        </w:rPr>
        <w:t xml:space="preserve">., </w:t>
      </w:r>
      <w:r w:rsidR="0004220B" w:rsidRPr="0004220B">
        <w:rPr>
          <w:lang w:val="de-DE"/>
        </w:rPr>
        <w:t>Kirakowski,</w:t>
      </w:r>
      <w:r w:rsidRPr="00FA0BD0">
        <w:rPr>
          <w:lang w:val="de-DE"/>
        </w:rPr>
        <w:t xml:space="preserve">, </w:t>
      </w:r>
      <w:r w:rsidR="0004220B">
        <w:rPr>
          <w:lang w:val="de-DE"/>
        </w:rPr>
        <w:t>J</w:t>
      </w:r>
      <w:r w:rsidRPr="00FA0BD0">
        <w:rPr>
          <w:lang w:val="de-DE"/>
        </w:rPr>
        <w:t xml:space="preserve">. (eds.) </w:t>
      </w:r>
      <w:r w:rsidR="0004220B" w:rsidRPr="0004220B">
        <w:t>The Wiley Handbook of Human Computer Interaction</w:t>
      </w:r>
      <w:r w:rsidRPr="00FA0BD0">
        <w:t xml:space="preserve">. </w:t>
      </w:r>
      <w:r w:rsidR="0004220B" w:rsidRPr="0004220B">
        <w:t>John Wiley &amp; Sons, Ltd</w:t>
      </w:r>
      <w:r w:rsidRPr="00FA0BD0">
        <w:t xml:space="preserve">, pp. </w:t>
      </w:r>
      <w:r w:rsidR="0004220B">
        <w:t>657</w:t>
      </w:r>
      <w:r w:rsidRPr="00FA0BD0">
        <w:t>--</w:t>
      </w:r>
      <w:r w:rsidR="0004220B">
        <w:t>679</w:t>
      </w:r>
      <w:r w:rsidRPr="00FA0BD0">
        <w:t>. (20</w:t>
      </w:r>
      <w:r w:rsidR="0004220B">
        <w:t>18</w:t>
      </w:r>
      <w:r w:rsidRPr="00FA0BD0">
        <w:t>)</w:t>
      </w:r>
    </w:p>
    <w:p w14:paraId="7525B7F7" w14:textId="280DAC53" w:rsidR="00C25D05" w:rsidRPr="00FA0BD0" w:rsidRDefault="00C25D05" w:rsidP="00C25D05">
      <w:pPr>
        <w:pStyle w:val="reference"/>
      </w:pPr>
      <w:r>
        <w:t>3.</w:t>
      </w:r>
      <w:r>
        <w:tab/>
      </w:r>
      <w:r w:rsidR="00F930BB" w:rsidRPr="00F930BB">
        <w:t>Ryan</w:t>
      </w:r>
      <w:r w:rsidR="00F930BB">
        <w:t>, R.M</w:t>
      </w:r>
      <w:r w:rsidR="0004220B">
        <w:t xml:space="preserve">., </w:t>
      </w:r>
      <w:r w:rsidR="00F930BB" w:rsidRPr="00F930BB">
        <w:t>Deci</w:t>
      </w:r>
      <w:r w:rsidR="0004220B">
        <w:t xml:space="preserve">, </w:t>
      </w:r>
      <w:r w:rsidR="00F930BB">
        <w:t>E.L</w:t>
      </w:r>
      <w:r w:rsidR="0004220B">
        <w:t xml:space="preserve">.: </w:t>
      </w:r>
      <w:r w:rsidR="00F930BB" w:rsidRPr="00F930BB">
        <w:t xml:space="preserve">Self-determination theory and the facilitation of </w:t>
      </w:r>
      <w:r w:rsidR="00F930BB">
        <w:t>intrinsic motivation, social de</w:t>
      </w:r>
      <w:r w:rsidR="00F930BB" w:rsidRPr="00F930BB">
        <w:t>velopment, and well-being</w:t>
      </w:r>
      <w:r w:rsidR="0004220B">
        <w:t xml:space="preserve">. </w:t>
      </w:r>
      <w:r w:rsidR="00F930BB" w:rsidRPr="00F930BB">
        <w:t>Am. Psychol.</w:t>
      </w:r>
      <w:r w:rsidR="00F930BB">
        <w:t>55</w:t>
      </w:r>
      <w:r w:rsidR="0004220B">
        <w:t xml:space="preserve">, </w:t>
      </w:r>
      <w:r w:rsidR="00F930BB">
        <w:t>6</w:t>
      </w:r>
      <w:r w:rsidR="0004220B">
        <w:t>8--</w:t>
      </w:r>
      <w:r w:rsidR="00F930BB">
        <w:t>78</w:t>
      </w:r>
      <w:r w:rsidR="0004220B">
        <w:t xml:space="preserve"> </w:t>
      </w:r>
      <w:r w:rsidRPr="00FA0BD0">
        <w:t>(</w:t>
      </w:r>
      <w:r w:rsidR="0004220B">
        <w:t>2000</w:t>
      </w:r>
      <w:r w:rsidRPr="00FA0BD0">
        <w:t>)</w:t>
      </w:r>
    </w:p>
    <w:p w14:paraId="430F787D" w14:textId="2489FE51" w:rsidR="00C25D05" w:rsidRDefault="00C25D05" w:rsidP="00C25D05">
      <w:pPr>
        <w:pStyle w:val="reference"/>
      </w:pPr>
      <w:r>
        <w:t>4.</w:t>
      </w:r>
      <w:r>
        <w:tab/>
      </w:r>
      <w:r w:rsidR="00F930BB" w:rsidRPr="00F930BB">
        <w:t>Wiebe</w:t>
      </w:r>
      <w:r w:rsidR="00F930BB">
        <w:t xml:space="preserve">, E.N., </w:t>
      </w:r>
      <w:r w:rsidR="00F930BB" w:rsidRPr="00F930BB">
        <w:t>Lamb</w:t>
      </w:r>
      <w:r w:rsidR="00F930BB">
        <w:t>, A., Hardy, M.,</w:t>
      </w:r>
      <w:r w:rsidR="00F930BB" w:rsidRPr="00F930BB">
        <w:t xml:space="preserve"> Sharek</w:t>
      </w:r>
      <w:r w:rsidR="00F930BB">
        <w:t xml:space="preserve">, D.: </w:t>
      </w:r>
      <w:r w:rsidR="00F930BB" w:rsidRPr="00F930BB">
        <w:t>Measuring engagement in video game-based environments: Investigation of the User Engagement Scale</w:t>
      </w:r>
      <w:r w:rsidR="00F930BB">
        <w:t xml:space="preserve">. </w:t>
      </w:r>
      <w:r w:rsidR="00F930BB" w:rsidRPr="00F930BB">
        <w:t>Comput. Hum. Behav.</w:t>
      </w:r>
      <w:r w:rsidR="00F930BB">
        <w:t xml:space="preserve"> 32, 123--132 (2014)</w:t>
      </w:r>
    </w:p>
    <w:p w14:paraId="4161F6CD" w14:textId="67EB8962" w:rsidR="00C25D05" w:rsidRPr="00FA0BD0" w:rsidRDefault="00C25D05" w:rsidP="00F930BB">
      <w:pPr>
        <w:pStyle w:val="reference"/>
      </w:pPr>
      <w:r>
        <w:t>5.</w:t>
      </w:r>
      <w:r>
        <w:tab/>
      </w:r>
      <w:r w:rsidR="00F930BB">
        <w:t xml:space="preserve">O’Brien, H.L., Toms, E.G.: </w:t>
      </w:r>
      <w:r w:rsidR="00F930BB" w:rsidRPr="00F930BB">
        <w:t>What is user engagement? A conceptual framework for defining user engage-ment with technology</w:t>
      </w:r>
      <w:r w:rsidR="00F930BB">
        <w:t>. J. Am. Soc. Inf. Sci. Technol</w:t>
      </w:r>
      <w:r w:rsidR="00F930BB" w:rsidRPr="0004220B">
        <w:t>.</w:t>
      </w:r>
      <w:r w:rsidR="00F930BB">
        <w:t xml:space="preserve"> 59, 938--955 (2008)</w:t>
      </w:r>
    </w:p>
    <w:p w14:paraId="52CED0F2" w14:textId="536F2BEC" w:rsidR="00336943" w:rsidRDefault="00336943" w:rsidP="00ED0923">
      <w:pPr>
        <w:ind w:firstLine="0"/>
      </w:pPr>
    </w:p>
    <w:p w14:paraId="39355390" w14:textId="08011378" w:rsidR="00ED0923" w:rsidRPr="00C25D05" w:rsidRDefault="00ED0923" w:rsidP="00ED0923">
      <w:pPr>
        <w:ind w:firstLine="0"/>
      </w:pPr>
    </w:p>
    <w:sectPr w:rsidR="00ED0923" w:rsidRPr="00C25D05" w:rsidSect="00BE3A96">
      <w:type w:val="continuous"/>
      <w:pgSz w:w="11906" w:h="16838" w:code="9"/>
      <w:pgMar w:top="2952" w:right="2491" w:bottom="2952" w:left="2491" w:header="2376" w:footer="231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turo Gomez" w:date="2018-03-01T12:32:00Z" w:initials="AG">
    <w:p w14:paraId="4E8CEB6D" w14:textId="0D41C064" w:rsidR="00DE19CB" w:rsidRDefault="00DE19CB">
      <w:pPr>
        <w:pStyle w:val="Textocomentario"/>
      </w:pPr>
      <w:r>
        <w:rPr>
          <w:rStyle w:val="Refdecomentario"/>
        </w:rPr>
        <w:annotationRef/>
      </w:r>
      <w:r>
        <w:t>Se entiende que el dispositivo guardaba datos</w:t>
      </w:r>
    </w:p>
  </w:comment>
  <w:comment w:id="1" w:author="Arturo Gomez" w:date="2018-03-01T12:39:00Z" w:initials="AG">
    <w:p w14:paraId="59CC06DC" w14:textId="032FFC3E" w:rsidR="00D94B60" w:rsidRDefault="00D94B60">
      <w:pPr>
        <w:pStyle w:val="Textocomentario"/>
      </w:pPr>
      <w:r>
        <w:rPr>
          <w:rStyle w:val="Refdecomentario"/>
        </w:rPr>
        <w:annotationRef/>
      </w:r>
    </w:p>
  </w:comment>
  <w:comment w:id="2" w:author="Arturo Gomez" w:date="2018-03-01T12:34:00Z" w:initials="AG">
    <w:p w14:paraId="2E7E73DA" w14:textId="16416781" w:rsidR="00DE19CB" w:rsidRDefault="00DE19CB">
      <w:pPr>
        <w:pStyle w:val="Textocomentario"/>
      </w:pPr>
      <w:r>
        <w:rPr>
          <w:rStyle w:val="Refdecomentario"/>
        </w:rPr>
        <w:annotationRef/>
      </w:r>
      <w:r>
        <w:t>En realidad si, se les dijo algo como “cuando se apague significa que perdiste”</w:t>
      </w:r>
    </w:p>
  </w:comment>
  <w:comment w:id="3" w:author="Arturo Gomez" w:date="2018-03-01T12:39:00Z" w:initials="AG">
    <w:p w14:paraId="47D0412F" w14:textId="77777777" w:rsidR="00D94B60" w:rsidRDefault="00D94B60">
      <w:pPr>
        <w:pStyle w:val="Textocomentario"/>
      </w:pPr>
      <w:r>
        <w:rPr>
          <w:rStyle w:val="Refdecomentario"/>
        </w:rPr>
        <w:annotationRef/>
      </w:r>
      <w:r>
        <w:t>La escala tambien incluia “No muy Buena” y “Mala”</w:t>
      </w:r>
    </w:p>
    <w:p w14:paraId="2F5D1652" w14:textId="452F7A43" w:rsidR="00D94B60" w:rsidRDefault="00D94B60">
      <w:pPr>
        <w:pStyle w:val="Textocomentario"/>
      </w:pPr>
      <w:hyperlink r:id="rId1" w:history="1">
        <w:r w:rsidRPr="002D7DE0">
          <w:rPr>
            <w:rStyle w:val="Hipervnculo"/>
          </w:rPr>
          <w:t>https://docs.google.com/forms/d/1EK6lCg70de1GBcDM4_j0NCG6jIaZHhASnOFZ5wOdAzY/edit?usp=sharing</w:t>
        </w:r>
      </w:hyperlink>
    </w:p>
    <w:p w14:paraId="62EC9397" w14:textId="46C930AC" w:rsidR="00D94B60" w:rsidRDefault="00D94B60">
      <w:pPr>
        <w:pStyle w:val="Textocomentario"/>
      </w:pPr>
    </w:p>
  </w:comment>
  <w:comment w:id="4" w:author="Arturo Gomez" w:date="2018-03-01T12:43:00Z" w:initials="AG">
    <w:p w14:paraId="49723042" w14:textId="507AB3EF" w:rsidR="00D94B60" w:rsidRDefault="00D94B60">
      <w:pPr>
        <w:pStyle w:val="Textocomentario"/>
      </w:pPr>
      <w:r>
        <w:rPr>
          <w:rStyle w:val="Refdecomentario"/>
        </w:rPr>
        <w:annotationRef/>
      </w:r>
      <w:r>
        <w:t>Lo mismo, la escala era de 5. Igual esto refuerza el resultado de que las experiencia fueron positivas y asi se verían menos sesgadas las categorias</w:t>
      </w:r>
    </w:p>
  </w:comment>
  <w:comment w:id="6" w:author="Arturo Gomez" w:date="2018-03-01T12:48:00Z" w:initials="AG">
    <w:p w14:paraId="0E55A54E" w14:textId="0A6AFF45" w:rsidR="00D94B60" w:rsidRDefault="00D94B60">
      <w:pPr>
        <w:pStyle w:val="Textocomentario"/>
      </w:pPr>
      <w:r>
        <w:rPr>
          <w:rStyle w:val="Refdecomentario"/>
        </w:rPr>
        <w:annotationRef/>
      </w:r>
      <w:r>
        <w:t>Claro que sí!</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8CEB6D" w15:done="0"/>
  <w15:commentEx w15:paraId="59CC06DC" w15:done="0"/>
  <w15:commentEx w15:paraId="2E7E73DA" w15:done="0"/>
  <w15:commentEx w15:paraId="62EC9397" w15:done="0"/>
  <w15:commentEx w15:paraId="49723042" w15:done="0"/>
  <w15:commentEx w15:paraId="0E55A54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09A63" w14:textId="77777777" w:rsidR="005213F6" w:rsidRDefault="005213F6">
      <w:r>
        <w:separator/>
      </w:r>
    </w:p>
  </w:endnote>
  <w:endnote w:type="continuationSeparator" w:id="0">
    <w:p w14:paraId="2FB79D5C" w14:textId="77777777" w:rsidR="005213F6" w:rsidRDefault="0052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BEC62" w14:textId="77777777" w:rsidR="005213F6" w:rsidRDefault="005213F6" w:rsidP="00895F20">
      <w:pPr>
        <w:ind w:firstLine="0"/>
      </w:pPr>
      <w:r>
        <w:separator/>
      </w:r>
    </w:p>
  </w:footnote>
  <w:footnote w:type="continuationSeparator" w:id="0">
    <w:p w14:paraId="3779589E" w14:textId="77777777" w:rsidR="005213F6" w:rsidRDefault="005213F6" w:rsidP="00895F20">
      <w:pPr>
        <w:ind w:firstLine="0"/>
      </w:pPr>
      <w:r>
        <w:continuationSeparator/>
      </w:r>
    </w:p>
  </w:footnote>
  <w:footnote w:id="1">
    <w:p w14:paraId="04A2E488" w14:textId="77777777" w:rsidR="006314A7" w:rsidRPr="0070520C" w:rsidRDefault="006314A7" w:rsidP="007067AC">
      <w:pPr>
        <w:pStyle w:val="Textonotapie"/>
        <w:ind w:left="0" w:firstLine="0"/>
        <w:rPr>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1"/>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1"/>
  </w:num>
  <w:num w:numId="12">
    <w:abstractNumId w:val="15"/>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 w:numId="23">
    <w:abstractNumId w:val="10"/>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uro Gomez">
    <w15:presenceInfo w15:providerId="Windows Live" w15:userId="63638f205edae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05"/>
    <w:rsid w:val="0000056A"/>
    <w:rsid w:val="00001D94"/>
    <w:rsid w:val="000058CD"/>
    <w:rsid w:val="00006405"/>
    <w:rsid w:val="00007F40"/>
    <w:rsid w:val="00015441"/>
    <w:rsid w:val="0002597B"/>
    <w:rsid w:val="00025D8F"/>
    <w:rsid w:val="000309B7"/>
    <w:rsid w:val="00030E3E"/>
    <w:rsid w:val="0003135A"/>
    <w:rsid w:val="00034555"/>
    <w:rsid w:val="00040402"/>
    <w:rsid w:val="0004220B"/>
    <w:rsid w:val="0004696A"/>
    <w:rsid w:val="00054BC5"/>
    <w:rsid w:val="0005696A"/>
    <w:rsid w:val="000569E7"/>
    <w:rsid w:val="000627DC"/>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34BE"/>
    <w:rsid w:val="00123C73"/>
    <w:rsid w:val="0013193E"/>
    <w:rsid w:val="001362F0"/>
    <w:rsid w:val="0013666A"/>
    <w:rsid w:val="001406B6"/>
    <w:rsid w:val="00144342"/>
    <w:rsid w:val="00145AF7"/>
    <w:rsid w:val="00162CC8"/>
    <w:rsid w:val="00163AF4"/>
    <w:rsid w:val="00164391"/>
    <w:rsid w:val="00164D7E"/>
    <w:rsid w:val="0016678D"/>
    <w:rsid w:val="00172752"/>
    <w:rsid w:val="00172A1B"/>
    <w:rsid w:val="00183DD2"/>
    <w:rsid w:val="00185503"/>
    <w:rsid w:val="00185973"/>
    <w:rsid w:val="00187E43"/>
    <w:rsid w:val="00190935"/>
    <w:rsid w:val="00197686"/>
    <w:rsid w:val="00197F10"/>
    <w:rsid w:val="001A0E09"/>
    <w:rsid w:val="001B255B"/>
    <w:rsid w:val="001B3097"/>
    <w:rsid w:val="001B4547"/>
    <w:rsid w:val="001B4A7C"/>
    <w:rsid w:val="001D3E27"/>
    <w:rsid w:val="001D53EB"/>
    <w:rsid w:val="001E21AD"/>
    <w:rsid w:val="001E3A57"/>
    <w:rsid w:val="001F5439"/>
    <w:rsid w:val="001F6F95"/>
    <w:rsid w:val="002000AA"/>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3C52"/>
    <w:rsid w:val="002542EE"/>
    <w:rsid w:val="00256A5D"/>
    <w:rsid w:val="00262528"/>
    <w:rsid w:val="002639D9"/>
    <w:rsid w:val="00264407"/>
    <w:rsid w:val="00270386"/>
    <w:rsid w:val="0027411A"/>
    <w:rsid w:val="0027506C"/>
    <w:rsid w:val="002823FC"/>
    <w:rsid w:val="002936E6"/>
    <w:rsid w:val="002A0991"/>
    <w:rsid w:val="002A4602"/>
    <w:rsid w:val="002A4A69"/>
    <w:rsid w:val="002A56B5"/>
    <w:rsid w:val="002B406E"/>
    <w:rsid w:val="002B53C3"/>
    <w:rsid w:val="002B66F5"/>
    <w:rsid w:val="002B7863"/>
    <w:rsid w:val="002C110C"/>
    <w:rsid w:val="002C1BFE"/>
    <w:rsid w:val="002D1E60"/>
    <w:rsid w:val="002D34CD"/>
    <w:rsid w:val="002E323E"/>
    <w:rsid w:val="002E36AF"/>
    <w:rsid w:val="002E5AD3"/>
    <w:rsid w:val="002E6BA4"/>
    <w:rsid w:val="002F3CD1"/>
    <w:rsid w:val="002F3D2A"/>
    <w:rsid w:val="002F7085"/>
    <w:rsid w:val="003025D3"/>
    <w:rsid w:val="00305345"/>
    <w:rsid w:val="00307282"/>
    <w:rsid w:val="00307D1B"/>
    <w:rsid w:val="00312F45"/>
    <w:rsid w:val="0031466D"/>
    <w:rsid w:val="00316E8F"/>
    <w:rsid w:val="00334C04"/>
    <w:rsid w:val="00336943"/>
    <w:rsid w:val="00341AEA"/>
    <w:rsid w:val="00341F67"/>
    <w:rsid w:val="0035112D"/>
    <w:rsid w:val="0035513F"/>
    <w:rsid w:val="003557FC"/>
    <w:rsid w:val="003606CA"/>
    <w:rsid w:val="0036104B"/>
    <w:rsid w:val="00362269"/>
    <w:rsid w:val="00362A85"/>
    <w:rsid w:val="003633D4"/>
    <w:rsid w:val="00364275"/>
    <w:rsid w:val="003655E1"/>
    <w:rsid w:val="00371063"/>
    <w:rsid w:val="003723B4"/>
    <w:rsid w:val="00372CA7"/>
    <w:rsid w:val="00372F77"/>
    <w:rsid w:val="00376180"/>
    <w:rsid w:val="00377276"/>
    <w:rsid w:val="00377424"/>
    <w:rsid w:val="00394942"/>
    <w:rsid w:val="003949F3"/>
    <w:rsid w:val="003A3A01"/>
    <w:rsid w:val="003B0216"/>
    <w:rsid w:val="003B13D1"/>
    <w:rsid w:val="003B2F07"/>
    <w:rsid w:val="003B2FD0"/>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0E45"/>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0841"/>
    <w:rsid w:val="00471B63"/>
    <w:rsid w:val="0047305E"/>
    <w:rsid w:val="00473617"/>
    <w:rsid w:val="00476386"/>
    <w:rsid w:val="00477C52"/>
    <w:rsid w:val="00477F90"/>
    <w:rsid w:val="0048068F"/>
    <w:rsid w:val="00482E0F"/>
    <w:rsid w:val="0048344D"/>
    <w:rsid w:val="00484DD3"/>
    <w:rsid w:val="00486D71"/>
    <w:rsid w:val="004918B5"/>
    <w:rsid w:val="004956C3"/>
    <w:rsid w:val="00495761"/>
    <w:rsid w:val="00497AD6"/>
    <w:rsid w:val="004C20E7"/>
    <w:rsid w:val="004C2656"/>
    <w:rsid w:val="004C2812"/>
    <w:rsid w:val="004C7EE7"/>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3F6"/>
    <w:rsid w:val="00521BC8"/>
    <w:rsid w:val="0052599C"/>
    <w:rsid w:val="00531E07"/>
    <w:rsid w:val="0053613C"/>
    <w:rsid w:val="005366AD"/>
    <w:rsid w:val="0053704E"/>
    <w:rsid w:val="0053710F"/>
    <w:rsid w:val="005377DD"/>
    <w:rsid w:val="00562CCC"/>
    <w:rsid w:val="00564ED7"/>
    <w:rsid w:val="00571515"/>
    <w:rsid w:val="005808CB"/>
    <w:rsid w:val="0058193B"/>
    <w:rsid w:val="005846B6"/>
    <w:rsid w:val="00584C20"/>
    <w:rsid w:val="00591219"/>
    <w:rsid w:val="005A2E29"/>
    <w:rsid w:val="005A428C"/>
    <w:rsid w:val="005A5F79"/>
    <w:rsid w:val="005B0EF1"/>
    <w:rsid w:val="005B32AC"/>
    <w:rsid w:val="005B3D33"/>
    <w:rsid w:val="005C70FB"/>
    <w:rsid w:val="005D172C"/>
    <w:rsid w:val="005E026B"/>
    <w:rsid w:val="005E316C"/>
    <w:rsid w:val="005F23AC"/>
    <w:rsid w:val="005F4EB3"/>
    <w:rsid w:val="00604BA8"/>
    <w:rsid w:val="006052E9"/>
    <w:rsid w:val="006060AA"/>
    <w:rsid w:val="0061213E"/>
    <w:rsid w:val="0061522E"/>
    <w:rsid w:val="00616817"/>
    <w:rsid w:val="006258CB"/>
    <w:rsid w:val="00625C35"/>
    <w:rsid w:val="00625C3B"/>
    <w:rsid w:val="00627D6A"/>
    <w:rsid w:val="006314A7"/>
    <w:rsid w:val="00631A9F"/>
    <w:rsid w:val="00637DFE"/>
    <w:rsid w:val="00642073"/>
    <w:rsid w:val="006469B8"/>
    <w:rsid w:val="00650CEB"/>
    <w:rsid w:val="00650E28"/>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644A"/>
    <w:rsid w:val="006C0AD3"/>
    <w:rsid w:val="006C74CC"/>
    <w:rsid w:val="006D63CD"/>
    <w:rsid w:val="006E00D5"/>
    <w:rsid w:val="006E031A"/>
    <w:rsid w:val="006F077C"/>
    <w:rsid w:val="006F1F04"/>
    <w:rsid w:val="006F257F"/>
    <w:rsid w:val="007027E6"/>
    <w:rsid w:val="0070371D"/>
    <w:rsid w:val="007067AC"/>
    <w:rsid w:val="00706A12"/>
    <w:rsid w:val="00714E9D"/>
    <w:rsid w:val="00722FCD"/>
    <w:rsid w:val="00726A40"/>
    <w:rsid w:val="00726F80"/>
    <w:rsid w:val="00731E8F"/>
    <w:rsid w:val="00735682"/>
    <w:rsid w:val="0074633C"/>
    <w:rsid w:val="0074741C"/>
    <w:rsid w:val="00750E7D"/>
    <w:rsid w:val="007540B1"/>
    <w:rsid w:val="00756E81"/>
    <w:rsid w:val="007608F0"/>
    <w:rsid w:val="007626F0"/>
    <w:rsid w:val="00764503"/>
    <w:rsid w:val="0076605E"/>
    <w:rsid w:val="00775796"/>
    <w:rsid w:val="007805D2"/>
    <w:rsid w:val="007809D1"/>
    <w:rsid w:val="00780F47"/>
    <w:rsid w:val="00791F63"/>
    <w:rsid w:val="00794BC4"/>
    <w:rsid w:val="007A08F7"/>
    <w:rsid w:val="007A3249"/>
    <w:rsid w:val="007A52AC"/>
    <w:rsid w:val="007B722C"/>
    <w:rsid w:val="007C1B8F"/>
    <w:rsid w:val="007C3631"/>
    <w:rsid w:val="007C7941"/>
    <w:rsid w:val="007D0A21"/>
    <w:rsid w:val="007D1350"/>
    <w:rsid w:val="007D267C"/>
    <w:rsid w:val="007D3F01"/>
    <w:rsid w:val="007E0352"/>
    <w:rsid w:val="007F3BF6"/>
    <w:rsid w:val="00803FCB"/>
    <w:rsid w:val="00807BBC"/>
    <w:rsid w:val="00810F00"/>
    <w:rsid w:val="00812219"/>
    <w:rsid w:val="0081281B"/>
    <w:rsid w:val="008141F8"/>
    <w:rsid w:val="008175BD"/>
    <w:rsid w:val="008250DF"/>
    <w:rsid w:val="00831B2C"/>
    <w:rsid w:val="008338A5"/>
    <w:rsid w:val="0083409A"/>
    <w:rsid w:val="00834B91"/>
    <w:rsid w:val="00837AB8"/>
    <w:rsid w:val="0084658F"/>
    <w:rsid w:val="00850810"/>
    <w:rsid w:val="00852E68"/>
    <w:rsid w:val="00871A19"/>
    <w:rsid w:val="00872347"/>
    <w:rsid w:val="00873A48"/>
    <w:rsid w:val="00884ABC"/>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069C"/>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1F46"/>
    <w:rsid w:val="009C20DA"/>
    <w:rsid w:val="009C3E60"/>
    <w:rsid w:val="009C411C"/>
    <w:rsid w:val="009C439C"/>
    <w:rsid w:val="009D5432"/>
    <w:rsid w:val="009D627C"/>
    <w:rsid w:val="009E0616"/>
    <w:rsid w:val="009E388E"/>
    <w:rsid w:val="009E4E69"/>
    <w:rsid w:val="009E649D"/>
    <w:rsid w:val="009F73DF"/>
    <w:rsid w:val="009F7FCE"/>
    <w:rsid w:val="00A06578"/>
    <w:rsid w:val="00A10B22"/>
    <w:rsid w:val="00A131F2"/>
    <w:rsid w:val="00A23F2F"/>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4C1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1A5"/>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3DC3"/>
    <w:rsid w:val="00BA0EDB"/>
    <w:rsid w:val="00BA485F"/>
    <w:rsid w:val="00BA5679"/>
    <w:rsid w:val="00BA6773"/>
    <w:rsid w:val="00BA705B"/>
    <w:rsid w:val="00BB35C6"/>
    <w:rsid w:val="00BB483F"/>
    <w:rsid w:val="00BC02E5"/>
    <w:rsid w:val="00BC03F5"/>
    <w:rsid w:val="00BC0E60"/>
    <w:rsid w:val="00BC26A5"/>
    <w:rsid w:val="00BC69FA"/>
    <w:rsid w:val="00BD55E1"/>
    <w:rsid w:val="00BE08A1"/>
    <w:rsid w:val="00BE1517"/>
    <w:rsid w:val="00BE18BA"/>
    <w:rsid w:val="00BE1FBD"/>
    <w:rsid w:val="00BE3A96"/>
    <w:rsid w:val="00BF360A"/>
    <w:rsid w:val="00BF4592"/>
    <w:rsid w:val="00C0016F"/>
    <w:rsid w:val="00C027E9"/>
    <w:rsid w:val="00C04C3A"/>
    <w:rsid w:val="00C05153"/>
    <w:rsid w:val="00C20A4B"/>
    <w:rsid w:val="00C22642"/>
    <w:rsid w:val="00C2501E"/>
    <w:rsid w:val="00C25D05"/>
    <w:rsid w:val="00C25E8B"/>
    <w:rsid w:val="00C315CF"/>
    <w:rsid w:val="00C43226"/>
    <w:rsid w:val="00C43737"/>
    <w:rsid w:val="00C44013"/>
    <w:rsid w:val="00C453BD"/>
    <w:rsid w:val="00C45C81"/>
    <w:rsid w:val="00C46EFA"/>
    <w:rsid w:val="00C51C56"/>
    <w:rsid w:val="00C6009C"/>
    <w:rsid w:val="00C60104"/>
    <w:rsid w:val="00C6285A"/>
    <w:rsid w:val="00C62E7B"/>
    <w:rsid w:val="00C64032"/>
    <w:rsid w:val="00C646B9"/>
    <w:rsid w:val="00C739F8"/>
    <w:rsid w:val="00C73FE1"/>
    <w:rsid w:val="00C75E36"/>
    <w:rsid w:val="00C8067F"/>
    <w:rsid w:val="00C837A2"/>
    <w:rsid w:val="00C91263"/>
    <w:rsid w:val="00CA3150"/>
    <w:rsid w:val="00CB2916"/>
    <w:rsid w:val="00CD0021"/>
    <w:rsid w:val="00CD0BD7"/>
    <w:rsid w:val="00CD4538"/>
    <w:rsid w:val="00CE223C"/>
    <w:rsid w:val="00CE7667"/>
    <w:rsid w:val="00CF3131"/>
    <w:rsid w:val="00CF3BE1"/>
    <w:rsid w:val="00D00243"/>
    <w:rsid w:val="00D05ECD"/>
    <w:rsid w:val="00D073CB"/>
    <w:rsid w:val="00D24964"/>
    <w:rsid w:val="00D30140"/>
    <w:rsid w:val="00D35861"/>
    <w:rsid w:val="00D36EBA"/>
    <w:rsid w:val="00D40AC2"/>
    <w:rsid w:val="00D4100E"/>
    <w:rsid w:val="00D54466"/>
    <w:rsid w:val="00D63A3C"/>
    <w:rsid w:val="00D6724D"/>
    <w:rsid w:val="00D6791A"/>
    <w:rsid w:val="00D707E2"/>
    <w:rsid w:val="00D75A83"/>
    <w:rsid w:val="00D87891"/>
    <w:rsid w:val="00D93670"/>
    <w:rsid w:val="00D94B60"/>
    <w:rsid w:val="00D96B09"/>
    <w:rsid w:val="00D96C7F"/>
    <w:rsid w:val="00DA61DA"/>
    <w:rsid w:val="00DB0063"/>
    <w:rsid w:val="00DB03EE"/>
    <w:rsid w:val="00DB1189"/>
    <w:rsid w:val="00DB1FAD"/>
    <w:rsid w:val="00DB6F12"/>
    <w:rsid w:val="00DC198D"/>
    <w:rsid w:val="00DC1E99"/>
    <w:rsid w:val="00DC72BF"/>
    <w:rsid w:val="00DD0149"/>
    <w:rsid w:val="00DD1BD2"/>
    <w:rsid w:val="00DE09DF"/>
    <w:rsid w:val="00DE19CB"/>
    <w:rsid w:val="00DE2420"/>
    <w:rsid w:val="00DE7B95"/>
    <w:rsid w:val="00DF1892"/>
    <w:rsid w:val="00DF45D3"/>
    <w:rsid w:val="00E02E86"/>
    <w:rsid w:val="00E10D75"/>
    <w:rsid w:val="00E14595"/>
    <w:rsid w:val="00E15CDF"/>
    <w:rsid w:val="00E16F59"/>
    <w:rsid w:val="00E213DC"/>
    <w:rsid w:val="00E27D13"/>
    <w:rsid w:val="00E323DF"/>
    <w:rsid w:val="00E44646"/>
    <w:rsid w:val="00E46F15"/>
    <w:rsid w:val="00E50599"/>
    <w:rsid w:val="00E5102D"/>
    <w:rsid w:val="00E5254C"/>
    <w:rsid w:val="00E60F8C"/>
    <w:rsid w:val="00E76629"/>
    <w:rsid w:val="00E774B9"/>
    <w:rsid w:val="00E86500"/>
    <w:rsid w:val="00E87C24"/>
    <w:rsid w:val="00E955BE"/>
    <w:rsid w:val="00E95C19"/>
    <w:rsid w:val="00EA69A4"/>
    <w:rsid w:val="00EB0717"/>
    <w:rsid w:val="00EB4862"/>
    <w:rsid w:val="00EB4F99"/>
    <w:rsid w:val="00EB6167"/>
    <w:rsid w:val="00EC0EB4"/>
    <w:rsid w:val="00EC2435"/>
    <w:rsid w:val="00EC76EB"/>
    <w:rsid w:val="00ED0923"/>
    <w:rsid w:val="00ED4B90"/>
    <w:rsid w:val="00ED6091"/>
    <w:rsid w:val="00ED7231"/>
    <w:rsid w:val="00ED7C65"/>
    <w:rsid w:val="00EE1957"/>
    <w:rsid w:val="00EE516F"/>
    <w:rsid w:val="00EF07AE"/>
    <w:rsid w:val="00EF3EF2"/>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1CD"/>
    <w:rsid w:val="00F63D29"/>
    <w:rsid w:val="00F67D52"/>
    <w:rsid w:val="00F70102"/>
    <w:rsid w:val="00F732B6"/>
    <w:rsid w:val="00F74CE0"/>
    <w:rsid w:val="00F77CFD"/>
    <w:rsid w:val="00F83CA8"/>
    <w:rsid w:val="00F850B0"/>
    <w:rsid w:val="00F86D8E"/>
    <w:rsid w:val="00F930BB"/>
    <w:rsid w:val="00F93F65"/>
    <w:rsid w:val="00F95511"/>
    <w:rsid w:val="00F9578C"/>
    <w:rsid w:val="00F96B9D"/>
    <w:rsid w:val="00FA1DCD"/>
    <w:rsid w:val="00FB33AC"/>
    <w:rsid w:val="00FC2DC4"/>
    <w:rsid w:val="00FC3D76"/>
    <w:rsid w:val="00FC464E"/>
    <w:rsid w:val="00FC5481"/>
    <w:rsid w:val="00FC7AEB"/>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C7A0A"/>
  <w15:docId w15:val="{D72D69C7-F50A-4B43-8704-2EE7EBAA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D05"/>
    <w:pPr>
      <w:ind w:firstLine="227"/>
      <w:jc w:val="both"/>
    </w:pPr>
    <w:rPr>
      <w:rFonts w:ascii="Times" w:hAnsi="Times"/>
      <w:lang w:eastAsia="de-DE"/>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rsid w:val="00B17E0A"/>
    <w:rPr>
      <w:b/>
    </w:rPr>
  </w:style>
  <w:style w:type="character" w:customStyle="1" w:styleId="heading4">
    <w:name w:val="heading4"/>
    <w:rsid w:val="00B17E0A"/>
    <w:rPr>
      <w:i/>
    </w:rPr>
  </w:style>
  <w:style w:type="numbering" w:customStyle="1" w:styleId="headings">
    <w:name w:val="headings"/>
    <w:basedOn w:val="arabnumitem"/>
    <w:rsid w:val="00B17E0A"/>
    <w:pPr>
      <w:numPr>
        <w:numId w:val="4"/>
      </w:numPr>
    </w:pPr>
  </w:style>
  <w:style w:type="character" w:styleId="Hipervnculo">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link w:val="Ttulo1"/>
    <w:rsid w:val="0090666A"/>
    <w:rPr>
      <w:rFonts w:ascii="Times New Roman" w:eastAsia="Times New Roman" w:hAnsi="Times New Roman"/>
      <w:b/>
      <w:sz w:val="24"/>
      <w:szCs w:val="20"/>
      <w:lang w:eastAsia="de-DE" w:bidi="ar-SA"/>
    </w:rPr>
  </w:style>
  <w:style w:type="character" w:customStyle="1" w:styleId="Ttulo2Car">
    <w:name w:val="Título 2 Car"/>
    <w:link w:val="Ttulo2"/>
    <w:rsid w:val="0090666A"/>
    <w:rPr>
      <w:rFonts w:ascii="Times New Roman" w:eastAsia="Times New Roman" w:hAnsi="Times New Roman"/>
      <w:b/>
      <w:sz w:val="20"/>
      <w:szCs w:val="20"/>
      <w:lang w:eastAsia="de-DE" w:bidi="ar-SA"/>
    </w:rPr>
  </w:style>
  <w:style w:type="character" w:customStyle="1" w:styleId="Ttulo3Car">
    <w:name w:val="Título 3 Car"/>
    <w:link w:val="Ttulo3"/>
    <w:rsid w:val="0090666A"/>
    <w:rPr>
      <w:rFonts w:ascii="Times New Roman" w:eastAsia="Times New Roman" w:hAnsi="Times New Roman"/>
      <w:sz w:val="20"/>
      <w:szCs w:val="20"/>
      <w:lang w:eastAsia="de-DE" w:bidi="ar-SA"/>
    </w:rPr>
  </w:style>
  <w:style w:type="character" w:customStyle="1" w:styleId="Ttulo4Car">
    <w:name w:val="Título 4 Car"/>
    <w:link w:val="Ttulo4"/>
    <w:rsid w:val="0090666A"/>
    <w:rPr>
      <w:rFonts w:ascii="Times New Roman" w:eastAsia="Times New Roman" w:hAnsi="Times New Roman"/>
      <w:sz w:val="20"/>
      <w:szCs w:val="20"/>
      <w:lang w:eastAsia="de-DE" w:bidi="ar-SA"/>
    </w:rPr>
  </w:style>
  <w:style w:type="character" w:customStyle="1" w:styleId="Ttulo5Car">
    <w:name w:val="Título 5 Car"/>
    <w:link w:val="Ttulo5"/>
    <w:rsid w:val="0090666A"/>
    <w:rPr>
      <w:rFonts w:ascii="Times New Roman" w:eastAsia="Times New Roman" w:hAnsi="Times New Roman"/>
      <w:sz w:val="20"/>
      <w:szCs w:val="20"/>
      <w:lang w:eastAsia="de-DE" w:bidi="ar-SA"/>
    </w:rPr>
  </w:style>
  <w:style w:type="character" w:customStyle="1" w:styleId="Ttulo6Car">
    <w:name w:val="Título 6 Car"/>
    <w:link w:val="Ttulo6"/>
    <w:rsid w:val="0090666A"/>
    <w:rPr>
      <w:rFonts w:ascii="Times New Roman" w:eastAsia="Times New Roman" w:hAnsi="Times New Roman"/>
      <w:sz w:val="20"/>
      <w:szCs w:val="20"/>
      <w:lang w:eastAsia="de-DE" w:bidi="ar-SA"/>
    </w:rPr>
  </w:style>
  <w:style w:type="character" w:customStyle="1" w:styleId="Ttulo7Car">
    <w:name w:val="Título 7 Car"/>
    <w:link w:val="Ttulo7"/>
    <w:rsid w:val="0090666A"/>
    <w:rPr>
      <w:rFonts w:ascii="Times New Roman" w:eastAsia="Times New Roman" w:hAnsi="Times New Roman"/>
      <w:sz w:val="20"/>
      <w:szCs w:val="20"/>
      <w:lang w:eastAsia="de-DE" w:bidi="ar-SA"/>
    </w:rPr>
  </w:style>
  <w:style w:type="character" w:customStyle="1" w:styleId="Ttulo8Car">
    <w:name w:val="Título 8 Car"/>
    <w:link w:val="Ttulo8"/>
    <w:rsid w:val="0090666A"/>
    <w:rPr>
      <w:rFonts w:ascii="Times New Roman" w:eastAsia="Times New Roman" w:hAnsi="Times New Roman"/>
      <w:sz w:val="20"/>
      <w:szCs w:val="20"/>
      <w:lang w:eastAsia="de-DE" w:bidi="ar-SA"/>
    </w:rPr>
  </w:style>
  <w:style w:type="character" w:customStyle="1" w:styleId="Ttulo9Car">
    <w:name w:val="Título 9 Ca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Prrafodelista">
    <w:name w:val="List Paragraph"/>
    <w:basedOn w:val="Normal"/>
    <w:uiPriority w:val="34"/>
    <w:qFormat/>
    <w:rsid w:val="00C25D05"/>
    <w:pPr>
      <w:ind w:left="720"/>
      <w:contextualSpacing/>
    </w:pPr>
  </w:style>
  <w:style w:type="character" w:styleId="Hipervnculovisitado">
    <w:name w:val="FollowedHyperlink"/>
    <w:basedOn w:val="Fuentedeprrafopredeter"/>
    <w:rsid w:val="001406B6"/>
    <w:rPr>
      <w:color w:val="800080" w:themeColor="followedHyperlink"/>
      <w:u w:val="single"/>
    </w:rPr>
  </w:style>
  <w:style w:type="paragraph" w:styleId="Bibliografa">
    <w:name w:val="Bibliography"/>
    <w:basedOn w:val="Normal"/>
    <w:next w:val="Normal"/>
    <w:uiPriority w:val="37"/>
    <w:unhideWhenUsed/>
    <w:rsid w:val="00ED0923"/>
    <w:pPr>
      <w:tabs>
        <w:tab w:val="left" w:pos="384"/>
      </w:tabs>
      <w:ind w:left="384" w:hanging="384"/>
    </w:pPr>
  </w:style>
  <w:style w:type="character" w:styleId="Refdecomentario">
    <w:name w:val="annotation reference"/>
    <w:basedOn w:val="Fuentedeprrafopredeter"/>
    <w:semiHidden/>
    <w:unhideWhenUsed/>
    <w:rsid w:val="00DE19CB"/>
    <w:rPr>
      <w:sz w:val="16"/>
      <w:szCs w:val="16"/>
    </w:rPr>
  </w:style>
  <w:style w:type="paragraph" w:styleId="Textocomentario">
    <w:name w:val="annotation text"/>
    <w:basedOn w:val="Normal"/>
    <w:link w:val="TextocomentarioCar"/>
    <w:semiHidden/>
    <w:unhideWhenUsed/>
    <w:rsid w:val="00DE19CB"/>
  </w:style>
  <w:style w:type="character" w:customStyle="1" w:styleId="TextocomentarioCar">
    <w:name w:val="Texto comentario Car"/>
    <w:basedOn w:val="Fuentedeprrafopredeter"/>
    <w:link w:val="Textocomentario"/>
    <w:semiHidden/>
    <w:rsid w:val="00DE19CB"/>
    <w:rPr>
      <w:rFonts w:ascii="Times" w:hAnsi="Times"/>
      <w:lang w:eastAsia="de-DE"/>
    </w:rPr>
  </w:style>
  <w:style w:type="paragraph" w:styleId="Asuntodelcomentario">
    <w:name w:val="annotation subject"/>
    <w:basedOn w:val="Textocomentario"/>
    <w:next w:val="Textocomentario"/>
    <w:link w:val="AsuntodelcomentarioCar"/>
    <w:semiHidden/>
    <w:unhideWhenUsed/>
    <w:rsid w:val="00DE19CB"/>
    <w:rPr>
      <w:b/>
      <w:bCs/>
    </w:rPr>
  </w:style>
  <w:style w:type="character" w:customStyle="1" w:styleId="AsuntodelcomentarioCar">
    <w:name w:val="Asunto del comentario Car"/>
    <w:basedOn w:val="TextocomentarioCar"/>
    <w:link w:val="Asuntodelcomentario"/>
    <w:semiHidden/>
    <w:rsid w:val="00DE19CB"/>
    <w:rPr>
      <w:rFonts w:ascii="Times" w:hAnsi="Times"/>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forms/d/1EK6lCg70de1GBcDM4_j0NCG6jIaZHhASnOFZ5wOdAzY/edit?usp=sharing"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aarce,%20arturo.gomez%7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uarios\14465809\Desktop\AHFE2018\AHF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uarios\14465809\Desktop\AHFE2018\AHFE%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415444169998681E-2"/>
          <c:y val="0.19683131937449594"/>
          <c:w val="0.94992482507799469"/>
          <c:h val="0.48361716153946538"/>
        </c:manualLayout>
      </c:layout>
      <c:barChart>
        <c:barDir val="col"/>
        <c:grouping val="clustered"/>
        <c:varyColors val="1"/>
        <c:ser>
          <c:idx val="0"/>
          <c:order val="0"/>
          <c:tx>
            <c:strRef>
              <c:f>'[AHFE (1).xlsx]Sheet1'!$K$19</c:f>
              <c:strCache>
                <c:ptCount val="1"/>
                <c:pt idx="0">
                  <c:v>Fixed Rules</c:v>
                </c:pt>
              </c:strCache>
            </c:strRef>
          </c:tx>
          <c:spPr>
            <a:solidFill>
              <a:srgbClr val="FFFFFF"/>
            </a:solidFill>
            <a:ln w="12700" cap="flat" cmpd="sng" algn="ctr">
              <a:solidFill>
                <a:schemeClr val="dk1"/>
              </a:solidFill>
              <a:prstDash val="solid"/>
              <a:miter lim="800000"/>
            </a:ln>
            <a:effectLst/>
          </c:spPr>
          <c:invertIfNegative val="1"/>
          <c:errBars>
            <c:errBarType val="both"/>
            <c:errValType val="cust"/>
            <c:noEndCap val="0"/>
            <c:plus>
              <c:numRef>
                <c:f>'[AHFE (1).xlsx]Sheet1'!$K$28:$K$33</c:f>
                <c:numCache>
                  <c:formatCode>General</c:formatCode>
                  <c:ptCount val="6"/>
                  <c:pt idx="0">
                    <c:v>2.3110154625059529</c:v>
                  </c:pt>
                  <c:pt idx="1">
                    <c:v>2.9860775071149557</c:v>
                  </c:pt>
                  <c:pt idx="2">
                    <c:v>2.0473926861580023</c:v>
                  </c:pt>
                  <c:pt idx="3">
                    <c:v>2.7235935133819185</c:v>
                  </c:pt>
                  <c:pt idx="4">
                    <c:v>2.2458478409922717</c:v>
                  </c:pt>
                  <c:pt idx="5">
                    <c:v>1.8265530709207445</c:v>
                  </c:pt>
                </c:numCache>
              </c:numRef>
            </c:plus>
            <c:minus>
              <c:numRef>
                <c:f>'[AHFE (1).xlsx]Sheet1'!$K$28:$K$33</c:f>
                <c:numCache>
                  <c:formatCode>General</c:formatCode>
                  <c:ptCount val="6"/>
                  <c:pt idx="0">
                    <c:v>2.3110154625059529</c:v>
                  </c:pt>
                  <c:pt idx="1">
                    <c:v>2.9860775071149557</c:v>
                  </c:pt>
                  <c:pt idx="2">
                    <c:v>2.0473926861580023</c:v>
                  </c:pt>
                  <c:pt idx="3">
                    <c:v>2.7235935133819185</c:v>
                  </c:pt>
                  <c:pt idx="4">
                    <c:v>2.2458478409922717</c:v>
                  </c:pt>
                  <c:pt idx="5">
                    <c:v>1.8265530709207445</c:v>
                  </c:pt>
                </c:numCache>
              </c:numRef>
            </c:minus>
          </c:errBars>
          <c:cat>
            <c:strRef>
              <c:f>'[AHFE (1).xlsx]Sheet1'!$J$20:$J$25</c:f>
              <c:strCache>
                <c:ptCount val="6"/>
                <c:pt idx="0">
                  <c:v>Mental Demand</c:v>
                </c:pt>
                <c:pt idx="1">
                  <c:v>Physical Demand</c:v>
                </c:pt>
                <c:pt idx="2">
                  <c:v>Temporal Demand</c:v>
                </c:pt>
                <c:pt idx="3">
                  <c:v>Performance</c:v>
                </c:pt>
                <c:pt idx="4">
                  <c:v>Effort</c:v>
                </c:pt>
                <c:pt idx="5">
                  <c:v>Frustation</c:v>
                </c:pt>
              </c:strCache>
            </c:strRef>
          </c:cat>
          <c:val>
            <c:numRef>
              <c:f>'[AHFE (1).xlsx]Sheet1'!$K$20:$K$25</c:f>
              <c:numCache>
                <c:formatCode>General</c:formatCode>
                <c:ptCount val="6"/>
                <c:pt idx="0">
                  <c:v>3.9000000000000004</c:v>
                </c:pt>
                <c:pt idx="1">
                  <c:v>5.65</c:v>
                </c:pt>
                <c:pt idx="2">
                  <c:v>7.05</c:v>
                </c:pt>
                <c:pt idx="3">
                  <c:v>6.4</c:v>
                </c:pt>
                <c:pt idx="4">
                  <c:v>6.1</c:v>
                </c:pt>
                <c:pt idx="5">
                  <c:v>2.1</c:v>
                </c:pt>
              </c:numCache>
            </c:numRef>
          </c:val>
          <c:extLst>
            <c:ext xmlns:c14="http://schemas.microsoft.com/office/drawing/2007/8/2/chart" uri="{6F2FDCE9-48DA-4B69-8628-5D25D57E5C99}">
              <c14:invertSolidFillFmt>
                <c14:spPr xmlns:c14="http://schemas.microsoft.com/office/drawing/2007/8/2/chart">
                  <a:solidFill>
                    <a:srgbClr val="FFFFFF"/>
                  </a:solidFill>
                  <a:ln w="12700" cap="flat" cmpd="sng" algn="ctr">
                    <a:solidFill>
                      <a:schemeClr val="dk1"/>
                    </a:solidFill>
                    <a:prstDash val="solid"/>
                    <a:miter lim="800000"/>
                  </a:ln>
                  <a:effectLst/>
                </c14:spPr>
              </c14:invertSolidFillFmt>
            </c:ext>
            <c:ext xmlns:c16="http://schemas.microsoft.com/office/drawing/2014/chart" uri="{C3380CC4-5D6E-409C-BE32-E72D297353CC}">
              <c16:uniqueId val="{00000000-C031-47B1-9555-E6B85BEB4173}"/>
            </c:ext>
          </c:extLst>
        </c:ser>
        <c:ser>
          <c:idx val="1"/>
          <c:order val="1"/>
          <c:tx>
            <c:strRef>
              <c:f>'[AHFE (1).xlsx]Sheet1'!$L$19</c:f>
              <c:strCache>
                <c:ptCount val="1"/>
                <c:pt idx="0">
                  <c:v>Socially mediated Rules</c:v>
                </c:pt>
              </c:strCache>
            </c:strRef>
          </c:tx>
          <c:spPr>
            <a:solidFill>
              <a:srgbClr val="BFBFBF"/>
            </a:solidFill>
            <a:ln w="12700" cap="flat" cmpd="sng" algn="ctr">
              <a:solidFill>
                <a:schemeClr val="dk1"/>
              </a:solidFill>
              <a:prstDash val="solid"/>
              <a:miter lim="800000"/>
            </a:ln>
            <a:effectLst/>
          </c:spPr>
          <c:invertIfNegative val="1"/>
          <c:errBars>
            <c:errBarType val="both"/>
            <c:errValType val="cust"/>
            <c:noEndCap val="0"/>
            <c:plus>
              <c:numRef>
                <c:f>'[AHFE (1).xlsx]Sheet1'!$L$28:$L$33</c:f>
                <c:numCache>
                  <c:formatCode>General</c:formatCode>
                  <c:ptCount val="6"/>
                  <c:pt idx="0">
                    <c:v>2.2813655933689221</c:v>
                  </c:pt>
                  <c:pt idx="1">
                    <c:v>2.2748508162074437</c:v>
                  </c:pt>
                  <c:pt idx="2">
                    <c:v>1.9698799707372527</c:v>
                  </c:pt>
                  <c:pt idx="3">
                    <c:v>2.4968134542875204</c:v>
                  </c:pt>
                  <c:pt idx="4">
                    <c:v>1.7533945357647394</c:v>
                  </c:pt>
                  <c:pt idx="5">
                    <c:v>1.4764764358466218</c:v>
                  </c:pt>
                </c:numCache>
              </c:numRef>
            </c:plus>
            <c:minus>
              <c:numRef>
                <c:f>'[AHFE (1).xlsx]Sheet1'!$L$28:$L$33</c:f>
                <c:numCache>
                  <c:formatCode>General</c:formatCode>
                  <c:ptCount val="6"/>
                  <c:pt idx="0">
                    <c:v>2.2813655933689221</c:v>
                  </c:pt>
                  <c:pt idx="1">
                    <c:v>2.2748508162074437</c:v>
                  </c:pt>
                  <c:pt idx="2">
                    <c:v>1.9698799707372527</c:v>
                  </c:pt>
                  <c:pt idx="3">
                    <c:v>2.4968134542875204</c:v>
                  </c:pt>
                  <c:pt idx="4">
                    <c:v>1.7533945357647394</c:v>
                  </c:pt>
                  <c:pt idx="5">
                    <c:v>1.4764764358466218</c:v>
                  </c:pt>
                </c:numCache>
              </c:numRef>
            </c:minus>
          </c:errBars>
          <c:cat>
            <c:strRef>
              <c:f>'[AHFE (1).xlsx]Sheet1'!$J$20:$J$25</c:f>
              <c:strCache>
                <c:ptCount val="6"/>
                <c:pt idx="0">
                  <c:v>Mental Demand</c:v>
                </c:pt>
                <c:pt idx="1">
                  <c:v>Physical Demand</c:v>
                </c:pt>
                <c:pt idx="2">
                  <c:v>Temporal Demand</c:v>
                </c:pt>
                <c:pt idx="3">
                  <c:v>Performance</c:v>
                </c:pt>
                <c:pt idx="4">
                  <c:v>Effort</c:v>
                </c:pt>
                <c:pt idx="5">
                  <c:v>Frustation</c:v>
                </c:pt>
              </c:strCache>
            </c:strRef>
          </c:cat>
          <c:val>
            <c:numRef>
              <c:f>'[AHFE (1).xlsx]Sheet1'!$L$20:$L$25</c:f>
              <c:numCache>
                <c:formatCode>General</c:formatCode>
                <c:ptCount val="6"/>
                <c:pt idx="0">
                  <c:v>4.25</c:v>
                </c:pt>
                <c:pt idx="1">
                  <c:v>7.15</c:v>
                </c:pt>
                <c:pt idx="2">
                  <c:v>6.25</c:v>
                </c:pt>
                <c:pt idx="3">
                  <c:v>6.65</c:v>
                </c:pt>
                <c:pt idx="4">
                  <c:v>7.1</c:v>
                </c:pt>
                <c:pt idx="5">
                  <c:v>2.0499999999999998</c:v>
                </c:pt>
              </c:numCache>
            </c:numRef>
          </c:val>
          <c:extLst>
            <c:ext xmlns:c14="http://schemas.microsoft.com/office/drawing/2007/8/2/chart" uri="{6F2FDCE9-48DA-4B69-8628-5D25D57E5C99}">
              <c14:invertSolidFillFmt>
                <c14:spPr xmlns:c14="http://schemas.microsoft.com/office/drawing/2007/8/2/chart">
                  <a:solidFill>
                    <a:srgbClr val="FFFFFF"/>
                  </a:solidFill>
                  <a:ln w="12700" cap="flat" cmpd="sng" algn="ctr">
                    <a:solidFill>
                      <a:schemeClr val="dk1"/>
                    </a:solidFill>
                    <a:prstDash val="solid"/>
                    <a:miter lim="800000"/>
                  </a:ln>
                  <a:effectLst/>
                </c14:spPr>
              </c14:invertSolidFillFmt>
            </c:ext>
            <c:ext xmlns:c16="http://schemas.microsoft.com/office/drawing/2014/chart" uri="{C3380CC4-5D6E-409C-BE32-E72D297353CC}">
              <c16:uniqueId val="{00000001-C031-47B1-9555-E6B85BEB4173}"/>
            </c:ext>
          </c:extLst>
        </c:ser>
        <c:dLbls>
          <c:showLegendKey val="0"/>
          <c:showVal val="0"/>
          <c:showCatName val="0"/>
          <c:showSerName val="0"/>
          <c:showPercent val="0"/>
          <c:showBubbleSize val="0"/>
        </c:dLbls>
        <c:gapWidth val="150"/>
        <c:axId val="428349216"/>
        <c:axId val="428351456"/>
      </c:barChart>
      <c:catAx>
        <c:axId val="428349216"/>
        <c:scaling>
          <c:orientation val="minMax"/>
        </c:scaling>
        <c:delete val="0"/>
        <c:axPos val="b"/>
        <c:numFmt formatCode="General" sourceLinked="1"/>
        <c:majorTickMark val="cross"/>
        <c:minorTickMark val="cross"/>
        <c:tickLblPos val="nextTo"/>
        <c:txPr>
          <a:bodyPr/>
          <a:lstStyle/>
          <a:p>
            <a:pPr lvl="0">
              <a:defRPr b="0"/>
            </a:pPr>
            <a:endParaRPr lang="es-MX"/>
          </a:p>
        </c:txPr>
        <c:crossAx val="428351456"/>
        <c:crosses val="autoZero"/>
        <c:auto val="1"/>
        <c:lblAlgn val="ctr"/>
        <c:lblOffset val="100"/>
        <c:noMultiLvlLbl val="1"/>
      </c:catAx>
      <c:valAx>
        <c:axId val="428351456"/>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s-MX"/>
          </a:p>
        </c:txPr>
        <c:crossAx val="428349216"/>
        <c:crosses val="autoZero"/>
        <c:crossBetween val="between"/>
      </c:valAx>
    </c:plotArea>
    <c:legend>
      <c:legendPos val="r"/>
      <c:layout>
        <c:manualLayout>
          <c:xMode val="edge"/>
          <c:yMode val="edge"/>
          <c:x val="8.8890845133253946E-2"/>
          <c:y val="1.2832671309201524E-2"/>
          <c:w val="0.33976086498781244"/>
          <c:h val="0.18432063104010377"/>
        </c:manualLayout>
      </c:layout>
      <c:overlay val="0"/>
    </c:legend>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'[AHFE (1).xlsx]Sheet1'!$K$15</c:f>
              <c:strCache>
                <c:ptCount val="1"/>
                <c:pt idx="0">
                  <c:v>Fixed Rules</c:v>
                </c:pt>
              </c:strCache>
            </c:strRef>
          </c:tx>
          <c:spPr>
            <a:solidFill>
              <a:srgbClr val="FFFFFF"/>
            </a:solidFill>
            <a:ln w="12700" cap="flat" cmpd="sng" algn="ctr">
              <a:solidFill>
                <a:schemeClr val="dk1"/>
              </a:solidFill>
              <a:prstDash val="solid"/>
              <a:miter lim="800000"/>
            </a:ln>
            <a:effectLst/>
          </c:spPr>
          <c:invertIfNegative val="1"/>
          <c:cat>
            <c:strRef>
              <c:f>'[AHFE (1).xlsx]Sheet1'!$J$16:$J$18</c:f>
              <c:strCache>
                <c:ptCount val="3"/>
                <c:pt idx="0">
                  <c:v>Excelent</c:v>
                </c:pt>
                <c:pt idx="1">
                  <c:v>Very Good</c:v>
                </c:pt>
                <c:pt idx="2">
                  <c:v>Good</c:v>
                </c:pt>
              </c:strCache>
            </c:strRef>
          </c:cat>
          <c:val>
            <c:numRef>
              <c:f>'[AHFE (1).xlsx]Sheet1'!$K$16:$K$18</c:f>
              <c:numCache>
                <c:formatCode>General</c:formatCode>
                <c:ptCount val="3"/>
                <c:pt idx="0">
                  <c:v>3.5</c:v>
                </c:pt>
                <c:pt idx="1">
                  <c:v>5.5</c:v>
                </c:pt>
                <c:pt idx="2">
                  <c:v>1</c:v>
                </c:pt>
              </c:numCache>
            </c:numRef>
          </c:val>
          <c:extLst>
            <c:ext xmlns:c14="http://schemas.microsoft.com/office/drawing/2007/8/2/chart" uri="{6F2FDCE9-48DA-4B69-8628-5D25D57E5C99}">
              <c14:invertSolidFillFmt>
                <c14:spPr xmlns:c14="http://schemas.microsoft.com/office/drawing/2007/8/2/chart">
                  <a:solidFill>
                    <a:srgbClr val="FFFFFF"/>
                  </a:solidFill>
                  <a:ln w="12700" cap="flat" cmpd="sng" algn="ctr">
                    <a:solidFill>
                      <a:schemeClr val="dk1"/>
                    </a:solidFill>
                    <a:prstDash val="solid"/>
                    <a:miter lim="800000"/>
                  </a:ln>
                  <a:effectLst/>
                </c14:spPr>
              </c14:invertSolidFillFmt>
            </c:ext>
            <c:ext xmlns:c16="http://schemas.microsoft.com/office/drawing/2014/chart" uri="{C3380CC4-5D6E-409C-BE32-E72D297353CC}">
              <c16:uniqueId val="{00000000-8415-4B72-B594-07C6D9EF11B3}"/>
            </c:ext>
          </c:extLst>
        </c:ser>
        <c:ser>
          <c:idx val="1"/>
          <c:order val="1"/>
          <c:tx>
            <c:strRef>
              <c:f>'[AHFE (1).xlsx]Sheet1'!$L$15</c:f>
              <c:strCache>
                <c:ptCount val="1"/>
                <c:pt idx="0">
                  <c:v>Socially mediated Rules</c:v>
                </c:pt>
              </c:strCache>
            </c:strRef>
          </c:tx>
          <c:spPr>
            <a:solidFill>
              <a:srgbClr val="BFBFBF"/>
            </a:solidFill>
            <a:ln w="12700" cap="flat" cmpd="sng" algn="ctr">
              <a:solidFill>
                <a:schemeClr val="dk1"/>
              </a:solidFill>
              <a:prstDash val="solid"/>
              <a:miter lim="800000"/>
            </a:ln>
            <a:effectLst/>
          </c:spPr>
          <c:invertIfNegative val="1"/>
          <c:cat>
            <c:strRef>
              <c:f>'[AHFE (1).xlsx]Sheet1'!$J$16:$J$18</c:f>
              <c:strCache>
                <c:ptCount val="3"/>
                <c:pt idx="0">
                  <c:v>Excelent</c:v>
                </c:pt>
                <c:pt idx="1">
                  <c:v>Very Good</c:v>
                </c:pt>
                <c:pt idx="2">
                  <c:v>Good</c:v>
                </c:pt>
              </c:strCache>
            </c:strRef>
          </c:cat>
          <c:val>
            <c:numRef>
              <c:f>'[AHFE (1).xlsx]Sheet1'!$L$16:$L$18</c:f>
              <c:numCache>
                <c:formatCode>General</c:formatCode>
                <c:ptCount val="3"/>
                <c:pt idx="0">
                  <c:v>5.5</c:v>
                </c:pt>
                <c:pt idx="1">
                  <c:v>4</c:v>
                </c:pt>
                <c:pt idx="2">
                  <c:v>1</c:v>
                </c:pt>
              </c:numCache>
            </c:numRef>
          </c:val>
          <c:extLst>
            <c:ext xmlns:c14="http://schemas.microsoft.com/office/drawing/2007/8/2/chart" uri="{6F2FDCE9-48DA-4B69-8628-5D25D57E5C99}">
              <c14:invertSolidFillFmt>
                <c14:spPr xmlns:c14="http://schemas.microsoft.com/office/drawing/2007/8/2/chart">
                  <a:solidFill>
                    <a:srgbClr val="FFFFFF"/>
                  </a:solidFill>
                  <a:ln w="12700" cap="flat" cmpd="sng" algn="ctr">
                    <a:solidFill>
                      <a:schemeClr val="dk1"/>
                    </a:solidFill>
                    <a:prstDash val="solid"/>
                    <a:miter lim="800000"/>
                  </a:ln>
                  <a:effectLst/>
                </c14:spPr>
              </c14:invertSolidFillFmt>
            </c:ext>
            <c:ext xmlns:c16="http://schemas.microsoft.com/office/drawing/2014/chart" uri="{C3380CC4-5D6E-409C-BE32-E72D297353CC}">
              <c16:uniqueId val="{00000001-8415-4B72-B594-07C6D9EF11B3}"/>
            </c:ext>
          </c:extLst>
        </c:ser>
        <c:dLbls>
          <c:showLegendKey val="0"/>
          <c:showVal val="0"/>
          <c:showCatName val="0"/>
          <c:showSerName val="0"/>
          <c:showPercent val="0"/>
          <c:showBubbleSize val="0"/>
        </c:dLbls>
        <c:gapWidth val="150"/>
        <c:axId val="428354256"/>
        <c:axId val="428357056"/>
      </c:barChart>
      <c:catAx>
        <c:axId val="428354256"/>
        <c:scaling>
          <c:orientation val="minMax"/>
        </c:scaling>
        <c:delete val="0"/>
        <c:axPos val="b"/>
        <c:numFmt formatCode="General" sourceLinked="1"/>
        <c:majorTickMark val="cross"/>
        <c:minorTickMark val="cross"/>
        <c:tickLblPos val="nextTo"/>
        <c:txPr>
          <a:bodyPr/>
          <a:lstStyle/>
          <a:p>
            <a:pPr lvl="0">
              <a:defRPr b="0"/>
            </a:pPr>
            <a:endParaRPr lang="es-MX"/>
          </a:p>
        </c:txPr>
        <c:crossAx val="428357056"/>
        <c:crosses val="autoZero"/>
        <c:auto val="1"/>
        <c:lblAlgn val="ctr"/>
        <c:lblOffset val="100"/>
        <c:noMultiLvlLbl val="1"/>
      </c:catAx>
      <c:valAx>
        <c:axId val="428357056"/>
        <c:scaling>
          <c:orientation val="minMax"/>
        </c:scaling>
        <c:delete val="0"/>
        <c:axPos val="l"/>
        <c:majorGridlines>
          <c:spPr>
            <a:ln>
              <a:solidFill>
                <a:srgbClr val="B7B7B7"/>
              </a:solidFill>
            </a:ln>
          </c:spPr>
        </c:majorGridlines>
        <c:numFmt formatCode="General" sourceLinked="1"/>
        <c:majorTickMark val="cross"/>
        <c:minorTickMark val="cross"/>
        <c:tickLblPos val="nextTo"/>
        <c:spPr>
          <a:ln w="47625">
            <a:noFill/>
          </a:ln>
        </c:spPr>
        <c:txPr>
          <a:bodyPr/>
          <a:lstStyle/>
          <a:p>
            <a:pPr lvl="0">
              <a:defRPr b="0"/>
            </a:pPr>
            <a:endParaRPr lang="es-MX"/>
          </a:p>
        </c:txPr>
        <c:crossAx val="428354256"/>
        <c:crosses val="autoZero"/>
        <c:crossBetween val="between"/>
      </c:valAx>
      <c:spPr>
        <a:ln>
          <a:noFill/>
        </a:ln>
      </c:spPr>
    </c:plotArea>
    <c:legend>
      <c:legendPos val="r"/>
      <c:overlay val="0"/>
    </c:legend>
    <c:plotVisOnly val="1"/>
    <c:dispBlanksAs val="zero"/>
    <c:showDLblsOverMax val="1"/>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BC36B-EE21-4858-A922-49B20E76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9</TotalTime>
  <Pages>7</Pages>
  <Words>3954</Words>
  <Characters>21748</Characters>
  <Application>Microsoft Office Word</Application>
  <DocSecurity>0</DocSecurity>
  <Lines>181</Lines>
  <Paragraphs>51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dataspect IT-Services, Heidelberg, Germany</Company>
  <LinksUpToDate>false</LinksUpToDate>
  <CharactersWithSpaces>25651</CharactersWithSpaces>
  <SharedDoc>false</SharedDoc>
  <HLinks>
    <vt:vector size="42" baseType="variant">
      <vt:variant>
        <vt:i4>5374078</vt:i4>
      </vt:variant>
      <vt:variant>
        <vt:i4>27</vt:i4>
      </vt:variant>
      <vt:variant>
        <vt:i4>0</vt:i4>
      </vt:variant>
      <vt:variant>
        <vt:i4>5</vt:i4>
      </vt:variant>
      <vt:variant>
        <vt:lpwstr>http://www.ahfe2016.org/files/Consent_primary author lastname_firstname_PaperID.pdf</vt:lpwstr>
      </vt:variant>
      <vt:variant>
        <vt:lpwstr/>
      </vt:variant>
      <vt:variant>
        <vt:i4>1507345</vt:i4>
      </vt:variant>
      <vt:variant>
        <vt:i4>24</vt:i4>
      </vt:variant>
      <vt:variant>
        <vt:i4>0</vt:i4>
      </vt:variant>
      <vt:variant>
        <vt:i4>5</vt:i4>
      </vt:variant>
      <vt:variant>
        <vt:lpwstr>https://cmt.research.microsoft.com/AHFE2016/</vt:lpwstr>
      </vt:variant>
      <vt:variant>
        <vt:lpwstr/>
      </vt:variant>
      <vt:variant>
        <vt:i4>6750242</vt:i4>
      </vt:variant>
      <vt:variant>
        <vt:i4>21</vt:i4>
      </vt:variant>
      <vt:variant>
        <vt:i4>0</vt:i4>
      </vt:variant>
      <vt:variant>
        <vt:i4>5</vt:i4>
      </vt:variant>
      <vt:variant>
        <vt:lpwstr>http://www.ahfe2016.org/deadlines.html</vt:lpwstr>
      </vt:variant>
      <vt:variant>
        <vt:lpwstr/>
      </vt: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1507345</vt:i4>
      </vt:variant>
      <vt:variant>
        <vt:i4>3</vt:i4>
      </vt:variant>
      <vt:variant>
        <vt:i4>0</vt:i4>
      </vt:variant>
      <vt:variant>
        <vt:i4>5</vt:i4>
      </vt:variant>
      <vt:variant>
        <vt:lpwstr>https://cmt.research.microsoft.com/AHFE2016/</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description>Formats and macros for Springer Lecture Notes</dc:description>
  <cp:lastModifiedBy>Arturo Gomez</cp:lastModifiedBy>
  <cp:revision>2</cp:revision>
  <cp:lastPrinted>2018-03-01T15:48:00Z</cp:lastPrinted>
  <dcterms:created xsi:type="dcterms:W3CDTF">2018-03-01T17:48:00Z</dcterms:created>
  <dcterms:modified xsi:type="dcterms:W3CDTF">2018-03-01T17:48:00Z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zotero-version="5.0.27"&gt;&lt;session id="pRB31aLX"/&gt;&lt;style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 name="noteType" value="0"/&gt;&lt;/prefs&gt;&lt;/data&gt;</vt:lpwstr>
  </property>
</Properties>
</file>