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A2E1E"/>
          <w:sz w:val="72"/>
          <w:szCs w:val="72"/>
        </w:rPr>
        <w:t xml:space="preserve">PARAVERSES</w:t>
      </w:r>
    </w:p>
    <w:p>
      <w:pPr>
        <w:spacing w:after="40"/>
        <w:jc w:val="center"/>
      </w:pPr>
      <w:r>
        <w:rPr>
          <w:i/>
          <w:iCs/>
          <w:color w:val="5A6B5E"/>
          <w:sz w:val="30"/>
          <w:szCs w:val="30"/>
        </w:rPr>
        <w:t xml:space="preserve">A Framework for a Sung Gospel</w:t>
      </w:r>
    </w:p>
    <w:p>
      <w:pPr>
        <w:spacing w:after="400"/>
        <w:jc w:val="center"/>
      </w:pPr>
      <w:r>
        <w:rPr>
          <w:color w:val="5A6B5E"/>
          <w:sz w:val="20"/>
          <w:szCs w:val="20"/>
        </w:rPr>
        <w:t xml:space="preserve">New English Scripture-songs in the lineage of the</w:t>
      </w:r>
    </w:p>
    <w:p>
      <w:pPr>
        <w:spacing w:after="600"/>
        <w:jc w:val="center"/>
      </w:pPr>
      <w:r>
        <w:rPr>
          <w:color w:val="5A6B5E"/>
          <w:sz w:val="20"/>
          <w:szCs w:val="20"/>
        </w:rPr>
        <w:t xml:space="preserve">Reformed Skrifberymings and the Scottish Paraphrases</w:t>
      </w:r>
    </w:p>
    <w:p>
      <w:pPr>
        <w:jc w:val="center"/>
      </w:pPr>
      <w:r>
        <w:rPr>
          <w:color w:val="C9A84C"/>
          <w:sz w:val="18"/>
          <w:szCs w:val="18"/>
        </w:rPr>
        <w:t xml:space="preserve">Master Framework · Working Document v0.1</w:t>
      </w:r>
    </w:p>
    <w:p>
      <w:r>
        <w:br w:type="page"/>
      </w:r>
    </w:p>
    <w:p>
      <w:pPr>
        <w:pStyle w:val="Heading1"/>
      </w:pPr>
      <w:r>
        <w:t xml:space="preserve">Purpose and Posture</w:t>
      </w:r>
    </w:p>
    <w:p>
      <w:r>
        <w:t xml:space="preserve">Paraverses is a bounded body of newly composed worship songs — original lyrics and original music — that borrow the spirit, discipline, and rigour of two Reformed metrical-Scripture traditions: the Afrikaans Skrifberymings of the GKSA and the Scottish Translations and Paraphrases of 1781. It does not translate either corpus, nor reproduce their selection of passages or their numbering. It builds its own canon, worked out in full before it is filled, so that the finished body can be read back as a single architecture in which the Gospel is visible — not merely as a collection that accumulated.</w:t>
      </w:r>
    </w:p>
    <w:p>
      <w:r>
        <w:rPr>
          <w:b/>
          <w:bCs/>
        </w:rPr>
        <w:t xml:space="preserve">The governing aim: </w:t>
      </w:r>
      <w:r>
        <w:t xml:space="preserve">when the work is complete, a listener moving through it should traverse the whole Gospel — from the being of God, through the fall, to redemption accomplished and applied, and on into glory — and should be able to see the intent in the very shape.</w:t>
      </w:r>
    </w:p>
    <w:p>
      <w:pPr>
        <w:pStyle w:val="Heading1"/>
      </w:pPr>
      <w:r>
        <w:t xml:space="preserve">Design Principles</w:t>
      </w:r>
    </w:p>
    <w:p>
      <w:pPr>
        <w:spacing w:after="120"/>
      </w:pPr>
      <w:r>
        <w:rPr>
          <w:b/>
          <w:bCs/>
          <w:color w:val="1A2E1E"/>
        </w:rPr>
        <w:t xml:space="preserve">Fused spine. </w:t>
      </w:r>
      <w:r>
        <w:t xml:space="preserve">A redemptive-historical vertical (what God has done) carries the arc; a worship-response horizontal (what the gathered church does — adore, confess, lament, thank, commission) cross-weaves every movement.</w:t>
      </w:r>
    </w:p>
    <w:p>
      <w:pPr>
        <w:spacing w:after="120"/>
      </w:pPr>
      <w:r>
        <w:rPr>
          <w:b/>
          <w:bCs/>
          <w:color w:val="1A2E1E"/>
        </w:rPr>
        <w:t xml:space="preserve">Catechetical macro-frame. </w:t>
      </w:r>
      <w:r>
        <w:t xml:space="preserve">The whole is shaped by Heidelberg's guilt–grace–gratitude (ellende–verlossing–dankbaarheid), the confession native to the GKSA tradition, with the redemptive-historical movements nested inside.</w:t>
      </w:r>
    </w:p>
    <w:p>
      <w:pPr>
        <w:spacing w:after="120"/>
      </w:pPr>
      <w:r>
        <w:rPr>
          <w:b/>
          <w:bCs/>
          <w:color w:val="1A2E1E"/>
        </w:rPr>
        <w:t xml:space="preserve">Weighted, yet liturgically complete. </w:t>
      </w:r>
      <w:r>
        <w:t xml:space="preserve">Grace remains the largest arc, but the work is built as a working hymnal: every movement holds enough songs for ordinary weekly use. Opening adoration (Movement 1) and grateful-life closers (Movement 8) are deliberately full, since these are what a congregation reaches for most Sundays. Distribution is weighted toward Grace without starving the high-traffic movements.</w:t>
      </w:r>
    </w:p>
    <w:p>
      <w:pPr>
        <w:spacing w:after="120"/>
      </w:pPr>
      <w:r>
        <w:rPr>
          <w:b/>
          <w:bCs/>
          <w:color w:val="1A2E1E"/>
        </w:rPr>
        <w:t xml:space="preserve">Roughly bounded. </w:t>
      </w:r>
      <w:r>
        <w:t xml:space="preserve">Target ≈72 songs — between the Scots' 67 and the GKSA's 79, situating the work in the lineage; richly divisible (6×12, 3×24); quietly resonant (the seventy-two of Luke 10). Fixed enough to be a finished body, flexible enough to breathe.</w:t>
      </w:r>
    </w:p>
    <w:p>
      <w:pPr>
        <w:spacing w:after="120"/>
      </w:pPr>
      <w:r>
        <w:rPr>
          <w:b/>
          <w:bCs/>
          <w:color w:val="1A2E1E"/>
        </w:rPr>
        <w:t xml:space="preserve">Thematic thread, not literal. </w:t>
      </w:r>
      <w:r>
        <w:t xml:space="preserve">Unity comes from three theological motifs resurfacing across movements in new dress — never a repeated lyric or musical fragment: light, the Name, and water/thirst. (Traced in full below.)</w:t>
      </w:r>
    </w:p>
    <w:p>
      <w:pPr>
        <w:spacing w:after="120"/>
      </w:pPr>
      <w:r>
        <w:rPr>
          <w:b/>
          <w:bCs/>
          <w:color w:val="1A2E1E"/>
        </w:rPr>
        <w:t xml:space="preserve">Congregation-led, simple melody. </w:t>
      </w:r>
      <w:r>
        <w:t xml:space="preserve">Songs are written to be carried by an ordinary congregation without a band or lead singer — singable a cappella or from a single keyboard. This means modest range (about an octave, comfortably mid-voice), stepwise motion over wide leaps, strong regular metre, and phrases that resolve rather than hang. The idiom sits at the modern-hymn end (Getty/Townend register), closer to the paraphrase DNA than to band-led contemporary worship.</w:t>
      </w:r>
    </w:p>
    <w:p>
      <w:r>
        <w:br w:type="page"/>
      </w:r>
    </w:p>
    <w:p>
      <w:pPr>
        <w:pStyle w:val="Heading1"/>
      </w:pPr>
      <w:r>
        <w:t xml:space="preserve">The Architecture</w:t>
      </w:r>
    </w:p>
    <w:p>
      <w:pPr>
        <w:spacing w:after="160"/>
      </w:pPr>
      <w:r>
        <w:t xml:space="preserve">Three arcs, nine movements. Song counts are indicative targets, weighted toward Grace.</w:t>
      </w:r>
    </w:p>
    <w:p>
      <w:pPr>
        <w:pBdr>
          <w:bottom w:val="single" w:color="C9A84C" w:sz="8" w:space="1"/>
        </w:pBdr>
        <w:spacing w:after="120"/>
      </w:pPr>
      <w:r>
        <w:t xml:space="preserve"/>
      </w:r>
    </w:p>
    <w:p>
      <w:pPr>
        <w:pStyle w:val="Heading2"/>
      </w:pPr>
      <w:r>
        <w:t xml:space="preserve">ARC ONE — ELLENDE</w:t>
      </w:r>
      <w:r>
        <w:rPr>
          <w:color w:val="5A6B5E"/>
        </w:rPr>
        <w:t xml:space="preserve">  ·  Our Need</w:t>
      </w:r>
      <w:r>
        <w:rPr>
          <w:b/>
          <w:bCs/>
          <w:color w:val="C9A84C"/>
        </w:rPr>
        <w:t xml:space="preserve">   (≈18 songs)</w:t>
      </w:r>
    </w:p>
    <w:p>
      <w:pPr>
        <w:spacing w:after="160"/>
      </w:pPr>
      <w:r>
        <w:t xml:space="preserve">The canon opens with God, not with us, so that need is felt against holiness rather than mere unhappiness. Built full enough for weekly use: this arc supplies most of the opening-adoration repertoire.</w:t>
      </w:r>
    </w:p>
    <w:p>
      <w:pPr>
        <w:pStyle w:val="Heading3"/>
      </w:pPr>
      <w:r>
        <w:rPr>
          <w:color w:val="C9A84C"/>
        </w:rPr>
        <w:t xml:space="preserve">Movement 1 — </w:t>
      </w:r>
      <w:r>
        <w:t xml:space="preserve">The God Who Is</w:t>
      </w:r>
    </w:p>
    <w:p>
      <w:pPr>
        <w:spacing w:after="80"/>
      </w:pPr>
      <w:r>
        <w:rPr>
          <w:i/>
          <w:iCs/>
          <w:color w:val="5A6B5E"/>
        </w:rPr>
        <w:t xml:space="preserve">Adoration of the divine nature.</w:t>
      </w:r>
    </w:p>
    <w:p>
      <w:pPr>
        <w:spacing w:after="80"/>
      </w:pPr>
      <w:r>
        <w:t xml:space="preserve">Aseity, simplicity, infinity, immutability, and the Triune God — worship of who God is before the story begins. This is the Sanctus movement; it is load-bearing that the work opens here.</w:t>
      </w:r>
    </w:p>
    <w:p>
      <w:pPr>
        <w:spacing w:after="40"/>
      </w:pPr>
      <w:r>
        <w:rPr>
          <w:b/>
          <w:bCs/>
        </w:rPr>
        <w:t xml:space="preserve">Anchor passages: </w:t>
      </w:r>
      <w:r>
        <w:t xml:space="preserve">Isaiah 6; Revelation 4; the Athanasian confession of the divine nature; Romans 11:33–36.</w:t>
      </w:r>
    </w:p>
    <w:p>
      <w:pPr>
        <w:spacing w:after="200"/>
      </w:pPr>
      <w:r>
        <w:rPr>
          <w:b/>
          <w:bCs/>
        </w:rPr>
        <w:t xml:space="preserve">Worship-mode: </w:t>
      </w:r>
      <w:r>
        <w:rPr>
          <w:i/>
          <w:iCs/>
        </w:rPr>
        <w:t xml:space="preserve">Adoration, awe.</w:t>
      </w:r>
    </w:p>
    <w:p>
      <w:pPr>
        <w:pStyle w:val="Heading3"/>
      </w:pPr>
      <w:r>
        <w:rPr>
          <w:color w:val="C9A84C"/>
        </w:rPr>
        <w:t xml:space="preserve">Movement 2 — </w:t>
      </w:r>
      <w:r>
        <w:t xml:space="preserve">The God Who Made</w:t>
      </w:r>
    </w:p>
    <w:p>
      <w:pPr>
        <w:spacing w:after="80"/>
      </w:pPr>
      <w:r>
        <w:rPr>
          <w:i/>
          <w:iCs/>
          <w:color w:val="5A6B5E"/>
        </w:rPr>
        <w:t xml:space="preserve">Creation and the goodness of the made order.</w:t>
      </w:r>
    </w:p>
    <w:p>
      <w:pPr>
        <w:spacing w:after="80"/>
      </w:pPr>
      <w:r>
        <w:t xml:space="preserve">The world called good, humanity in the image, the order and gift of creation.</w:t>
      </w:r>
    </w:p>
    <w:p>
      <w:pPr>
        <w:spacing w:after="40"/>
      </w:pPr>
      <w:r>
        <w:rPr>
          <w:b/>
          <w:bCs/>
        </w:rPr>
        <w:t xml:space="preserve">Anchor passages: </w:t>
      </w:r>
      <w:r>
        <w:t xml:space="preserve">Genesis 1; Psalm 8; Psalm 19; Colossians 1:16–17.</w:t>
      </w:r>
    </w:p>
    <w:p>
      <w:pPr>
        <w:spacing w:after="200"/>
      </w:pPr>
      <w:r>
        <w:rPr>
          <w:b/>
          <w:bCs/>
        </w:rPr>
        <w:t xml:space="preserve">Worship-mode: </w:t>
      </w:r>
      <w:r>
        <w:rPr>
          <w:i/>
          <w:iCs/>
        </w:rPr>
        <w:t xml:space="preserve">Wonder, thanksgiving.</w:t>
      </w:r>
    </w:p>
    <w:p>
      <w:pPr>
        <w:pStyle w:val="Heading3"/>
      </w:pPr>
      <w:r>
        <w:rPr>
          <w:color w:val="C9A84C"/>
        </w:rPr>
        <w:t xml:space="preserve">Movement 3 — </w:t>
      </w:r>
      <w:r>
        <w:t xml:space="preserve">The Fracture</w:t>
      </w:r>
    </w:p>
    <w:p>
      <w:pPr>
        <w:spacing w:after="80"/>
      </w:pPr>
      <w:r>
        <w:rPr>
          <w:i/>
          <w:iCs/>
          <w:color w:val="5A6B5E"/>
        </w:rPr>
        <w:t xml:space="preserve">Fall, exile, and honest lament.</w:t>
      </w:r>
    </w:p>
    <w:p>
      <w:pPr>
        <w:spacing w:after="80"/>
      </w:pPr>
      <w:r>
        <w:t xml:space="preserve">The good order broken; sin diagnosed; the groaning of creation; the church learning to lament truthfully rather than sentimentally.</w:t>
      </w:r>
    </w:p>
    <w:p>
      <w:pPr>
        <w:spacing w:after="40"/>
      </w:pPr>
      <w:r>
        <w:rPr>
          <w:b/>
          <w:bCs/>
        </w:rPr>
        <w:t xml:space="preserve">Anchor passages: </w:t>
      </w:r>
      <w:r>
        <w:t xml:space="preserve">Genesis 3; Romans 5; Romans 8:19–23; the penitential Psalms.</w:t>
      </w:r>
    </w:p>
    <w:p>
      <w:pPr>
        <w:spacing w:after="200"/>
      </w:pPr>
      <w:r>
        <w:rPr>
          <w:b/>
          <w:bCs/>
        </w:rPr>
        <w:t xml:space="preserve">Worship-mode: </w:t>
      </w:r>
      <w:r>
        <w:rPr>
          <w:i/>
          <w:iCs/>
        </w:rPr>
        <w:t xml:space="preserve">Confession, lament.</w:t>
      </w:r>
    </w:p>
    <w:p>
      <w:r>
        <w:br w:type="page"/>
      </w:r>
    </w:p>
    <w:p>
      <w:pPr>
        <w:pBdr>
          <w:bottom w:val="single" w:color="C9A84C" w:sz="8" w:space="1"/>
        </w:pBdr>
        <w:spacing w:after="120"/>
      </w:pPr>
      <w:r>
        <w:t xml:space="preserve"/>
      </w:r>
    </w:p>
    <w:p>
      <w:pPr>
        <w:pStyle w:val="Heading2"/>
      </w:pPr>
      <w:r>
        <w:t xml:space="preserve">ARC TWO — VERLOSSING</w:t>
      </w:r>
      <w:r>
        <w:rPr>
          <w:color w:val="5A6B5E"/>
        </w:rPr>
        <w:t xml:space="preserve">  ·  Grace</w:t>
      </w:r>
      <w:r>
        <w:rPr>
          <w:b/>
          <w:bCs/>
          <w:color w:val="C9A84C"/>
        </w:rPr>
        <w:t xml:space="preserve">   (≈36 songs)</w:t>
      </w:r>
    </w:p>
    <w:p>
      <w:pPr>
        <w:spacing w:after="160"/>
      </w:pPr>
      <w:r>
        <w:t xml:space="preserve">The largest arc, and rightly so — but built for use, not only for the retrospective arc. The cross-resurrection movement remains the densest single cluster, yet each movement here is independently usable in ordinary worship.</w:t>
      </w:r>
    </w:p>
    <w:p>
      <w:pPr>
        <w:pStyle w:val="Heading3"/>
      </w:pPr>
      <w:r>
        <w:rPr>
          <w:color w:val="C9A84C"/>
        </w:rPr>
        <w:t xml:space="preserve">Movement 4 — </w:t>
      </w:r>
      <w:r>
        <w:t xml:space="preserve">The God Who Promised</w:t>
      </w:r>
    </w:p>
    <w:p>
      <w:pPr>
        <w:spacing w:after="80"/>
      </w:pPr>
      <w:r>
        <w:rPr>
          <w:i/>
          <w:iCs/>
          <w:color w:val="5A6B5E"/>
        </w:rPr>
        <w:t xml:space="preserve">Covenant and longing.</w:t>
      </w:r>
    </w:p>
    <w:p>
      <w:pPr>
        <w:spacing w:after="80"/>
      </w:pPr>
      <w:r>
        <w:t xml:space="preserve">Patriarchs, exodus, the Song of Moses, the prophets' ache and hope — the Advent register of waiting.</w:t>
      </w:r>
    </w:p>
    <w:p>
      <w:pPr>
        <w:spacing w:after="40"/>
      </w:pPr>
      <w:r>
        <w:rPr>
          <w:b/>
          <w:bCs/>
        </w:rPr>
        <w:t xml:space="preserve">Anchor passages: </w:t>
      </w:r>
      <w:r>
        <w:t xml:space="preserve">Exodus 15; Isaiah 9; Isaiah 40; Habakkuk 3:17–19.</w:t>
      </w:r>
    </w:p>
    <w:p>
      <w:pPr>
        <w:spacing w:after="200"/>
      </w:pPr>
      <w:r>
        <w:rPr>
          <w:b/>
          <w:bCs/>
        </w:rPr>
        <w:t xml:space="preserve">Worship-mode: </w:t>
      </w:r>
      <w:r>
        <w:rPr>
          <w:i/>
          <w:iCs/>
        </w:rPr>
        <w:t xml:space="preserve">Longing, trust.</w:t>
      </w:r>
    </w:p>
    <w:p>
      <w:pPr>
        <w:pStyle w:val="Heading3"/>
      </w:pPr>
      <w:r>
        <w:rPr>
          <w:color w:val="C9A84C"/>
        </w:rPr>
        <w:t xml:space="preserve">Movement 5 — </w:t>
      </w:r>
      <w:r>
        <w:t xml:space="preserve">The God Who Came</w:t>
      </w:r>
    </w:p>
    <w:p>
      <w:pPr>
        <w:spacing w:after="80"/>
      </w:pPr>
      <w:r>
        <w:rPr>
          <w:i/>
          <w:iCs/>
          <w:color w:val="5A6B5E"/>
        </w:rPr>
        <w:t xml:space="preserve">Incarnation and the life of Christ.</w:t>
      </w:r>
    </w:p>
    <w:p>
      <w:pPr>
        <w:spacing w:after="80"/>
      </w:pPr>
      <w:r>
        <w:t xml:space="preserve">The Lukan canticles, the angels' Gloria, the Beatitudes, the teaching and the gentle invitation.</w:t>
      </w:r>
    </w:p>
    <w:p>
      <w:pPr>
        <w:spacing w:after="40"/>
      </w:pPr>
      <w:r>
        <w:rPr>
          <w:b/>
          <w:bCs/>
        </w:rPr>
        <w:t xml:space="preserve">Anchor passages: </w:t>
      </w:r>
      <w:r>
        <w:t xml:space="preserve">Magnificat, Benedictus, Nunc Dimittis (Luke 1–2); Luke 2:14; Matthew 5:3–12; Matthew 11:28–30; John 1:14.</w:t>
      </w:r>
    </w:p>
    <w:p>
      <w:pPr>
        <w:spacing w:after="200"/>
      </w:pPr>
      <w:r>
        <w:rPr>
          <w:b/>
          <w:bCs/>
        </w:rPr>
        <w:t xml:space="preserve">Worship-mode: </w:t>
      </w:r>
      <w:r>
        <w:rPr>
          <w:i/>
          <w:iCs/>
        </w:rPr>
        <w:t xml:space="preserve">Joy, adoration.</w:t>
      </w:r>
    </w:p>
    <w:p>
      <w:pPr>
        <w:pStyle w:val="Heading3"/>
      </w:pPr>
      <w:r>
        <w:rPr>
          <w:color w:val="C9A84C"/>
        </w:rPr>
        <w:t xml:space="preserve">Movement 6 — </w:t>
      </w:r>
      <w:r>
        <w:t xml:space="preserve">The God Who Suffered and Rose</w:t>
      </w:r>
    </w:p>
    <w:p>
      <w:pPr>
        <w:spacing w:after="80"/>
      </w:pPr>
      <w:r>
        <w:rPr>
          <w:i/>
          <w:iCs/>
          <w:color w:val="5A6B5E"/>
        </w:rPr>
        <w:t xml:space="preserve">The hinge of the canon.</w:t>
      </w:r>
    </w:p>
    <w:p>
      <w:pPr>
        <w:spacing w:after="80"/>
      </w:pPr>
      <w:r>
        <w:t xml:space="preserve">Cross, atonement, descent, resurrection, ascension, exaltation. This movement remains the densest single cluster in the work — the centre of gravity made audible — though not at the expense of the high-traffic movements elsewhere.</w:t>
      </w:r>
    </w:p>
    <w:p>
      <w:pPr>
        <w:spacing w:after="40"/>
      </w:pPr>
      <w:r>
        <w:rPr>
          <w:b/>
          <w:bCs/>
        </w:rPr>
        <w:t xml:space="preserve">Anchor passages: </w:t>
      </w:r>
      <w:r>
        <w:t xml:space="preserve">Isaiah 53; the seven cross-words; Philippians 2:5–11; Romans 8:31–39; the resurrection and ascension accounts.</w:t>
      </w:r>
    </w:p>
    <w:p>
      <w:pPr>
        <w:spacing w:after="200"/>
      </w:pPr>
      <w:r>
        <w:rPr>
          <w:b/>
          <w:bCs/>
        </w:rPr>
        <w:t xml:space="preserve">Worship-mode: </w:t>
      </w:r>
      <w:r>
        <w:rPr>
          <w:i/>
          <w:iCs/>
        </w:rPr>
        <w:t xml:space="preserve">Awe, gratitude, triumph.</w:t>
      </w:r>
    </w:p>
    <w:p>
      <w:pPr>
        <w:pStyle w:val="Heading3"/>
      </w:pPr>
      <w:r>
        <w:rPr>
          <w:color w:val="C9A84C"/>
        </w:rPr>
        <w:t xml:space="preserve">Movement 7 — </w:t>
      </w:r>
      <w:r>
        <w:t xml:space="preserve">The God Who Indwells</w:t>
      </w:r>
    </w:p>
    <w:p>
      <w:pPr>
        <w:spacing w:after="80"/>
      </w:pPr>
      <w:r>
        <w:rPr>
          <w:i/>
          <w:iCs/>
          <w:color w:val="5A6B5E"/>
        </w:rPr>
        <w:t xml:space="preserve">Grace applied.</w:t>
      </w:r>
    </w:p>
    <w:p>
      <w:pPr>
        <w:spacing w:after="80"/>
      </w:pPr>
      <w:r>
        <w:t xml:space="preserve">Pentecost, union with Christ, and the ordo salutis sung — calling, faith, justification, sanctification, perseverance.</w:t>
      </w:r>
    </w:p>
    <w:p>
      <w:pPr>
        <w:spacing w:after="40"/>
      </w:pPr>
      <w:r>
        <w:rPr>
          <w:b/>
          <w:bCs/>
        </w:rPr>
        <w:t xml:space="preserve">Anchor passages: </w:t>
      </w:r>
      <w:r>
        <w:t xml:space="preserve">Acts 2; Romans 8; Ephesians 1:3–14; Ephesians 6:10–20; 1 Corinthians 13.</w:t>
      </w:r>
    </w:p>
    <w:p>
      <w:pPr>
        <w:spacing w:after="200"/>
      </w:pPr>
      <w:r>
        <w:rPr>
          <w:b/>
          <w:bCs/>
        </w:rPr>
        <w:t xml:space="preserve">Worship-mode: </w:t>
      </w:r>
      <w:r>
        <w:rPr>
          <w:i/>
          <w:iCs/>
        </w:rPr>
        <w:t xml:space="preserve">Assurance, consecration.</w:t>
      </w:r>
    </w:p>
    <w:p>
      <w:r>
        <w:br w:type="page"/>
      </w:r>
    </w:p>
    <w:p>
      <w:pPr>
        <w:pBdr>
          <w:bottom w:val="single" w:color="C9A84C" w:sz="8" w:space="1"/>
        </w:pBdr>
        <w:spacing w:after="120"/>
      </w:pPr>
      <w:r>
        <w:t xml:space="preserve"/>
      </w:r>
    </w:p>
    <w:p>
      <w:pPr>
        <w:pStyle w:val="Heading2"/>
      </w:pPr>
      <w:r>
        <w:t xml:space="preserve">ARC THREE — DANKBAARHEID</w:t>
      </w:r>
      <w:r>
        <w:rPr>
          <w:color w:val="5A6B5E"/>
        </w:rPr>
        <w:t xml:space="preserve">  ·  Gratitude</w:t>
      </w:r>
      <w:r>
        <w:rPr>
          <w:b/>
          <w:bCs/>
          <w:color w:val="C9A84C"/>
        </w:rPr>
        <w:t xml:space="preserve">   (≈18 songs)</w:t>
      </w:r>
    </w:p>
    <w:p>
      <w:pPr>
        <w:spacing w:after="160"/>
      </w:pPr>
      <w:r>
        <w:t xml:space="preserve">The redeemed life lived forward, opening onto glory. Built full: Movement 8 supplies most of the grateful-life and closing repertoire a congregation needs week to week. The canon ends as Scripture ends — in unceasing worship.</w:t>
      </w:r>
    </w:p>
    <w:p>
      <w:pPr>
        <w:pStyle w:val="Heading3"/>
      </w:pPr>
      <w:r>
        <w:rPr>
          <w:color w:val="C9A84C"/>
        </w:rPr>
        <w:t xml:space="preserve">Movement 8 — </w:t>
      </w:r>
      <w:r>
        <w:t xml:space="preserve">The Grateful Life</w:t>
      </w:r>
    </w:p>
    <w:p>
      <w:pPr>
        <w:spacing w:after="80"/>
      </w:pPr>
      <w:r>
        <w:rPr>
          <w:i/>
          <w:iCs/>
          <w:color w:val="5A6B5E"/>
        </w:rPr>
        <w:t xml:space="preserve">Obedience as thanksgiving.</w:t>
      </w:r>
    </w:p>
    <w:p>
      <w:pPr>
        <w:spacing w:after="80"/>
      </w:pPr>
      <w:r>
        <w:t xml:space="preserve">The law as the shape of gratitude (the third use), love, the church, the Lord's Supper, vocation, and the daily Christian walk.</w:t>
      </w:r>
    </w:p>
    <w:p>
      <w:pPr>
        <w:spacing w:after="40"/>
      </w:pPr>
      <w:r>
        <w:rPr>
          <w:b/>
          <w:bCs/>
        </w:rPr>
        <w:t xml:space="preserve">Anchor passages: </w:t>
      </w:r>
      <w:r>
        <w:t xml:space="preserve">Exodus 20 as thankful obedience; 1 Corinthians 13; the communion paraphrase (1 Cor 11); passages on vocation and love of neighbour.</w:t>
      </w:r>
    </w:p>
    <w:p>
      <w:pPr>
        <w:spacing w:after="200"/>
      </w:pPr>
      <w:r>
        <w:rPr>
          <w:b/>
          <w:bCs/>
        </w:rPr>
        <w:t xml:space="preserve">Worship-mode: </w:t>
      </w:r>
      <w:r>
        <w:rPr>
          <w:i/>
          <w:iCs/>
        </w:rPr>
        <w:t xml:space="preserve">Dedication, communion.</w:t>
      </w:r>
    </w:p>
    <w:p>
      <w:pPr>
        <w:pStyle w:val="Heading3"/>
      </w:pPr>
      <w:r>
        <w:rPr>
          <w:color w:val="C9A84C"/>
        </w:rPr>
        <w:t xml:space="preserve">Movement 9 — </w:t>
      </w:r>
      <w:r>
        <w:t xml:space="preserve">The God Who Comes</w:t>
      </w:r>
    </w:p>
    <w:p>
      <w:pPr>
        <w:spacing w:after="80"/>
      </w:pPr>
      <w:r>
        <w:rPr>
          <w:i/>
          <w:iCs/>
          <w:color w:val="5A6B5E"/>
        </w:rPr>
        <w:t xml:space="preserve">Consummation and doxology.</w:t>
      </w:r>
    </w:p>
    <w:p>
      <w:pPr>
        <w:spacing w:after="80"/>
      </w:pPr>
      <w:r>
        <w:t xml:space="preserve">Judgment, the marriage of the Lamb, the new Jerusalem, all things made new, the eternal doxology and the final Amen — the work closing as Revelation closes Scripture.</w:t>
      </w:r>
    </w:p>
    <w:p>
      <w:pPr>
        <w:spacing w:after="40"/>
      </w:pPr>
      <w:r>
        <w:rPr>
          <w:b/>
          <w:bCs/>
        </w:rPr>
        <w:t xml:space="preserve">Anchor passages: </w:t>
      </w:r>
      <w:r>
        <w:t xml:space="preserve">Revelation 19–22; the Lamb's song; the new creation; the closing Amens.</w:t>
      </w:r>
    </w:p>
    <w:p>
      <w:pPr>
        <w:spacing w:after="200"/>
      </w:pPr>
      <w:r>
        <w:rPr>
          <w:b/>
          <w:bCs/>
        </w:rPr>
        <w:t xml:space="preserve">Worship-mode: </w:t>
      </w:r>
      <w:r>
        <w:rPr>
          <w:i/>
          <w:iCs/>
        </w:rPr>
        <w:t xml:space="preserve">Hope, doxology, longing fulfilled.</w:t>
      </w:r>
    </w:p>
    <w:p>
      <w:r>
        <w:br w:type="page"/>
      </w:r>
    </w:p>
    <w:p>
      <w:pPr>
        <w:pStyle w:val="Heading1"/>
      </w:pPr>
      <w:r>
        <w:t xml:space="preserve">The Three Threads</w:t>
      </w:r>
    </w:p>
    <w:p>
      <w:pPr>
        <w:spacing w:after="160"/>
      </w:pPr>
      <w:r>
        <w:t xml:space="preserve">Three theological motifs run the length of Paraverses, surfacing in each arc in new form. They are never repeated as a fixed lyric or tune; they recur as images that a careful listener feels returning and deepening — the quiet evidence that the songs are one body.</w:t>
      </w:r>
    </w:p>
    <w:p>
      <w:pPr>
        <w:pStyle w:val="Heading3"/>
      </w:pPr>
      <w:r>
        <w:rPr>
          <w:color w:val="C9A84C"/>
        </w:rPr>
        <w:t xml:space="preserve">Light</w:t>
      </w:r>
    </w:p>
    <w:p>
      <w:pPr>
        <w:spacing w:after="80"/>
      </w:pPr>
      <w:r>
        <w:rPr>
          <w:i/>
          <w:iCs/>
          <w:color w:val="5A6B5E"/>
        </w:rPr>
        <w:t xml:space="preserve">The uncreated radiance that no eye contains, that enters the dark, and that finally needs no sun.</w:t>
      </w:r>
    </w:p>
    <w:p>
      <w:pPr>
        <w:spacing w:after="40"/>
      </w:pPr>
      <w:r>
        <w:rPr>
          <w:b/>
          <w:bCs/>
        </w:rPr>
        <w:t xml:space="preserve">In Ellende: </w:t>
      </w:r>
      <w:r>
        <w:t xml:space="preserve">God as unapproachable Light (Movement 1); light spoken over the formless dark at creation (Movement 2); and the light withdrawn — the world in shadow, the people who walk in darkness (Movement 3).</w:t>
      </w:r>
    </w:p>
    <w:p>
      <w:pPr>
        <w:spacing w:after="40"/>
      </w:pPr>
      <w:r>
        <w:rPr>
          <w:b/>
          <w:bCs/>
        </w:rPr>
        <w:t xml:space="preserve">In Verlossing: </w:t>
      </w:r>
      <w:r>
        <w:t xml:space="preserve">The promised light dawning on those in darkness, Isaiah's sunrise (Movement 4); the true Light coming into the world, the star, the Word made flesh (Movement 5); the noon turned to darkness at the cross and the resurrection daybreak (Movement 6); the inward illumination of the Spirit (Movement 7).</w:t>
      </w:r>
    </w:p>
    <w:p>
      <w:pPr>
        <w:spacing w:after="200"/>
      </w:pPr>
      <w:r>
        <w:rPr>
          <w:b/>
          <w:bCs/>
        </w:rPr>
        <w:t xml:space="preserve">In Dankbaarheid: </w:t>
      </w:r>
      <w:r>
        <w:t xml:space="preserve">Walking as children of light in the grateful life (Movement 8); the City that needs no sun or moon, for God is its light and the Lamb its lamp (Movement 9).</w:t>
      </w:r>
    </w:p>
    <w:p>
      <w:pPr>
        <w:pStyle w:val="Heading3"/>
      </w:pPr>
      <w:r>
        <w:rPr>
          <w:color w:val="C9A84C"/>
        </w:rPr>
        <w:t xml:space="preserve">The Name</w:t>
      </w:r>
    </w:p>
    <w:p>
      <w:pPr>
        <w:spacing w:after="80"/>
      </w:pPr>
      <w:r>
        <w:rPr>
          <w:i/>
          <w:iCs/>
          <w:color w:val="5A6B5E"/>
        </w:rPr>
        <w:t xml:space="preserve">The Name too holy to contain, made flesh, and finally written on the redeemed.</w:t>
      </w:r>
    </w:p>
    <w:p>
      <w:pPr>
        <w:spacing w:after="40"/>
      </w:pPr>
      <w:r>
        <w:rPr>
          <w:b/>
          <w:bCs/>
        </w:rPr>
        <w:t xml:space="preserve">In Ellende: </w:t>
      </w:r>
      <w:r>
        <w:t xml:space="preserve">The unspeakable, incomprehensible Name adored (Movement 1); the Name by which all things were made (Movement 2); the Name profaned and forgotten in the fall (Movement 3).</w:t>
      </w:r>
    </w:p>
    <w:p>
      <w:pPr>
        <w:spacing w:after="40"/>
      </w:pPr>
      <w:r>
        <w:rPr>
          <w:b/>
          <w:bCs/>
        </w:rPr>
        <w:t xml:space="preserve">In Verlossing: </w:t>
      </w:r>
      <w:r>
        <w:t xml:space="preserve">The Name promised — Immanuel, God-with-us (Movement 4); 'you shall call His name Jesus,' the Name above every name confessed (Movements 5–6, Philippians 2); calling on the Name and being saved, baptised into the Name (Movement 7).</w:t>
      </w:r>
    </w:p>
    <w:p>
      <w:pPr>
        <w:spacing w:after="200"/>
      </w:pPr>
      <w:r>
        <w:rPr>
          <w:b/>
          <w:bCs/>
        </w:rPr>
        <w:t xml:space="preserve">In Dankbaarheid: </w:t>
      </w:r>
      <w:r>
        <w:t xml:space="preserve">Bearing the Name worthily in daily life, hallowing it (Movement 8); the new Name written on the overcomer, the Name on every forehead in the City (Movement 9).</w:t>
      </w:r>
    </w:p>
    <w:p>
      <w:pPr>
        <w:pStyle w:val="Heading3"/>
      </w:pPr>
      <w:r>
        <w:rPr>
          <w:color w:val="C9A84C"/>
        </w:rPr>
        <w:t xml:space="preserve">Water and Thirst</w:t>
      </w:r>
    </w:p>
    <w:p>
      <w:pPr>
        <w:spacing w:after="80"/>
      </w:pPr>
      <w:r>
        <w:rPr>
          <w:i/>
          <w:iCs/>
          <w:color w:val="5A6B5E"/>
        </w:rPr>
        <w:t xml:space="preserve">The thirst of the dry ground, the water given freely, the river that never runs dry.</w:t>
      </w:r>
    </w:p>
    <w:p>
      <w:pPr>
        <w:spacing w:after="40"/>
      </w:pPr>
      <w:r>
        <w:rPr>
          <w:b/>
          <w:bCs/>
        </w:rPr>
        <w:t xml:space="preserve">In Ellende: </w:t>
      </w:r>
      <w:r>
        <w:t xml:space="preserve">God as the fountain of living water and source of all good (Movement 1); the waters of creation, the deep (Movement 2); the parched land, exile, the soul that thirsts and finds no stream (Movement 3).</w:t>
      </w:r>
    </w:p>
    <w:p>
      <w:pPr>
        <w:spacing w:after="40"/>
      </w:pPr>
      <w:r>
        <w:rPr>
          <w:b/>
          <w:bCs/>
        </w:rPr>
        <w:t xml:space="preserve">In Verlossing: </w:t>
      </w:r>
      <w:r>
        <w:t xml:space="preserve">The Servant springing up like a root from dry ground, water promised in the wilderness (Movement 4); 'I thirst' from the cross, and the living water Christ gives (Movements 5–6); the Spirit poured out, washing and indwelling (Movement 7, Pentecost and union).</w:t>
      </w:r>
    </w:p>
    <w:p>
      <w:pPr>
        <w:spacing w:after="200"/>
      </w:pPr>
      <w:r>
        <w:rPr>
          <w:b/>
          <w:bCs/>
        </w:rPr>
        <w:t xml:space="preserve">In Dankbaarheid: </w:t>
      </w:r>
      <w:r>
        <w:t xml:space="preserve">The cup of the Supper and the watered, fruitful life (Movement 8); the river of the water of life, clear as crystal, and the free invitation — 'let the thirsty come' (Movement 9).</w:t>
      </w:r>
    </w:p>
    <w:p>
      <w:pPr>
        <w:pStyle w:val="Heading1"/>
      </w:pPr>
      <w:r>
        <w:t xml:space="preserve">Decisions</w:t>
      </w:r>
    </w:p>
    <w:p>
      <w:pPr>
        <w:spacing w:after="140"/>
      </w:pPr>
      <w:r>
        <w:rPr>
          <w:b/>
          <w:bCs/>
          <w:color w:val="1A2E1E"/>
        </w:rPr>
        <w:t xml:space="preserve">Resolved. </w:t>
      </w:r>
      <w:r>
        <w:t xml:space="preserve">Use: working hymnal (songs pulled individually into ordinary worship), so the distribution is weighted toward Grace but kept liturgically complete throughout. Size: ≈72, roughly fixed. Threads: light, the Name, water/thirst (adopted). Style: simpler congregation-led melodies, singable without a band or lead voice. Trinity: Movement 1 adores the divine nature; the explicit Father/Son/Spirit confession is not opened as a separate movement.</w:t>
      </w:r>
    </w:p>
    <w:p>
      <w:pPr>
        <w:spacing w:after="80"/>
      </w:pPr>
      <w:r>
        <w:rPr>
          <w:b/>
          <w:bCs/>
          <w:color w:val="C9A84C"/>
        </w:rPr>
        <w:t xml:space="preserve">Still open.</w:t>
      </w:r>
    </w:p>
    <w:p>
      <w:pPr>
        <w:spacing w:after="100"/>
      </w:pPr>
      <w:r>
        <w:rPr>
          <w:b/>
          <w:bCs/>
        </w:rPr>
        <w:t xml:space="preserve">1. </w:t>
      </w:r>
      <w:r>
        <w:t xml:space="preserve">Exact song counts per movement within the 18 / 36 / 18 arc targets — and whether any hinge (e.g. a closing Amen or doxology) is deliberately a single song.</w:t>
      </w:r>
    </w:p>
    <w:p>
      <w:pPr>
        <w:spacing w:after="100"/>
      </w:pPr>
      <w:r>
        <w:rPr>
          <w:b/>
          <w:bCs/>
        </w:rPr>
        <w:t xml:space="preserve">2. </w:t>
      </w:r>
      <w:r>
        <w:t xml:space="preserve">The degree of shared metre across songs: enough common metre (CM/LM/SM) for tunes to be interchangeable and quickly learned, versus each song finding its own form.</w:t>
      </w:r>
    </w:p>
    <w:p>
      <w:pPr>
        <w:spacing w:after="100"/>
      </w:pPr>
      <w:r>
        <w:rPr>
          <w:b/>
          <w:bCs/>
        </w:rPr>
        <w:t xml:space="preserve">3. </w:t>
      </w:r>
      <w:r>
        <w:t xml:space="preserve">Whether to publish with a companion keyboard/accompaniment edition from the outset, given the single-instrument, congregation-led intent.</w:t>
      </w:r>
    </w:p>
    <w:p>
      <w:pPr>
        <w:pStyle w:val="Heading1"/>
      </w:pPr>
      <w:r>
        <w:t xml:space="preserve">Lineage</w:t>
      </w:r>
    </w:p>
    <w:p>
      <w:r>
        <w:t xml:space="preserve">Paraverses does not invent a category; it continues one. The Scottish Paraphrases (1781, ~67 items) versified non-Psalm Scripture in singable metre as a controlled supplement to the metrical Psalter, drawing on Watts and Doddridge — a precedent for reshaping existing devotional material into a Reformed singing tradition. The GKSA Skrifberymings (grown from 50 to 79 under careful synodical oversight) did the same in Afrikaans, largely on Genevan metres. Both arise from the Regulative Principle and both carry a live, unresolved tension about whether versifying non-Psalm Scripture expands or strains exclusive psalmody. Paraverses inherits the form, the rigour, and that argument — and answers it by building with explicit Gospel intent.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Georgia" w:cs="Georgia" w:eastAsia="Georgia" w:hAnsi="Georgia"/>
      <w:b/>
      <w:bCs/>
      <w:color w:val="1A2E1E"/>
      <w:sz w:val="34"/>
      <w:szCs w:val="34"/>
    </w:rPr>
  </w:style>
  <w:style w:type="paragraph" w:styleId="Heading2">
    <w:name w:val="Heading 2"/>
    <w:basedOn w:val="Normal"/>
    <w:next w:val="Normal"/>
    <w:qFormat/>
    <w:pPr>
      <w:spacing w:after="80" w:before="160"/>
      <w:outlineLvl w:val="1"/>
    </w:pPr>
    <w:rPr>
      <w:rFonts w:ascii="Georgia" w:cs="Georgia" w:eastAsia="Georgia" w:hAnsi="Georgia"/>
      <w:b/>
      <w:bCs/>
      <w:color w:val="1A2E1E"/>
      <w:sz w:val="26"/>
      <w:szCs w:val="26"/>
    </w:rPr>
  </w:style>
  <w:style w:type="paragraph" w:styleId="Heading3">
    <w:name w:val="Heading 3"/>
    <w:basedOn w:val="Normal"/>
    <w:next w:val="Normal"/>
    <w:qFormat/>
    <w:pPr>
      <w:spacing w:after="40" w:before="120"/>
      <w:outlineLvl w:val="2"/>
    </w:pPr>
    <w:rPr>
      <w:rFonts w:ascii="Georgia" w:cs="Georgia" w:eastAsia="Georgia" w:hAnsi="Georgia"/>
      <w:b/>
      <w:bCs/>
      <w:color w:val="1A2E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2026-05-22T09:21:03.302Z</dcterms:created>
  <dcterms:modified xsi:type="dcterms:W3CDTF">2026-05-22T09:21:03.319Z</dcterms:modified>
</cp:coreProperties>
</file>

<file path=docProps/custom.xml><?xml version="1.0" encoding="utf-8"?>
<Properties xmlns="http://schemas.openxmlformats.org/officeDocument/2006/custom-properties" xmlns:vt="http://schemas.openxmlformats.org/officeDocument/2006/docPropsVTypes"/>
</file>