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32"/>
                <w:sz w:val="32"/>
                <w:szCs w:val="32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E1CB2" w:rsidRPr="00E42DF3" w:rsidRDefault="00CA7B65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2"/>
                    <w:sz w:val="32"/>
                    <w:szCs w:val="32"/>
                  </w:rPr>
                  <w:t xml:space="preserve">Capitolo11. </w:t>
                </w:r>
                <w:r w:rsidRPr="00CA7B65">
                  <w:rPr>
                    <w:rFonts w:ascii="Times New Roman Grassetto" w:hAnsi="Times New Roman Grassetto"/>
                    <w:b/>
                    <w:smallCaps/>
                    <w:kern w:val="32"/>
                    <w:sz w:val="32"/>
                    <w:szCs w:val="32"/>
                  </w:rPr>
                  <w:t>ADESIONE AL NODO DEI PAGAMENTI-SPC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Default="00C65FD7" w:rsidP="00C65FD7">
            <w:pPr>
              <w:ind w:left="284" w:right="284"/>
            </w:pPr>
          </w:p>
          <w:p w:rsidR="00CA7B65" w:rsidRPr="00E42DF3" w:rsidRDefault="00CA7B65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7E1CB2">
            <w:pPr>
              <w:rPr>
                <w:sz w:val="24"/>
                <w:szCs w:val="24"/>
              </w:rPr>
            </w:pPr>
          </w:p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DC7901" w:rsidRPr="00403590" w:rsidRDefault="000A0E08" w:rsidP="00403590">
      <w:r w:rsidRPr="00E42DF3">
        <w:br w:type="page"/>
      </w:r>
      <w:bookmarkStart w:id="0" w:name="_Toc326078968"/>
      <w:bookmarkStart w:id="1" w:name="_Toc326143344"/>
      <w:bookmarkStart w:id="2" w:name="_Ref326151619"/>
      <w:bookmarkStart w:id="3" w:name="_Ref327117845"/>
      <w:bookmarkStart w:id="4" w:name="_Ref327117853"/>
      <w:bookmarkStart w:id="5" w:name="_Toc327292599"/>
      <w:bookmarkStart w:id="6" w:name="_Toc328475903"/>
      <w:bookmarkStart w:id="7" w:name="_Toc336532158"/>
      <w:bookmarkStart w:id="8" w:name="_Ref353702076"/>
      <w:bookmarkStart w:id="9" w:name="_Toc355876969"/>
      <w:bookmarkStart w:id="10" w:name="_Toc378068772"/>
      <w:bookmarkStart w:id="11" w:name="_Toc393651322"/>
      <w:bookmarkStart w:id="12" w:name="_Toc398137890"/>
      <w:bookmarkStart w:id="13" w:name="_Toc400729742"/>
    </w:p>
    <w:p w:rsidR="007A3957" w:rsidRPr="00E42DF3" w:rsidRDefault="007A3957" w:rsidP="00CA7B65">
      <w:pPr>
        <w:pStyle w:val="Titolo1"/>
      </w:pPr>
      <w:bookmarkStart w:id="14" w:name="_Toc355876995"/>
      <w:bookmarkStart w:id="15" w:name="_Toc378068800"/>
      <w:bookmarkStart w:id="16" w:name="_Toc393651350"/>
      <w:bookmarkStart w:id="17" w:name="_Toc398137918"/>
      <w:bookmarkStart w:id="18" w:name="_Toc400729770"/>
      <w:bookmarkStart w:id="19" w:name="_Toc487281198"/>
      <w:bookmarkStart w:id="20" w:name="_Toc50801635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E42DF3">
        <w:lastRenderedPageBreak/>
        <w:t>Adesione al Nodo dei Pagamenti-SPC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7A3957" w:rsidRPr="00E42DF3" w:rsidRDefault="007A3957" w:rsidP="007A3957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L’adesione al Nodo dei Pagamenti-SPC è riservata agli Enti </w:t>
      </w:r>
      <w:r w:rsidR="00D65D48" w:rsidRPr="00E42DF3">
        <w:rPr>
          <w:sz w:val="24"/>
          <w:szCs w:val="24"/>
        </w:rPr>
        <w:t xml:space="preserve">Creditori </w:t>
      </w:r>
      <w:r w:rsidRPr="00E42DF3">
        <w:rPr>
          <w:sz w:val="24"/>
          <w:szCs w:val="24"/>
        </w:rPr>
        <w:t>e ai prestatori di servizi di pagamento che intendono utilizzare il Nodo dei Pagamenti-SPC direttamente o per il tramite di un soggetto intermediario. La procedura di adesione:</w:t>
      </w:r>
    </w:p>
    <w:p w:rsidR="007A3957" w:rsidRPr="00E42DF3" w:rsidRDefault="00D65D48" w:rsidP="00FB2D51">
      <w:pPr>
        <w:pStyle w:val="Soggettocommento"/>
        <w:numPr>
          <w:ilvl w:val="0"/>
          <w:numId w:val="43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individua </w:t>
      </w:r>
      <w:r>
        <w:rPr>
          <w:b w:val="0"/>
          <w:sz w:val="24"/>
          <w:szCs w:val="24"/>
        </w:rPr>
        <w:t xml:space="preserve">gli obblighi e </w:t>
      </w:r>
      <w:r w:rsidRPr="00E42DF3">
        <w:rPr>
          <w:b w:val="0"/>
          <w:sz w:val="24"/>
          <w:szCs w:val="24"/>
        </w:rPr>
        <w:t xml:space="preserve">le responsabilità </w:t>
      </w:r>
      <w:r>
        <w:rPr>
          <w:b w:val="0"/>
          <w:sz w:val="24"/>
          <w:szCs w:val="24"/>
        </w:rPr>
        <w:t xml:space="preserve">inerenti </w:t>
      </w:r>
      <w:r w:rsidRPr="00E42DF3">
        <w:rPr>
          <w:b w:val="0"/>
          <w:sz w:val="24"/>
          <w:szCs w:val="24"/>
        </w:rPr>
        <w:t>l’utilizzo del Nodo dei Pagamenti-SPC</w:t>
      </w:r>
      <w:r w:rsidR="007A3957" w:rsidRPr="00E42DF3">
        <w:rPr>
          <w:b w:val="0"/>
          <w:sz w:val="24"/>
          <w:szCs w:val="24"/>
        </w:rPr>
        <w:t>;</w:t>
      </w:r>
    </w:p>
    <w:p w:rsidR="007A3957" w:rsidRPr="00E42DF3" w:rsidRDefault="007A3957" w:rsidP="00FB2D51">
      <w:pPr>
        <w:pStyle w:val="Soggettocommento"/>
        <w:numPr>
          <w:ilvl w:val="0"/>
          <w:numId w:val="43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consente il censimento dell’Ente Creditore e del prestatore di servizi di pagamento aderenti nel dominio gestito dal Nodo dei Pagamenti-SPC;</w:t>
      </w:r>
    </w:p>
    <w:p w:rsidR="007A3957" w:rsidRPr="00E42DF3" w:rsidRDefault="007A3957" w:rsidP="00FB2D51">
      <w:pPr>
        <w:pStyle w:val="Soggettocommento"/>
        <w:numPr>
          <w:ilvl w:val="0"/>
          <w:numId w:val="43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prevede la comunicazione da parte dell’Ente Creditore dei dati</w:t>
      </w:r>
      <w:r w:rsidR="0064349D">
        <w:rPr>
          <w:b w:val="0"/>
          <w:sz w:val="24"/>
          <w:szCs w:val="24"/>
        </w:rPr>
        <w:t xml:space="preserve"> di configurazione</w:t>
      </w:r>
      <w:r w:rsidRPr="00E42DF3">
        <w:rPr>
          <w:b w:val="0"/>
          <w:sz w:val="24"/>
          <w:szCs w:val="24"/>
        </w:rPr>
        <w:t xml:space="preserve"> necessa</w:t>
      </w:r>
      <w:r w:rsidR="0064349D">
        <w:rPr>
          <w:b w:val="0"/>
          <w:sz w:val="24"/>
          <w:szCs w:val="24"/>
        </w:rPr>
        <w:t>ri alla fruizione del servizio,</w:t>
      </w:r>
      <w:r w:rsidRPr="00E42DF3">
        <w:rPr>
          <w:b w:val="0"/>
          <w:sz w:val="24"/>
          <w:szCs w:val="24"/>
        </w:rPr>
        <w:t xml:space="preserve"> ivi inclusi i codici IBAN dei conti d</w:t>
      </w:r>
      <w:r w:rsidR="0064349D">
        <w:rPr>
          <w:b w:val="0"/>
          <w:sz w:val="24"/>
          <w:szCs w:val="24"/>
        </w:rPr>
        <w:t>i accredito dell’Ente Creditore</w:t>
      </w:r>
      <w:r w:rsidRPr="00E42DF3">
        <w:rPr>
          <w:b w:val="0"/>
          <w:sz w:val="24"/>
          <w:szCs w:val="24"/>
        </w:rPr>
        <w:t xml:space="preserve">; </w:t>
      </w:r>
    </w:p>
    <w:p w:rsidR="007A3957" w:rsidRPr="0064349D" w:rsidRDefault="007A3957" w:rsidP="00FB2D51">
      <w:pPr>
        <w:pStyle w:val="Soggettocommento"/>
        <w:numPr>
          <w:ilvl w:val="0"/>
          <w:numId w:val="43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prevede la comunicazione da parte del prestatore di servizi di pagamento dei dati necessari alla fruizione del servizio, come speci</w:t>
      </w:r>
      <w:r w:rsidR="0064349D">
        <w:rPr>
          <w:b w:val="0"/>
          <w:sz w:val="24"/>
          <w:szCs w:val="24"/>
        </w:rPr>
        <w:t>ficati nell’accordo di servizio</w:t>
      </w:r>
      <w:r w:rsidRPr="0064349D">
        <w:rPr>
          <w:b w:val="0"/>
          <w:sz w:val="24"/>
          <w:szCs w:val="24"/>
        </w:rPr>
        <w:t>.</w:t>
      </w:r>
    </w:p>
    <w:p w:rsidR="007A3957" w:rsidRPr="00E42DF3" w:rsidRDefault="007A3957" w:rsidP="007A3957">
      <w:pPr>
        <w:pStyle w:val="Titolo2"/>
      </w:pPr>
      <w:bookmarkStart w:id="21" w:name="_Ref353820934"/>
      <w:bookmarkStart w:id="22" w:name="_Toc355876996"/>
      <w:bookmarkStart w:id="23" w:name="_Toc378068801"/>
      <w:bookmarkStart w:id="24" w:name="_Toc393651351"/>
      <w:bookmarkStart w:id="25" w:name="_Toc398137919"/>
      <w:bookmarkStart w:id="26" w:name="_Toc400729771"/>
      <w:bookmarkStart w:id="27" w:name="_Toc487281199"/>
      <w:bookmarkStart w:id="28" w:name="_Toc508016351"/>
      <w:r w:rsidRPr="00E42DF3">
        <w:t>Adesione di un Ente Creditore.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9962CC" w:rsidRDefault="00D65D48" w:rsidP="00657A2F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Per la fruizione del </w:t>
      </w:r>
      <w:r w:rsidR="009962CC" w:rsidRPr="00E42DF3">
        <w:rPr>
          <w:sz w:val="24"/>
          <w:szCs w:val="24"/>
        </w:rPr>
        <w:t>servizio</w:t>
      </w:r>
      <w:r w:rsidRPr="00E42DF3">
        <w:rPr>
          <w:sz w:val="24"/>
          <w:szCs w:val="24"/>
        </w:rPr>
        <w:t>, l’Ente Creditore, sia esso una Pubblica Amministrazione</w:t>
      </w:r>
      <w:r>
        <w:rPr>
          <w:sz w:val="24"/>
          <w:szCs w:val="24"/>
        </w:rPr>
        <w:t>, una società a controllo pubblico</w:t>
      </w:r>
      <w:r w:rsidRPr="00E42DF3">
        <w:rPr>
          <w:sz w:val="24"/>
          <w:szCs w:val="24"/>
        </w:rPr>
        <w:t xml:space="preserve"> o un soggetto gestore di pubblici servizi, </w:t>
      </w:r>
      <w:r>
        <w:rPr>
          <w:sz w:val="24"/>
          <w:szCs w:val="24"/>
        </w:rPr>
        <w:t xml:space="preserve">deve preliminarmente </w:t>
      </w:r>
      <w:r w:rsidRPr="00E42DF3">
        <w:rPr>
          <w:sz w:val="24"/>
          <w:szCs w:val="24"/>
        </w:rPr>
        <w:t xml:space="preserve">aderire al sistema attraverso </w:t>
      </w:r>
      <w:r>
        <w:rPr>
          <w:sz w:val="24"/>
          <w:szCs w:val="24"/>
        </w:rPr>
        <w:t>le funzionalità del Portale delle Adesioni che consente</w:t>
      </w:r>
      <w:r w:rsidR="009962CC">
        <w:rPr>
          <w:sz w:val="24"/>
          <w:szCs w:val="24"/>
        </w:rPr>
        <w:t xml:space="preserve"> la compilazione</w:t>
      </w:r>
      <w:r>
        <w:rPr>
          <w:sz w:val="24"/>
          <w:szCs w:val="24"/>
        </w:rPr>
        <w:t xml:space="preserve">, </w:t>
      </w:r>
      <w:r w:rsidR="009962CC">
        <w:rPr>
          <w:sz w:val="24"/>
          <w:szCs w:val="24"/>
        </w:rPr>
        <w:t>in via automatica</w:t>
      </w:r>
      <w:r>
        <w:rPr>
          <w:sz w:val="24"/>
          <w:szCs w:val="24"/>
        </w:rPr>
        <w:t xml:space="preserve">, </w:t>
      </w:r>
      <w:r w:rsidR="009962CC">
        <w:rPr>
          <w:sz w:val="24"/>
          <w:szCs w:val="24"/>
        </w:rPr>
        <w:t>della lettera di adesione</w:t>
      </w:r>
      <w:r w:rsidR="009962CC" w:rsidRPr="00E42DF3">
        <w:rPr>
          <w:sz w:val="24"/>
          <w:szCs w:val="24"/>
        </w:rPr>
        <w:t xml:space="preserve"> </w:t>
      </w:r>
      <w:r w:rsidR="009962CC">
        <w:rPr>
          <w:sz w:val="24"/>
          <w:szCs w:val="24"/>
        </w:rPr>
        <w:t xml:space="preserve">e </w:t>
      </w:r>
      <w:r w:rsidRPr="00E42DF3">
        <w:rPr>
          <w:sz w:val="24"/>
          <w:szCs w:val="24"/>
        </w:rPr>
        <w:t xml:space="preserve">l’invio </w:t>
      </w:r>
      <w:r w:rsidR="009962CC">
        <w:rPr>
          <w:sz w:val="24"/>
          <w:szCs w:val="24"/>
        </w:rPr>
        <w:t xml:space="preserve">della stessa </w:t>
      </w:r>
      <w:r w:rsidRPr="00E42DF3">
        <w:rPr>
          <w:sz w:val="24"/>
          <w:szCs w:val="24"/>
        </w:rPr>
        <w:t>all’Agenzia per l’Italia Dig</w:t>
      </w:r>
      <w:r w:rsidR="00657A2F">
        <w:rPr>
          <w:sz w:val="24"/>
          <w:szCs w:val="24"/>
        </w:rPr>
        <w:t>itale</w:t>
      </w:r>
      <w:r w:rsidR="009962CC">
        <w:rPr>
          <w:sz w:val="24"/>
          <w:szCs w:val="24"/>
        </w:rPr>
        <w:t>.</w:t>
      </w:r>
    </w:p>
    <w:p w:rsidR="00626E4E" w:rsidRPr="00E42DF3" w:rsidRDefault="009962CC" w:rsidP="00657A2F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Al riguardo,</w:t>
      </w:r>
      <w:r w:rsidR="00657A2F">
        <w:rPr>
          <w:sz w:val="24"/>
          <w:szCs w:val="24"/>
        </w:rPr>
        <w:t xml:space="preserve"> </w:t>
      </w:r>
      <w:r>
        <w:rPr>
          <w:sz w:val="24"/>
          <w:szCs w:val="24"/>
        </w:rPr>
        <w:t>preme ricordare che, preventivamente alla compilazione della lettera di adesione,</w:t>
      </w:r>
      <w:r w:rsidRPr="00E42DF3">
        <w:rPr>
          <w:sz w:val="24"/>
          <w:szCs w:val="24"/>
        </w:rPr>
        <w:t xml:space="preserve"> l’Ente Creditore </w:t>
      </w:r>
      <w:r>
        <w:rPr>
          <w:sz w:val="24"/>
          <w:szCs w:val="24"/>
        </w:rPr>
        <w:t xml:space="preserve">dovrà aver individuato il nominativo </w:t>
      </w:r>
      <w:r w:rsidR="00657A2F">
        <w:rPr>
          <w:sz w:val="24"/>
          <w:szCs w:val="24"/>
        </w:rPr>
        <w:t xml:space="preserve">del “Referente dei pagamenti”, </w:t>
      </w:r>
      <w:r w:rsidR="007A3957" w:rsidRPr="00E42DF3">
        <w:rPr>
          <w:sz w:val="24"/>
          <w:szCs w:val="24"/>
        </w:rPr>
        <w:t xml:space="preserve">ossia della persona indicata quale </w:t>
      </w:r>
      <w:r>
        <w:rPr>
          <w:sz w:val="24"/>
          <w:szCs w:val="24"/>
        </w:rPr>
        <w:t>unico interlocutore</w:t>
      </w:r>
      <w:r w:rsidR="007A3957"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r w:rsidR="007A3957" w:rsidRPr="00E42DF3">
        <w:rPr>
          <w:sz w:val="24"/>
          <w:szCs w:val="24"/>
        </w:rPr>
        <w:t>l’Agenzia per l’Italia Digitale</w:t>
      </w:r>
      <w:r w:rsidR="00187DB9">
        <w:rPr>
          <w:sz w:val="24"/>
          <w:szCs w:val="24"/>
        </w:rPr>
        <w:t xml:space="preserve"> relativamente alle attività di carattere amministrativo</w:t>
      </w:r>
      <w:r w:rsidR="007A3957" w:rsidRPr="00E42DF3">
        <w:rPr>
          <w:sz w:val="24"/>
          <w:szCs w:val="24"/>
        </w:rPr>
        <w:t>.</w:t>
      </w:r>
      <w:r w:rsidR="00626E4E" w:rsidRPr="00626E4E">
        <w:rPr>
          <w:sz w:val="24"/>
          <w:szCs w:val="24"/>
        </w:rPr>
        <w:t xml:space="preserve"> </w:t>
      </w:r>
    </w:p>
    <w:p w:rsidR="009962CC" w:rsidRDefault="009962CC" w:rsidP="009962CC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Prerequisito </w:t>
      </w:r>
      <w:r w:rsidR="00626E4E" w:rsidRPr="00E42DF3">
        <w:rPr>
          <w:sz w:val="24"/>
          <w:szCs w:val="24"/>
        </w:rPr>
        <w:t>per l’adesione da parte degli Enti Creditori</w:t>
      </w:r>
      <w:r>
        <w:rPr>
          <w:sz w:val="24"/>
          <w:szCs w:val="24"/>
        </w:rPr>
        <w:t xml:space="preserve"> </w:t>
      </w:r>
      <w:r w:rsidR="00626E4E" w:rsidRPr="00E42DF3">
        <w:rPr>
          <w:sz w:val="24"/>
          <w:szCs w:val="24"/>
        </w:rPr>
        <w:t xml:space="preserve">è </w:t>
      </w:r>
      <w:r>
        <w:rPr>
          <w:sz w:val="24"/>
          <w:szCs w:val="24"/>
        </w:rPr>
        <w:t>la ricezione, da parte dell’ente, delle credenziali di accesso al Portale delle Adesioni, che ove non preventivamente inviate dall’AgID, po</w:t>
      </w:r>
      <w:r w:rsidR="00835BD3">
        <w:rPr>
          <w:sz w:val="24"/>
          <w:szCs w:val="24"/>
        </w:rPr>
        <w:t xml:space="preserve">tranno essere richieste </w:t>
      </w:r>
      <w:r>
        <w:rPr>
          <w:sz w:val="24"/>
          <w:szCs w:val="24"/>
        </w:rPr>
        <w:t>al</w:t>
      </w:r>
      <w:r w:rsidR="00835BD3">
        <w:rPr>
          <w:sz w:val="24"/>
          <w:szCs w:val="24"/>
        </w:rPr>
        <w:t>l’AgID (cfr. apposita pagina sul sito dell’Agenzia).</w:t>
      </w:r>
      <w:r w:rsidRPr="009962CC">
        <w:rPr>
          <w:sz w:val="24"/>
          <w:szCs w:val="24"/>
        </w:rPr>
        <w:t xml:space="preserve"> </w:t>
      </w:r>
    </w:p>
    <w:p w:rsidR="009962CC" w:rsidRDefault="009962CC" w:rsidP="009962CC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71327D">
        <w:rPr>
          <w:sz w:val="24"/>
          <w:szCs w:val="24"/>
        </w:rPr>
        <w:t>Ulteriore</w:t>
      </w:r>
      <w:r w:rsidRPr="00E42DF3">
        <w:rPr>
          <w:sz w:val="24"/>
          <w:szCs w:val="24"/>
        </w:rPr>
        <w:t xml:space="preserve"> prerequisito per l’adesione da parte degli Enti Creditori</w:t>
      </w:r>
      <w:r>
        <w:rPr>
          <w:sz w:val="24"/>
          <w:szCs w:val="24"/>
        </w:rPr>
        <w:t xml:space="preserve">, ove obbligati per legge a tale adempimento, </w:t>
      </w:r>
      <w:r w:rsidRPr="00E42DF3">
        <w:rPr>
          <w:sz w:val="24"/>
          <w:szCs w:val="24"/>
        </w:rPr>
        <w:t xml:space="preserve">è l’accreditamento nell’archivio </w:t>
      </w:r>
      <w:r>
        <w:rPr>
          <w:sz w:val="24"/>
          <w:szCs w:val="24"/>
        </w:rPr>
        <w:t>IPA (Indice delle Pubbliche Amministrazioni).</w:t>
      </w:r>
    </w:p>
    <w:p w:rsidR="001725CE" w:rsidRDefault="00232A14" w:rsidP="001725CE">
      <w:pPr>
        <w:spacing w:before="120"/>
        <w:ind w:right="5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istruzioni operative necessarie per completare la fase di adesione sono contenute nel </w:t>
      </w:r>
      <w:r w:rsidR="002D19A5">
        <w:rPr>
          <w:sz w:val="24"/>
          <w:szCs w:val="24"/>
        </w:rPr>
        <w:t xml:space="preserve">Manuale </w:t>
      </w:r>
      <w:r w:rsidR="00377CB1">
        <w:rPr>
          <w:sz w:val="24"/>
          <w:szCs w:val="24"/>
        </w:rPr>
        <w:t xml:space="preserve">Utente scaricabile </w:t>
      </w:r>
      <w:r w:rsidR="00835BD3">
        <w:rPr>
          <w:sz w:val="24"/>
          <w:szCs w:val="24"/>
        </w:rPr>
        <w:t>da</w:t>
      </w:r>
      <w:r w:rsidR="009962CC">
        <w:rPr>
          <w:sz w:val="24"/>
          <w:szCs w:val="24"/>
        </w:rPr>
        <w:t xml:space="preserve">l </w:t>
      </w:r>
      <w:r w:rsidR="00377CB1">
        <w:rPr>
          <w:sz w:val="24"/>
          <w:szCs w:val="24"/>
        </w:rPr>
        <w:t>sito</w:t>
      </w:r>
      <w:r w:rsidR="00835BD3">
        <w:rPr>
          <w:sz w:val="24"/>
          <w:szCs w:val="24"/>
        </w:rPr>
        <w:t xml:space="preserve"> dell’Agenzia</w:t>
      </w:r>
      <w:r w:rsidR="00377CB1">
        <w:rPr>
          <w:sz w:val="24"/>
          <w:szCs w:val="24"/>
        </w:rPr>
        <w:t xml:space="preserve"> o d</w:t>
      </w:r>
      <w:r w:rsidR="009962CC">
        <w:rPr>
          <w:sz w:val="24"/>
          <w:szCs w:val="24"/>
        </w:rPr>
        <w:t>e</w:t>
      </w:r>
      <w:r w:rsidR="001725CE">
        <w:rPr>
          <w:sz w:val="24"/>
          <w:szCs w:val="24"/>
        </w:rPr>
        <w:t>l Portale delle Adesioni.</w:t>
      </w:r>
    </w:p>
    <w:p w:rsidR="001725CE" w:rsidRPr="001725CE" w:rsidRDefault="001725CE" w:rsidP="001725CE">
      <w:pPr>
        <w:pStyle w:val="Titolo2"/>
      </w:pPr>
      <w:r>
        <w:t>A</w:t>
      </w:r>
      <w:r w:rsidRPr="00E42DF3">
        <w:t>desione di un Prestatore di Servizi di pagamento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bookmarkStart w:id="29" w:name="_Toc355876998"/>
      <w:bookmarkStart w:id="30" w:name="_Toc378068803"/>
      <w:bookmarkStart w:id="31" w:name="_Toc393651353"/>
      <w:r w:rsidRPr="00E42DF3">
        <w:rPr>
          <w:sz w:val="24"/>
          <w:szCs w:val="24"/>
        </w:rPr>
        <w:t>Per la fruizione del Servizio, il prestatore di servizi di pagamento aderi</w:t>
      </w:r>
      <w:r>
        <w:rPr>
          <w:sz w:val="24"/>
          <w:szCs w:val="24"/>
        </w:rPr>
        <w:t>sce</w:t>
      </w:r>
      <w:r w:rsidRPr="00E42DF3">
        <w:rPr>
          <w:sz w:val="24"/>
          <w:szCs w:val="24"/>
        </w:rPr>
        <w:t xml:space="preserve"> al sistema attraverso la </w:t>
      </w:r>
      <w:r>
        <w:rPr>
          <w:sz w:val="24"/>
          <w:szCs w:val="24"/>
        </w:rPr>
        <w:t xml:space="preserve">compilazione e la </w:t>
      </w:r>
      <w:r w:rsidRPr="00E42DF3">
        <w:rPr>
          <w:sz w:val="24"/>
          <w:szCs w:val="24"/>
        </w:rPr>
        <w:t xml:space="preserve">sottoscrizione con l’Agenzia per l’Italia Digitale di un accordo di servizio, il cui modello standard, </w:t>
      </w:r>
      <w:r w:rsidR="00835BD3">
        <w:rPr>
          <w:sz w:val="24"/>
          <w:szCs w:val="24"/>
        </w:rPr>
        <w:t>validato anche</w:t>
      </w:r>
      <w:r w:rsidRPr="00E42DF3">
        <w:rPr>
          <w:sz w:val="24"/>
          <w:szCs w:val="24"/>
        </w:rPr>
        <w:t xml:space="preserve"> d</w:t>
      </w:r>
      <w:r w:rsidR="00835BD3">
        <w:rPr>
          <w:sz w:val="24"/>
          <w:szCs w:val="24"/>
        </w:rPr>
        <w:t>a</w:t>
      </w:r>
      <w:r w:rsidRPr="00E42DF3">
        <w:rPr>
          <w:sz w:val="24"/>
          <w:szCs w:val="24"/>
        </w:rPr>
        <w:t>ll’</w:t>
      </w:r>
      <w:r w:rsidR="00835BD3">
        <w:rPr>
          <w:sz w:val="24"/>
          <w:szCs w:val="24"/>
        </w:rPr>
        <w:t>ABI-</w:t>
      </w:r>
      <w:r w:rsidRPr="00E42DF3">
        <w:rPr>
          <w:sz w:val="24"/>
          <w:szCs w:val="24"/>
        </w:rPr>
        <w:t>Associazione Bancaria Italiana, è pubblicato sul sito dell’Agenzia per l’Italia Digitale.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In sede di adesione al Nodo dei Pagamenti-SPC, e precisamente, con la sottoscrizione del modello standar</w:t>
      </w:r>
      <w:r>
        <w:rPr>
          <w:sz w:val="24"/>
          <w:szCs w:val="24"/>
        </w:rPr>
        <w:t>d</w:t>
      </w:r>
      <w:r w:rsidRPr="00E42DF3">
        <w:rPr>
          <w:sz w:val="24"/>
          <w:szCs w:val="24"/>
        </w:rPr>
        <w:t xml:space="preserve"> di accordo di servizio e la contestuale accettazione di quanto stabilito nelle Linee guida e nei relativi allegati, il PSP, a titolo gratuito, autorizza l’Agenzia per l’Italia Digitale a utilizzare e pubblicare il marchio identificativo del PSP aderente, nonché ogni proprio ulteriore marchio identificativo dei servizi da questi erogati attraverso il Nodo dei Pagamenti-SPC.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Inoltre, in forza dell’integrazione automatica stabilita negli accordi di servizio sottoscritti con i PSP, ogni nuova disposizione e/o previsione contenuta nelle Linee Guida</w:t>
      </w:r>
      <w:r>
        <w:rPr>
          <w:sz w:val="24"/>
          <w:szCs w:val="24"/>
        </w:rPr>
        <w:t xml:space="preserve"> e nei relativi allegati e/o </w:t>
      </w:r>
      <w:r w:rsidR="006B4B81">
        <w:rPr>
          <w:sz w:val="24"/>
          <w:szCs w:val="24"/>
        </w:rPr>
        <w:t>documentazione</w:t>
      </w:r>
      <w:r>
        <w:rPr>
          <w:sz w:val="24"/>
          <w:szCs w:val="24"/>
        </w:rPr>
        <w:t xml:space="preserve"> monografica di riferimento </w:t>
      </w:r>
      <w:r w:rsidRPr="00E42DF3">
        <w:rPr>
          <w:sz w:val="24"/>
          <w:szCs w:val="24"/>
        </w:rPr>
        <w:t>risulterà inserita e/o richiamata nell’accordo di servizio già sottoscritto</w:t>
      </w:r>
      <w:r>
        <w:rPr>
          <w:sz w:val="24"/>
          <w:szCs w:val="24"/>
        </w:rPr>
        <w:t>,</w:t>
      </w:r>
      <w:r w:rsidRPr="00E42DF3">
        <w:rPr>
          <w:sz w:val="24"/>
          <w:szCs w:val="24"/>
        </w:rPr>
        <w:t xml:space="preserve"> quale parte integrante dello stesso, anche in sostituzione delle clausole difformi apposte in esso, senza alcun ulteriore consenso tra le parti sottoscrittrici. 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Sempre in forza della stabilita integrazione automatica, gli stessi accordi di servizio già sottoscritti risulteranno altresì automaticamente integrati con ogni nuova disposizione e/o previsione contenuta </w:t>
      </w:r>
      <w:r w:rsidRPr="00E42DF3">
        <w:rPr>
          <w:sz w:val="24"/>
          <w:szCs w:val="24"/>
        </w:rPr>
        <w:lastRenderedPageBreak/>
        <w:t>nel nuovo modello standard di accordo di servizio</w:t>
      </w:r>
      <w:r w:rsidR="00835BD3">
        <w:rPr>
          <w:sz w:val="24"/>
          <w:szCs w:val="24"/>
        </w:rPr>
        <w:t>,</w:t>
      </w:r>
      <w:r w:rsidRPr="00E42DF3">
        <w:rPr>
          <w:sz w:val="24"/>
          <w:szCs w:val="24"/>
        </w:rPr>
        <w:t xml:space="preserve"> anche in sostituzione delle clausole difformi apposte, senza alcun ulteriore consenso tra le parti sottoscrittrici. 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L’adesione formale al Nodo dei Pagamenti-SPC</w:t>
      </w:r>
      <w:r w:rsidRPr="00E42DF3" w:rsidDel="006E28E8">
        <w:rPr>
          <w:sz w:val="24"/>
          <w:szCs w:val="24"/>
        </w:rPr>
        <w:t xml:space="preserve"> </w:t>
      </w:r>
      <w:r w:rsidRPr="00E42DF3">
        <w:rPr>
          <w:sz w:val="24"/>
          <w:szCs w:val="24"/>
        </w:rPr>
        <w:t xml:space="preserve">consente il censimento del soggetto al Dominio (di cui al paragrafo </w:t>
      </w:r>
      <w:r w:rsidR="00B76B33">
        <w:fldChar w:fldCharType="begin"/>
      </w:r>
      <w:r w:rsidR="00B76B33">
        <w:instrText xml:space="preserve"> REF _Ref315873780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4.2.1</w:t>
      </w:r>
      <w:r w:rsidR="00B76B33">
        <w:fldChar w:fldCharType="end"/>
      </w:r>
      <w:r w:rsidRPr="00E42DF3">
        <w:rPr>
          <w:sz w:val="24"/>
          <w:szCs w:val="24"/>
        </w:rPr>
        <w:t>) e comporta la nomina di un “Referente dei pagamenti”, ossia della persona indicata dal prestatore di servizi di pagamento</w:t>
      </w:r>
      <w:r>
        <w:rPr>
          <w:sz w:val="24"/>
          <w:szCs w:val="24"/>
        </w:rPr>
        <w:t>,</w:t>
      </w:r>
      <w:r w:rsidRPr="00E42DF3">
        <w:rPr>
          <w:sz w:val="24"/>
          <w:szCs w:val="24"/>
        </w:rPr>
        <w:t xml:space="preserve"> quale </w:t>
      </w:r>
      <w:r w:rsidR="00430D46">
        <w:rPr>
          <w:sz w:val="24"/>
          <w:szCs w:val="24"/>
        </w:rPr>
        <w:t xml:space="preserve">unico interlocutore con </w:t>
      </w:r>
      <w:r w:rsidRPr="00E42DF3">
        <w:rPr>
          <w:sz w:val="24"/>
          <w:szCs w:val="24"/>
        </w:rPr>
        <w:t>l’Agenzia per l’Italia Digitale</w:t>
      </w:r>
      <w:r w:rsidR="00187DB9">
        <w:rPr>
          <w:sz w:val="24"/>
          <w:szCs w:val="24"/>
        </w:rPr>
        <w:t xml:space="preserve"> relativamente alle attività di carattere amministrativo</w:t>
      </w:r>
      <w:r w:rsidRPr="00E42DF3">
        <w:rPr>
          <w:sz w:val="24"/>
          <w:szCs w:val="24"/>
        </w:rPr>
        <w:t>.</w:t>
      </w:r>
    </w:p>
    <w:p w:rsidR="004248B0" w:rsidRPr="00E42DF3" w:rsidRDefault="004248B0" w:rsidP="006B4B81">
      <w:pPr>
        <w:spacing w:before="120" w:after="120"/>
        <w:ind w:right="57"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Il “Referente dei pagamenti”, pena l’impossibilità di attivare il servizio da parte del Nodo dei Pagamenti-SPC, nella fase di adesione dovrà:</w:t>
      </w:r>
    </w:p>
    <w:p w:rsidR="004248B0" w:rsidRPr="00E42DF3" w:rsidRDefault="004248B0" w:rsidP="00D468B4">
      <w:pPr>
        <w:pStyle w:val="Soggettocommento"/>
        <w:numPr>
          <w:ilvl w:val="0"/>
          <w:numId w:val="42"/>
        </w:numPr>
        <w:spacing w:before="120" w:after="120"/>
        <w:ind w:left="851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operare per predisporre i necessari collegamenti tecnici, le configurazioni e gli apparati atti a garantire l’accesso al Servizio, secondo quanto indicato nella documentazione tecnica fornita dall’Agenzia per l’Italia Digitale;</w:t>
      </w:r>
    </w:p>
    <w:p w:rsidR="004248B0" w:rsidRPr="00CE719D" w:rsidRDefault="004248B0" w:rsidP="00D468B4">
      <w:pPr>
        <w:pStyle w:val="Soggettocommento"/>
        <w:numPr>
          <w:ilvl w:val="0"/>
          <w:numId w:val="42"/>
        </w:numPr>
        <w:spacing w:before="120" w:after="120"/>
        <w:ind w:left="851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operare per sviluppare e tenere aggiornate le componenti applicative necessarie all’interoperabilità con il Nodo dei Pagamenti-SPC, secondo quanto indicato nelle presenti specifiche attuative;</w:t>
      </w:r>
    </w:p>
    <w:p w:rsidR="004248B0" w:rsidRPr="00E42DF3" w:rsidRDefault="004248B0" w:rsidP="00D468B4">
      <w:pPr>
        <w:pStyle w:val="Soggettocommento"/>
        <w:numPr>
          <w:ilvl w:val="0"/>
          <w:numId w:val="42"/>
        </w:numPr>
        <w:spacing w:before="120" w:after="120"/>
        <w:ind w:left="851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  <w:lang w:eastAsia="en-US"/>
        </w:rPr>
        <w:t>avanzare l’eventuale richiesta di attivazione dei servizi opzionali, corredata dai dati tecnici necessari per la loro fruizione, così come sarà richiesto dall’Agenzia per l’Italia Digitale;</w:t>
      </w:r>
    </w:p>
    <w:p w:rsidR="004248B0" w:rsidRPr="00E42DF3" w:rsidRDefault="004248B0" w:rsidP="00D468B4">
      <w:pPr>
        <w:pStyle w:val="Soggettocommento"/>
        <w:numPr>
          <w:ilvl w:val="0"/>
          <w:numId w:val="42"/>
        </w:numPr>
        <w:spacing w:before="120" w:after="120"/>
        <w:ind w:left="851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  <w:lang w:eastAsia="en-US"/>
        </w:rPr>
        <w:t>assicurarsi che il collegamento telematico non possa degradare il livello di sicurezza del sistema;</w:t>
      </w:r>
    </w:p>
    <w:p w:rsidR="004248B0" w:rsidRPr="00E42DF3" w:rsidRDefault="004248B0" w:rsidP="00D468B4">
      <w:pPr>
        <w:pStyle w:val="Soggettocommento"/>
        <w:numPr>
          <w:ilvl w:val="0"/>
          <w:numId w:val="42"/>
        </w:numPr>
        <w:spacing w:before="120" w:after="120"/>
        <w:ind w:left="851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predisporre, comunicare tempestivamente e tenere costantemente aggiornate le informazioni necessarie per la gestione del sistema, quali:</w:t>
      </w:r>
    </w:p>
    <w:p w:rsidR="004248B0" w:rsidRPr="00E42DF3" w:rsidRDefault="004248B0" w:rsidP="00D468B4">
      <w:pPr>
        <w:pStyle w:val="Soggettocommento"/>
        <w:numPr>
          <w:ilvl w:val="1"/>
          <w:numId w:val="44"/>
        </w:numPr>
        <w:spacing w:before="120" w:after="120"/>
        <w:ind w:right="57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i propri livelli di servizio intesi come tempi massimi entro cui deve essere fornita la risposta applicativa ad una richiesta di servizio (vedi anche § </w:t>
      </w:r>
      <w:r w:rsidR="00B76B33">
        <w:fldChar w:fldCharType="begin"/>
      </w:r>
      <w:r w:rsidR="00B76B33">
        <w:instrText xml:space="preserve"> REF _Ref353820754 \r \h  \* MERGEFORMAT </w:instrText>
      </w:r>
      <w:r w:rsidR="00B76B33">
        <w:fldChar w:fldCharType="separate"/>
      </w:r>
      <w:r w:rsidR="00266967" w:rsidRPr="00266967">
        <w:rPr>
          <w:b w:val="0"/>
          <w:sz w:val="24"/>
          <w:szCs w:val="24"/>
        </w:rPr>
        <w:t>12.6</w:t>
      </w:r>
      <w:r w:rsidR="00B76B33">
        <w:fldChar w:fldCharType="end"/>
      </w:r>
      <w:r w:rsidRPr="00E42DF3">
        <w:rPr>
          <w:b w:val="0"/>
          <w:sz w:val="24"/>
          <w:szCs w:val="24"/>
        </w:rPr>
        <w:t>);</w:t>
      </w:r>
    </w:p>
    <w:p w:rsidR="004248B0" w:rsidRPr="00E42DF3" w:rsidRDefault="004248B0" w:rsidP="00D468B4">
      <w:pPr>
        <w:pStyle w:val="Soggettocommento"/>
        <w:numPr>
          <w:ilvl w:val="1"/>
          <w:numId w:val="44"/>
        </w:numPr>
        <w:spacing w:before="120" w:after="120"/>
        <w:ind w:right="57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disponibilità dei servizi che il prestatore di servizi di pagamento si impegna a rispettare (vedi anche </w:t>
      </w:r>
      <w:r w:rsidR="00B76B33">
        <w:fldChar w:fldCharType="begin"/>
      </w:r>
      <w:r w:rsidR="00B76B33">
        <w:instrText xml:space="preserve"> REF _Ref353820329 \r \h  \* MERGEFORMAT </w:instrText>
      </w:r>
      <w:r w:rsidR="00B76B33">
        <w:fldChar w:fldCharType="separate"/>
      </w:r>
      <w:r w:rsidR="00266967" w:rsidRPr="00266967">
        <w:rPr>
          <w:b w:val="0"/>
          <w:sz w:val="24"/>
          <w:szCs w:val="24"/>
        </w:rPr>
        <w:t>12.5.3</w:t>
      </w:r>
      <w:r w:rsidR="00B76B33">
        <w:fldChar w:fldCharType="end"/>
      </w:r>
      <w:r w:rsidRPr="00E42DF3">
        <w:rPr>
          <w:b w:val="0"/>
          <w:sz w:val="24"/>
          <w:szCs w:val="24"/>
        </w:rPr>
        <w:t>);</w:t>
      </w:r>
    </w:p>
    <w:p w:rsidR="004248B0" w:rsidRPr="00E42DF3" w:rsidRDefault="004248B0" w:rsidP="00D468B4">
      <w:pPr>
        <w:pStyle w:val="Soggettocommento"/>
        <w:numPr>
          <w:ilvl w:val="1"/>
          <w:numId w:val="44"/>
        </w:numPr>
        <w:spacing w:before="120" w:after="120"/>
        <w:ind w:right="57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i riferimenti delle figure tecniche da contattare per le procedure di emergenza (Tavolo Operativo), eventualmente specificando l’area presidiata da ciascuna figura indicata (problematiche di rete, applicative, di sicurezza, </w:t>
      </w:r>
      <w:r w:rsidR="00DB4DB7">
        <w:rPr>
          <w:b w:val="0"/>
          <w:sz w:val="24"/>
          <w:szCs w:val="24"/>
        </w:rPr>
        <w:t>ecc.</w:t>
      </w:r>
      <w:r w:rsidRPr="00E42DF3">
        <w:rPr>
          <w:b w:val="0"/>
          <w:sz w:val="24"/>
          <w:szCs w:val="24"/>
        </w:rPr>
        <w:t>) e in conformità con le richieste dall’Agenzia per l’Italia Digitale;</w:t>
      </w:r>
    </w:p>
    <w:p w:rsidR="007A3957" w:rsidRPr="00E42DF3" w:rsidRDefault="004248B0" w:rsidP="00D468B4">
      <w:pPr>
        <w:pStyle w:val="Soggettocommento"/>
        <w:numPr>
          <w:ilvl w:val="1"/>
          <w:numId w:val="44"/>
        </w:numPr>
        <w:spacing w:before="120" w:after="120"/>
        <w:ind w:right="57"/>
        <w:contextualSpacing/>
        <w:jc w:val="both"/>
        <w:rPr>
          <w:sz w:val="24"/>
          <w:szCs w:val="24"/>
        </w:rPr>
      </w:pPr>
      <w:r w:rsidRPr="00E42DF3">
        <w:rPr>
          <w:b w:val="0"/>
          <w:sz w:val="24"/>
          <w:szCs w:val="24"/>
        </w:rPr>
        <w:t>i riferimenti delle figure tecniche responsabili dello sviluppo delle componenti progettuali e dell’esecuzione dei successivi test di accettazione.</w:t>
      </w:r>
    </w:p>
    <w:p w:rsidR="007A3957" w:rsidRPr="00E42DF3" w:rsidRDefault="004248B0" w:rsidP="007A3957">
      <w:pPr>
        <w:pStyle w:val="Titolo2"/>
      </w:pPr>
      <w:bookmarkStart w:id="32" w:name="_Toc398137921"/>
      <w:bookmarkStart w:id="33" w:name="_Toc400729773"/>
      <w:bookmarkStart w:id="34" w:name="_Toc487281202"/>
      <w:bookmarkStart w:id="35" w:name="_Toc508016353"/>
      <w:r>
        <w:t xml:space="preserve">Qualificazione di </w:t>
      </w:r>
      <w:r w:rsidR="007A3957" w:rsidRPr="00E42DF3">
        <w:t xml:space="preserve">Intermediari </w:t>
      </w:r>
      <w:r>
        <w:t xml:space="preserve">e Partner </w:t>
      </w:r>
      <w:r w:rsidR="007A3957" w:rsidRPr="00E42DF3">
        <w:t>tecnologici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4248B0" w:rsidRPr="00E42DF3" w:rsidRDefault="004248B0" w:rsidP="004248B0">
      <w:pPr>
        <w:spacing w:before="120" w:after="120"/>
        <w:ind w:left="57" w:right="57" w:firstLine="227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Come previsto dal modello di funzionamento, gli aderenti possono servirsi di </w:t>
      </w:r>
      <w:r>
        <w:rPr>
          <w:sz w:val="24"/>
          <w:szCs w:val="24"/>
        </w:rPr>
        <w:t>I</w:t>
      </w:r>
      <w:r w:rsidRPr="00E42DF3">
        <w:rPr>
          <w:sz w:val="24"/>
          <w:szCs w:val="24"/>
        </w:rPr>
        <w:t xml:space="preserve">ntermediari </w:t>
      </w:r>
      <w:r>
        <w:rPr>
          <w:sz w:val="24"/>
          <w:szCs w:val="24"/>
        </w:rPr>
        <w:t xml:space="preserve">e/o Partner </w:t>
      </w:r>
      <w:r w:rsidRPr="00E42DF3">
        <w:rPr>
          <w:sz w:val="24"/>
          <w:szCs w:val="24"/>
        </w:rPr>
        <w:t xml:space="preserve">tecnologici per interconnettersi al Nodo di Pagamenti-SPC (cfr. § </w:t>
      </w:r>
      <w:r w:rsidR="00B76B33">
        <w:fldChar w:fldCharType="begin"/>
      </w:r>
      <w:r w:rsidR="00B76B33">
        <w:instrText xml:space="preserve"> REF _Ref353965897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1.1.2</w:t>
      </w:r>
      <w:r w:rsidR="00B76B33">
        <w:fldChar w:fldCharType="end"/>
      </w:r>
      <w:r w:rsidRPr="00E42DF3">
        <w:rPr>
          <w:sz w:val="24"/>
          <w:szCs w:val="24"/>
        </w:rPr>
        <w:t xml:space="preserve">). </w:t>
      </w:r>
    </w:p>
    <w:p w:rsidR="004248B0" w:rsidRPr="00E42DF3" w:rsidRDefault="004248B0" w:rsidP="004248B0">
      <w:pPr>
        <w:spacing w:before="120" w:after="120"/>
        <w:ind w:left="57" w:right="57" w:firstLine="22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censimento</w:t>
      </w:r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>degli</w:t>
      </w:r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>Intermediari e dei Partner tecnologici</w:t>
      </w:r>
      <w:r w:rsidRPr="00E42DF3">
        <w:rPr>
          <w:sz w:val="24"/>
          <w:szCs w:val="24"/>
        </w:rPr>
        <w:t xml:space="preserve"> viene </w:t>
      </w:r>
      <w:r>
        <w:rPr>
          <w:sz w:val="24"/>
          <w:szCs w:val="24"/>
        </w:rPr>
        <w:t>effettuato</w:t>
      </w:r>
      <w:r w:rsidRPr="00E42DF3">
        <w:rPr>
          <w:sz w:val="24"/>
          <w:szCs w:val="24"/>
        </w:rPr>
        <w:t xml:space="preserve"> dall’Agenzia dell’Italia </w:t>
      </w:r>
      <w:r>
        <w:rPr>
          <w:sz w:val="24"/>
          <w:szCs w:val="24"/>
        </w:rPr>
        <w:t>D</w:t>
      </w:r>
      <w:r w:rsidRPr="00E42DF3">
        <w:rPr>
          <w:sz w:val="24"/>
          <w:szCs w:val="24"/>
        </w:rPr>
        <w:t xml:space="preserve">igitale a seguito del superamento di </w:t>
      </w:r>
      <w:r w:rsidR="00430D46">
        <w:rPr>
          <w:sz w:val="24"/>
          <w:szCs w:val="24"/>
        </w:rPr>
        <w:t xml:space="preserve">specifici test </w:t>
      </w:r>
      <w:r w:rsidR="00EA2467">
        <w:rPr>
          <w:sz w:val="24"/>
          <w:szCs w:val="24"/>
        </w:rPr>
        <w:t xml:space="preserve">di connettività e </w:t>
      </w:r>
      <w:r w:rsidR="00430D46">
        <w:rPr>
          <w:sz w:val="24"/>
          <w:szCs w:val="24"/>
        </w:rPr>
        <w:t>applicativi</w:t>
      </w:r>
      <w:r>
        <w:rPr>
          <w:sz w:val="24"/>
          <w:szCs w:val="24"/>
        </w:rPr>
        <w:t xml:space="preserve">, rispettivamente </w:t>
      </w:r>
      <w:r w:rsidR="00F869EF">
        <w:rPr>
          <w:sz w:val="24"/>
          <w:szCs w:val="24"/>
        </w:rPr>
        <w:t>da parte dell</w:t>
      </w:r>
      <w:r w:rsidR="00EA2467">
        <w:rPr>
          <w:sz w:val="24"/>
          <w:szCs w:val="24"/>
        </w:rPr>
        <w:t>’</w:t>
      </w:r>
      <w:r w:rsidR="00F869EF">
        <w:rPr>
          <w:sz w:val="24"/>
          <w:szCs w:val="24"/>
        </w:rPr>
        <w:t>Intermediario o da parte del primo Ente Creditore gestito dal Partner tecnologico; tal</w:t>
      </w:r>
      <w:r w:rsidR="00EA2467">
        <w:rPr>
          <w:sz w:val="24"/>
          <w:szCs w:val="24"/>
        </w:rPr>
        <w:t>i verifiche sono</w:t>
      </w:r>
      <w:r w:rsidRPr="00E42DF3">
        <w:rPr>
          <w:sz w:val="24"/>
          <w:szCs w:val="24"/>
        </w:rPr>
        <w:t xml:space="preserve"> </w:t>
      </w:r>
      <w:r w:rsidR="00F869EF">
        <w:rPr>
          <w:sz w:val="24"/>
          <w:szCs w:val="24"/>
        </w:rPr>
        <w:t>funzional</w:t>
      </w:r>
      <w:r w:rsidR="00EA2467">
        <w:rPr>
          <w:sz w:val="24"/>
          <w:szCs w:val="24"/>
        </w:rPr>
        <w:t>i</w:t>
      </w:r>
      <w:r w:rsidRPr="00E42DF3">
        <w:rPr>
          <w:sz w:val="24"/>
          <w:szCs w:val="24"/>
        </w:rPr>
        <w:t xml:space="preserve"> a </w:t>
      </w:r>
      <w:r w:rsidR="00EA2467">
        <w:rPr>
          <w:sz w:val="24"/>
          <w:szCs w:val="24"/>
        </w:rPr>
        <w:t>consentire alla controparte di autocertificare</w:t>
      </w:r>
      <w:r w:rsidR="00EA2467" w:rsidRPr="00E42DF3">
        <w:rPr>
          <w:sz w:val="24"/>
          <w:szCs w:val="24"/>
        </w:rPr>
        <w:t xml:space="preserve"> </w:t>
      </w:r>
      <w:r w:rsidRPr="00E42DF3">
        <w:rPr>
          <w:sz w:val="24"/>
          <w:szCs w:val="24"/>
        </w:rPr>
        <w:t>i seguenti adempimenti:</w:t>
      </w:r>
    </w:p>
    <w:p w:rsidR="004248B0" w:rsidRPr="00E42DF3" w:rsidRDefault="004248B0" w:rsidP="005003C7">
      <w:pPr>
        <w:pStyle w:val="Soggettocommento"/>
        <w:numPr>
          <w:ilvl w:val="0"/>
          <w:numId w:val="45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predisposizione dei necessari collegamenti tecnici, delle configurazioni e degli apparati atti a garantire l’accesso al Servizio, secondo quanto indicato nella documentazione tecnica fornita dall’Agenzia per l’Italia Digitale e pubblicata sul sito web istituzionale;</w:t>
      </w:r>
    </w:p>
    <w:p w:rsidR="004248B0" w:rsidRPr="00E42DF3" w:rsidRDefault="004248B0" w:rsidP="005003C7">
      <w:pPr>
        <w:pStyle w:val="Soggettocommento"/>
        <w:numPr>
          <w:ilvl w:val="0"/>
          <w:numId w:val="45"/>
        </w:numPr>
        <w:ind w:left="993" w:right="57" w:hanging="426"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sviluppo, manutenzione e aggiornamento delle componenti applicative necessarie all’interoperabilità con il Nodo dei Pagamenti-SPC, secondo quanto indicato nelle presenti specifiche attuative.</w:t>
      </w:r>
    </w:p>
    <w:p w:rsidR="007A3957" w:rsidRDefault="004248B0" w:rsidP="00CE719D">
      <w:pPr>
        <w:spacing w:before="120"/>
        <w:ind w:left="57" w:right="57" w:firstLine="227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L’Agenzia dell’Italia </w:t>
      </w:r>
      <w:r>
        <w:rPr>
          <w:sz w:val="24"/>
          <w:szCs w:val="24"/>
        </w:rPr>
        <w:t>D</w:t>
      </w:r>
      <w:r w:rsidRPr="00E42DF3">
        <w:rPr>
          <w:sz w:val="24"/>
          <w:szCs w:val="24"/>
        </w:rPr>
        <w:t>igitale</w:t>
      </w:r>
      <w:r w:rsidR="00EA2467">
        <w:rPr>
          <w:sz w:val="24"/>
          <w:szCs w:val="24"/>
        </w:rPr>
        <w:t>, a seguito della procedura di autocertificazione</w:t>
      </w:r>
      <w:r w:rsidR="008123F6">
        <w:rPr>
          <w:sz w:val="24"/>
          <w:szCs w:val="24"/>
        </w:rPr>
        <w:t xml:space="preserve"> e previa nomina da parte</w:t>
      </w:r>
      <w:r w:rsidR="008123F6" w:rsidRPr="008123F6">
        <w:rPr>
          <w:sz w:val="24"/>
          <w:szCs w:val="24"/>
        </w:rPr>
        <w:t xml:space="preserve"> </w:t>
      </w:r>
      <w:r w:rsidR="008123F6">
        <w:rPr>
          <w:sz w:val="24"/>
          <w:szCs w:val="24"/>
        </w:rPr>
        <w:t>dell’Intermediario o del Partner tecnologico del proprio Referente Tecnico,</w:t>
      </w:r>
      <w:r w:rsidRPr="00E42DF3">
        <w:rPr>
          <w:sz w:val="24"/>
          <w:szCs w:val="24"/>
        </w:rPr>
        <w:t xml:space="preserve"> provvede a pubblicare sul proprio sito istituzionale l’elenco di tali soggetti.</w:t>
      </w:r>
    </w:p>
    <w:p w:rsidR="001725CE" w:rsidRPr="001725CE" w:rsidRDefault="001725CE" w:rsidP="001725CE">
      <w:pPr>
        <w:pStyle w:val="Titolo2"/>
      </w:pPr>
      <w:r>
        <w:rPr>
          <w:sz w:val="24"/>
          <w:szCs w:val="24"/>
        </w:rPr>
        <w:lastRenderedPageBreak/>
        <w:t>C</w:t>
      </w:r>
      <w:r w:rsidRPr="00E42DF3">
        <w:t xml:space="preserve">ompletamento della procedura di </w:t>
      </w:r>
      <w:r>
        <w:t>avvio in esercizio.</w:t>
      </w:r>
    </w:p>
    <w:p w:rsidR="007A3957" w:rsidRPr="00E42DF3" w:rsidRDefault="007A3957" w:rsidP="007A3957">
      <w:pPr>
        <w:spacing w:before="120" w:after="120"/>
        <w:ind w:left="57" w:right="57" w:firstLine="227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Una volta sottoscritto il documento di adesione (lettera</w:t>
      </w:r>
      <w:r w:rsidR="00430D46">
        <w:rPr>
          <w:sz w:val="24"/>
          <w:szCs w:val="24"/>
        </w:rPr>
        <w:t xml:space="preserve"> di adesione/</w:t>
      </w:r>
      <w:r w:rsidRPr="00E42DF3">
        <w:rPr>
          <w:sz w:val="24"/>
          <w:szCs w:val="24"/>
        </w:rPr>
        <w:t xml:space="preserve">accordo di servizio) l’Agenzia </w:t>
      </w:r>
      <w:r w:rsidR="00545FF6">
        <w:rPr>
          <w:sz w:val="24"/>
          <w:szCs w:val="24"/>
        </w:rPr>
        <w:t>concorda</w:t>
      </w:r>
      <w:r w:rsidRPr="00E42DF3">
        <w:rPr>
          <w:sz w:val="24"/>
          <w:szCs w:val="24"/>
        </w:rPr>
        <w:t xml:space="preserve"> con il soggetto aderente</w:t>
      </w:r>
      <w:r w:rsidR="00430D46">
        <w:rPr>
          <w:sz w:val="24"/>
          <w:szCs w:val="24"/>
        </w:rPr>
        <w:t xml:space="preserve"> (Ente Creditore/PSP)</w:t>
      </w:r>
      <w:r w:rsidRPr="00E42DF3">
        <w:rPr>
          <w:sz w:val="24"/>
          <w:szCs w:val="24"/>
        </w:rPr>
        <w:t xml:space="preserve"> </w:t>
      </w:r>
      <w:r w:rsidR="000554CD" w:rsidRPr="00E42DF3">
        <w:rPr>
          <w:sz w:val="24"/>
          <w:szCs w:val="24"/>
        </w:rPr>
        <w:t xml:space="preserve">il piano di </w:t>
      </w:r>
      <w:r w:rsidR="000554CD">
        <w:rPr>
          <w:sz w:val="24"/>
          <w:szCs w:val="24"/>
        </w:rPr>
        <w:t>attivazione</w:t>
      </w:r>
      <w:r w:rsidR="000554CD" w:rsidRPr="00E42DF3">
        <w:rPr>
          <w:sz w:val="24"/>
          <w:szCs w:val="24"/>
        </w:rPr>
        <w:t xml:space="preserve"> </w:t>
      </w:r>
      <w:r w:rsidR="000554CD">
        <w:rPr>
          <w:sz w:val="24"/>
          <w:szCs w:val="24"/>
        </w:rPr>
        <w:t>che fissa tutti gli elementi tecnici necessari</w:t>
      </w:r>
      <w:r w:rsidRPr="00E42DF3">
        <w:rPr>
          <w:sz w:val="24"/>
          <w:szCs w:val="24"/>
        </w:rPr>
        <w:t xml:space="preserve"> per la pianificazione dei lavori e la messa in esercizio (</w:t>
      </w:r>
      <w:r w:rsidR="00F869EF">
        <w:rPr>
          <w:sz w:val="24"/>
          <w:szCs w:val="24"/>
        </w:rPr>
        <w:t>vedi</w:t>
      </w:r>
      <w:r w:rsidRPr="00E42DF3">
        <w:rPr>
          <w:sz w:val="24"/>
          <w:szCs w:val="24"/>
        </w:rPr>
        <w:t xml:space="preserve"> §§ </w:t>
      </w:r>
      <w:r w:rsidR="00B76B33">
        <w:fldChar w:fldCharType="begin"/>
      </w:r>
      <w:r w:rsidR="00B76B33">
        <w:instrText xml:space="preserve"> REF _Ref353820934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11.1</w:t>
      </w:r>
      <w:r w:rsidR="00B76B33">
        <w:fldChar w:fldCharType="end"/>
      </w:r>
      <w:r w:rsidRPr="00E42DF3">
        <w:rPr>
          <w:sz w:val="24"/>
          <w:szCs w:val="24"/>
        </w:rPr>
        <w:t xml:space="preserve"> e </w:t>
      </w:r>
      <w:r w:rsidR="00B76B33">
        <w:fldChar w:fldCharType="begin"/>
      </w:r>
      <w:r w:rsidR="00B76B33">
        <w:instrText xml:space="preserve"> REF _Ref353820936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11.2</w:t>
      </w:r>
      <w:r w:rsidR="00B76B33">
        <w:fldChar w:fldCharType="end"/>
      </w:r>
      <w:r w:rsidRPr="00E42DF3">
        <w:rPr>
          <w:sz w:val="24"/>
          <w:szCs w:val="24"/>
        </w:rPr>
        <w:t>).</w:t>
      </w:r>
    </w:p>
    <w:p w:rsidR="007A3957" w:rsidRDefault="007A3957" w:rsidP="007A3957">
      <w:pPr>
        <w:pStyle w:val="Normale2"/>
        <w:spacing w:after="0"/>
      </w:pPr>
      <w:r w:rsidRPr="00E42DF3">
        <w:t xml:space="preserve">La procedura di </w:t>
      </w:r>
      <w:r w:rsidR="000554CD">
        <w:t>avvio in esercizio</w:t>
      </w:r>
      <w:r w:rsidRPr="00E42DF3">
        <w:t xml:space="preserve"> si conclude con la sottoscrizione da parte del Referente </w:t>
      </w:r>
      <w:r w:rsidR="008123F6">
        <w:t>Tecnico</w:t>
      </w:r>
      <w:r w:rsidRPr="00E42DF3">
        <w:t xml:space="preserve"> del soggetto aderente</w:t>
      </w:r>
      <w:r w:rsidR="00187DB9">
        <w:t xml:space="preserve">, quale unico interlocutore con </w:t>
      </w:r>
      <w:r w:rsidR="00187DB9" w:rsidRPr="00E42DF3">
        <w:t>l’Agenzia per l’Italia Digitale</w:t>
      </w:r>
      <w:r w:rsidR="00187DB9">
        <w:t xml:space="preserve"> relativamente alle attività di carattere tecnico,</w:t>
      </w:r>
      <w:r w:rsidR="000554CD">
        <w:t xml:space="preserve"> che certifica</w:t>
      </w:r>
      <w:r w:rsidRPr="00E42DF3">
        <w:t xml:space="preserve"> l’esito delle prove effettuate ai fini della abilitazione in esercizio.</w:t>
      </w:r>
    </w:p>
    <w:p w:rsidR="008123F6" w:rsidRDefault="008123F6" w:rsidP="007A3957">
      <w:pPr>
        <w:pStyle w:val="Normale2"/>
        <w:spacing w:after="0"/>
      </w:pPr>
      <w:r>
        <w:t>Si puntualizza che</w:t>
      </w:r>
      <w:r w:rsidR="00187DB9">
        <w:t>, nell’eventualità in cui un soggetto aderente si avvalga di Intermediari e/o Partner tecnologici, acquisirà in via automatica i rispettivi Referenti Tecnici, senza facoltà di loro nomina o sostituzione in forza dell’avvenuta delega delle attività tecniche.</w:t>
      </w:r>
    </w:p>
    <w:p w:rsidR="001725CE" w:rsidRDefault="000554CD" w:rsidP="001725CE">
      <w:pPr>
        <w:pStyle w:val="Normale2"/>
        <w:spacing w:after="0"/>
      </w:pPr>
      <w:r>
        <w:t>Maggiori informazioni circa la procedura in parola saranno rese disponibili sul sito AgID.</w:t>
      </w:r>
    </w:p>
    <w:p w:rsidR="001725CE" w:rsidRPr="00E42DF3" w:rsidRDefault="001725CE" w:rsidP="001725CE">
      <w:pPr>
        <w:pStyle w:val="Titolo2"/>
      </w:pPr>
      <w:r>
        <w:t>U</w:t>
      </w:r>
      <w:r w:rsidRPr="00E42DF3">
        <w:t xml:space="preserve">tilizzo del marchio </w:t>
      </w:r>
      <w:proofErr w:type="spellStart"/>
      <w:r>
        <w:t>pagoPA</w:t>
      </w:r>
      <w:proofErr w:type="spellEnd"/>
    </w:p>
    <w:p w:rsidR="00F869EF" w:rsidRPr="00E42DF3" w:rsidRDefault="00F869EF" w:rsidP="00F869EF">
      <w:pPr>
        <w:pStyle w:val="Normale2"/>
      </w:pPr>
      <w:r w:rsidRPr="00E42DF3">
        <w:t xml:space="preserve">L’Agenzia per l’Italia Digitale ha realizzato e registrato il marchio </w:t>
      </w:r>
      <w:proofErr w:type="spellStart"/>
      <w:r w:rsidR="00FF4319">
        <w:t>pagoPA</w:t>
      </w:r>
      <w:proofErr w:type="spellEnd"/>
      <w:r w:rsidRPr="00E42DF3">
        <w:t xml:space="preserve"> attraverso la definizione di un logotipo atto a individuare i </w:t>
      </w:r>
      <w:proofErr w:type="spellStart"/>
      <w:r w:rsidRPr="00482204">
        <w:rPr>
          <w:i/>
        </w:rPr>
        <w:t>players</w:t>
      </w:r>
      <w:proofErr w:type="spellEnd"/>
      <w:r w:rsidRPr="00E42DF3">
        <w:t xml:space="preserve"> aderenti al Sistema, sia essi Enti Creditori (pubbliche amministrazioni</w:t>
      </w:r>
      <w:r>
        <w:t>, società a controllo pubblico</w:t>
      </w:r>
      <w:r w:rsidRPr="00E42DF3">
        <w:t xml:space="preserve"> o gestori di pubblici servizi), siano essi prestatori di servizi di pagamento (banche, poste e altri PSP). </w:t>
      </w:r>
    </w:p>
    <w:p w:rsidR="00F869EF" w:rsidRPr="00E42DF3" w:rsidRDefault="00F869EF" w:rsidP="00F869EF">
      <w:pPr>
        <w:pStyle w:val="Normale2"/>
      </w:pPr>
      <w:r w:rsidRPr="00E42DF3">
        <w:t xml:space="preserve">In particolare, l’Agenzia per l’Italia Digitale, nell’intento di agevolare il pagatore, ha previsto la diffusione di tale logotipo per fare comprendere all’utenza con più immediatezza e facilità se un soggetto pubblico - in qualità di beneficiario </w:t>
      </w:r>
      <w:r w:rsidR="00EA2467">
        <w:t>-</w:t>
      </w:r>
      <w:r w:rsidR="00EA2467" w:rsidRPr="00E42DF3">
        <w:t xml:space="preserve"> </w:t>
      </w:r>
      <w:r w:rsidRPr="00E42DF3">
        <w:t>oppure un soggetto privato - in qualità di prestatore di servizi di pagamento - sia aderente al Sistema.</w:t>
      </w:r>
    </w:p>
    <w:p w:rsidR="00F869EF" w:rsidRPr="00E42DF3" w:rsidRDefault="00F869EF" w:rsidP="00F869EF">
      <w:pPr>
        <w:pStyle w:val="Normale2"/>
      </w:pPr>
      <w:r w:rsidRPr="00E42DF3">
        <w:t xml:space="preserve">Per pubblicizzare i nuovi servizi elettronici di pagamento che una banca o altro prestatore è in grado di offrire alla clientela, gli operatori del mercato dei pagamenti aderenti al Sistema esibiranno sui loro siti web o ai loro sportelli il </w:t>
      </w:r>
      <w:r>
        <w:t>marchio</w:t>
      </w:r>
      <w:r w:rsidRPr="00E42DF3">
        <w:t xml:space="preserve"> </w:t>
      </w:r>
      <w:proofErr w:type="spellStart"/>
      <w:r w:rsidR="00FF4319">
        <w:t>pagoPA</w:t>
      </w:r>
      <w:proofErr w:type="spellEnd"/>
      <w:r w:rsidRPr="00E42DF3">
        <w:t xml:space="preserve"> per meglio consentire che l’utenza sia capace di comprendere immediatamente chi ha già aderito al sistema </w:t>
      </w:r>
      <w:proofErr w:type="spellStart"/>
      <w:r w:rsidR="00FF4319">
        <w:t>pagoPA</w:t>
      </w:r>
      <w:proofErr w:type="spellEnd"/>
      <w:r w:rsidRPr="00E42DF3">
        <w:t xml:space="preserve"> e chi tarda ancora ad accompagnare la propria clientela verso una relazione semplificata ed efficiente con la pubblica amministrazione.</w:t>
      </w:r>
    </w:p>
    <w:p w:rsidR="00F869EF" w:rsidRPr="00E42DF3" w:rsidRDefault="00F869EF" w:rsidP="00F869EF">
      <w:pPr>
        <w:pStyle w:val="Normale2"/>
      </w:pPr>
      <w:r w:rsidRPr="00E42DF3">
        <w:t xml:space="preserve">Al pari, gli Enti Creditori, sui loro siti web o presso i loro sportelli, </w:t>
      </w:r>
      <w:r w:rsidR="00EA2467">
        <w:t>nonché nelle loro comunicazioni verso gli utilizzatori finali, dov</w:t>
      </w:r>
      <w:r w:rsidR="00EA2467" w:rsidRPr="00E42DF3">
        <w:t xml:space="preserve">ranno </w:t>
      </w:r>
      <w:r w:rsidRPr="00E42DF3">
        <w:t xml:space="preserve">esporre il </w:t>
      </w:r>
      <w:r>
        <w:t>marchi</w:t>
      </w:r>
      <w:r w:rsidRPr="00E42DF3">
        <w:t xml:space="preserve">o </w:t>
      </w:r>
      <w:proofErr w:type="spellStart"/>
      <w:r w:rsidR="00FF4319">
        <w:t>pagoPA</w:t>
      </w:r>
      <w:proofErr w:type="spellEnd"/>
      <w:r w:rsidRPr="00E42DF3">
        <w:t xml:space="preserve"> per dare prova della loro informatizzazione e promuovere i servizi di pagamento elettronici nei loro confronti offerti attraverso il Sistema.</w:t>
      </w:r>
    </w:p>
    <w:p w:rsidR="00F869EF" w:rsidRPr="00E42DF3" w:rsidRDefault="00F869EF" w:rsidP="00F869EF">
      <w:pPr>
        <w:pStyle w:val="Normale2"/>
      </w:pPr>
      <w:r w:rsidRPr="00E42DF3">
        <w:t>In considerazione della valenza strategica e legale del "Logo", anche al fine di evitare confusioni e/o frodi nei confronti della clientela privata, l’Agenzia per l’Italia Digitale ha provveduto alla registrazione del logotipo presso le competenti amministrazioni al fine di garantire allo stesso logotipo una tutela a livello nazionale.</w:t>
      </w:r>
    </w:p>
    <w:p w:rsidR="00F869EF" w:rsidRPr="00E42DF3" w:rsidRDefault="00F869EF" w:rsidP="00F869EF">
      <w:pPr>
        <w:pStyle w:val="Normale2"/>
      </w:pPr>
      <w:r w:rsidRPr="00E42DF3">
        <w:t>In merito, si segnala che nel caso in esame non siamo di fronte alla registrazione di un semplice marchio d’impresa ma a quella di un marchio collettivo, ossia di un marchio il cui uso può essere concesso a soggetti che siano adeguati all’erogazione di servizi coerenti e in linea con il marchio stesso.</w:t>
      </w:r>
    </w:p>
    <w:p w:rsidR="00F869EF" w:rsidRPr="00E42DF3" w:rsidRDefault="00F869EF" w:rsidP="00F869EF">
      <w:pPr>
        <w:pStyle w:val="Normale2"/>
      </w:pPr>
      <w:r w:rsidRPr="00E42DF3">
        <w:t xml:space="preserve">In virtù della qualificazione come marchio collettivo, unitamente alla registrazione di un esemplare del marchio, l’Agenzia per l’Italia Digitale ha registrato anche il Regolamento inerente l’uso del marchio collettivo registrato </w:t>
      </w:r>
      <w:proofErr w:type="spellStart"/>
      <w:r w:rsidR="00FF4319">
        <w:t>pagoPA</w:t>
      </w:r>
      <w:proofErr w:type="spellEnd"/>
      <w:r w:rsidRPr="00E42DF3">
        <w:t>, pubblicato sul sito istituzionale dell’Agenzia per l’Italia Digitale</w:t>
      </w:r>
      <w:r w:rsidR="002B1BC9">
        <w:t>,</w:t>
      </w:r>
      <w:r w:rsidRPr="00E42DF3">
        <w:t xml:space="preserve"> </w:t>
      </w:r>
      <w:r w:rsidR="009C5E05">
        <w:t xml:space="preserve">che </w:t>
      </w:r>
      <w:r w:rsidR="00FA7A1E">
        <w:t>avrà cura di</w:t>
      </w:r>
      <w:r w:rsidR="009C5E05">
        <w:t xml:space="preserve"> </w:t>
      </w:r>
      <w:r w:rsidR="00FA7A1E">
        <w:t>aggiornarl</w:t>
      </w:r>
      <w:r w:rsidR="009C5E05">
        <w:t>o nel tempo</w:t>
      </w:r>
      <w:r w:rsidR="00FA7A1E">
        <w:t>.</w:t>
      </w:r>
    </w:p>
    <w:p w:rsidR="00F869EF" w:rsidRPr="00E42DF3" w:rsidRDefault="00F869EF" w:rsidP="00F869EF">
      <w:pPr>
        <w:pStyle w:val="Normale2"/>
      </w:pPr>
      <w:r w:rsidRPr="00E42DF3">
        <w:lastRenderedPageBreak/>
        <w:t xml:space="preserve">Pertanto, sia gli Enti Creditori, sia i PSP, in sede di adesione al Nodo dei Pagamenti-SPC, e precisamente, con l’accettazione di quanto stabilito nelle Linee guida e nei relativi allegati: </w:t>
      </w:r>
    </w:p>
    <w:p w:rsidR="00F869EF" w:rsidRPr="00E42DF3" w:rsidRDefault="00F869EF" w:rsidP="005003C7">
      <w:pPr>
        <w:pStyle w:val="Normale2"/>
        <w:numPr>
          <w:ilvl w:val="3"/>
          <w:numId w:val="52"/>
        </w:numPr>
        <w:ind w:left="993" w:hanging="426"/>
        <w:contextualSpacing/>
      </w:pPr>
      <w:r w:rsidRPr="00E42DF3">
        <w:t xml:space="preserve">dichiarano di avere preso visione del “Regolamento inerente l’uso del marchio collettivo registrato </w:t>
      </w:r>
      <w:proofErr w:type="spellStart"/>
      <w:r w:rsidR="00FF4319">
        <w:t>pagoPA</w:t>
      </w:r>
      <w:proofErr w:type="spellEnd"/>
      <w:r w:rsidRPr="00E42DF3">
        <w:t xml:space="preserve">”, nella versione pubblicata sul sito istituzionale dell’Agenzia per l’Italia Digitale e di accettare incondizionatamente quanto in esso stabilito; </w:t>
      </w:r>
    </w:p>
    <w:p w:rsidR="007A3957" w:rsidRPr="00E42DF3" w:rsidRDefault="00F869EF" w:rsidP="005003C7">
      <w:pPr>
        <w:pStyle w:val="Normale2"/>
        <w:numPr>
          <w:ilvl w:val="3"/>
          <w:numId w:val="52"/>
        </w:numPr>
        <w:ind w:left="993" w:hanging="426"/>
      </w:pPr>
      <w:r w:rsidRPr="00E42DF3">
        <w:t xml:space="preserve">si obbligano a rispettare integralmente quanto previsto nel “Regolamento inerente l’uso del marchio collettivo registrato </w:t>
      </w:r>
      <w:proofErr w:type="spellStart"/>
      <w:r w:rsidR="00FF4319">
        <w:t>pagoPA</w:t>
      </w:r>
      <w:proofErr w:type="spellEnd"/>
      <w:r w:rsidRPr="00E42DF3">
        <w:t>”, nella versione pubblicata sul sito istituzionale dell’Agenzia per l’Italia Digitale.</w:t>
      </w:r>
    </w:p>
    <w:p w:rsidR="007A3957" w:rsidRDefault="007A3957" w:rsidP="00D43613">
      <w:pPr>
        <w:pStyle w:val="Normale2"/>
        <w:spacing w:after="240"/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CDD" w:rsidRDefault="00065CDD" w:rsidP="003A220C">
      <w:r>
        <w:separator/>
      </w:r>
    </w:p>
  </w:endnote>
  <w:endnote w:type="continuationSeparator" w:id="0">
    <w:p w:rsidR="00065CDD" w:rsidRDefault="00065CDD" w:rsidP="003A220C">
      <w:r>
        <w:continuationSeparator/>
      </w:r>
    </w:p>
  </w:endnote>
  <w:endnote w:type="continuationNotice" w:id="1">
    <w:p w:rsidR="00065CDD" w:rsidRDefault="00065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EC" w:rsidRDefault="00B965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EC" w:rsidRDefault="00B965E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EC" w:rsidRDefault="00B965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CDD" w:rsidRDefault="00065CDD" w:rsidP="003A220C">
      <w:r>
        <w:separator/>
      </w:r>
    </w:p>
  </w:footnote>
  <w:footnote w:type="continuationSeparator" w:id="0">
    <w:p w:rsidR="00065CDD" w:rsidRDefault="00065CDD" w:rsidP="003A220C">
      <w:r>
        <w:continuationSeparator/>
      </w:r>
    </w:p>
  </w:footnote>
  <w:footnote w:type="continuationNotice" w:id="1">
    <w:p w:rsidR="00065CDD" w:rsidRDefault="00065C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B965EC" w:rsidRDefault="00CA7B65" w:rsidP="00B965EC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 xml:space="preserve">Capitolo11. </w:t>
              </w:r>
              <w:r>
                <w:rPr>
                  <w:i/>
                </w:rPr>
                <w:t xml:space="preserve">ADESIONE AL NODO DEI </w:t>
              </w:r>
              <w:r>
                <w:rPr>
                  <w:i/>
                </w:rPr>
                <w:t>PAGAMENTI-SPC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AB0CA0C4"/>
    <w:lvl w:ilvl="0">
      <w:start w:val="1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CD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5CE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21F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3A9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590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3E9A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5EC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A7B65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E32B76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279C"/>
    <w:rsid w:val="004E3B0D"/>
    <w:rsid w:val="004E5A11"/>
    <w:rsid w:val="004E7A1C"/>
    <w:rsid w:val="004F2422"/>
    <w:rsid w:val="004F5466"/>
    <w:rsid w:val="00500709"/>
    <w:rsid w:val="0050789B"/>
    <w:rsid w:val="005164C5"/>
    <w:rsid w:val="00517822"/>
    <w:rsid w:val="00525E2E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975BC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3C29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76A2C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975BC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  <w:style w:type="paragraph" w:customStyle="1" w:styleId="13258E688DC04725ACC04B29F2F18A4F">
    <w:name w:val="13258E688DC04725ACC04B29F2F18A4F"/>
    <w:rsid w:val="008975B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A521AA93-7586-43EA-BAF1-012859895267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7E4A6A0E-8D62-40A8-BD12-CF42DAF8EB7D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B1E99AD7-7571-495E-8830-B2297D2BE4F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A1123922-4544-4DC7-AB16-52C3347BF1C8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AB705186-EA8A-410C-B6E5-105A316BD51A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8E46E6F6-6B53-44A8-A67A-75F942FCBC09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6F1FE3F6-5C76-4DD3-AD5B-4E055837E7BF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25895F7E-3CB3-44A3-9403-0F4522528C53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405A1CD-A4FA-42E4-83A2-2EC4BE7A8190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466041C9-D3DB-42E5-8955-D333483BB8DC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3290099F-D651-493E-8D03-64A212F709DA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1798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Capitolo11. ADESIONE AL NODO DEI PAGAMENTI-SPC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4</cp:revision>
  <cp:lastPrinted>2018-03-05T11:26:00Z</cp:lastPrinted>
  <dcterms:created xsi:type="dcterms:W3CDTF">2018-03-23T15:58:00Z</dcterms:created>
  <dcterms:modified xsi:type="dcterms:W3CDTF">2018-03-28T10:28:00Z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